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 HARMONOGRAM REKONSTRUKCE PAVILONU</w:t>
      </w:r>
    </w:p>
    <w:tbl>
      <w:tblPr>
        <w:tblOverlap w:val="never"/>
        <w:jc w:val="center"/>
        <w:tblLayout w:type="fixed"/>
      </w:tblPr>
      <w:tblGrid>
        <w:gridCol w:w="2126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54"/>
      </w:tblGrid>
      <w:tr>
        <w:trPr>
          <w:trHeight w:val="245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 A užívání v roce 2024</w:t>
            </w:r>
          </w:p>
        </w:tc>
        <w:tc>
          <w:tcPr>
            <w:gridSpan w:val="3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gridSpan w:val="1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gridSpan w:val="1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gridSpan w:val="5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2026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5</w:t>
            </w:r>
          </w:p>
        </w:tc>
      </w:tr>
      <w:tr>
        <w:trPr>
          <w:trHeight w:val="432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výběr zhot. dočas. zastřešení (I. Etapa)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stavební povolení rekonstrukce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Schválení úřady 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Benátkách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Zadávací řízení I. Etapa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Realizace I. Etapy rekonstrukce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Společná účast na Biennale Arte 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0CEC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výběr zhotovitele rekonstrukce (II. Etapa)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Zadávací řízení realizace rekonstrukce (II. Etapa)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provedení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Realizace II. Etapy rekonstrukce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pavilonu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Možné otevření při Biennale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79" w:line="1" w:lineRule="exact"/>
      </w:pPr>
    </w:p>
    <w:tbl>
      <w:tblPr>
        <w:tblOverlap w:val="never"/>
        <w:jc w:val="center"/>
        <w:tblLayout w:type="fixed"/>
      </w:tblPr>
      <w:tblGrid>
        <w:gridCol w:w="2126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40"/>
        <w:gridCol w:w="245"/>
        <w:gridCol w:w="254"/>
      </w:tblGrid>
      <w:tr>
        <w:trPr>
          <w:trHeight w:val="5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Varianta B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užívání v roce 2024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stavební povolení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Schválení úřady v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Benátkách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výběr zhotovitele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Zadávací řízení na realizaci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Příprava dokumentace pro provedení 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Realizace rekonstrukce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pavilonu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Otevření ke 100. výročí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0808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24" w:left="980" w:right="1023" w:bottom="1124" w:header="696" w:footer="69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50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Jan Vojtíšek</dc:creator>
  <cp:keywords/>
</cp:coreProperties>
</file>