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D3C9" w14:textId="77777777" w:rsidR="000E0EE9" w:rsidRPr="00FD2A1A" w:rsidRDefault="000E0EE9" w:rsidP="000E0EE9">
      <w:pPr>
        <w:pStyle w:val="Prosttext1"/>
        <w:jc w:val="right"/>
        <w:rPr>
          <w:rFonts w:ascii="Times New Roman" w:hAnsi="Times New Roman"/>
          <w:sz w:val="22"/>
          <w:szCs w:val="22"/>
        </w:rPr>
      </w:pPr>
      <w:r w:rsidRPr="00FD2A1A">
        <w:rPr>
          <w:rFonts w:ascii="Times New Roman" w:hAnsi="Times New Roman"/>
          <w:sz w:val="22"/>
          <w:szCs w:val="22"/>
        </w:rPr>
        <w:t>Č.</w:t>
      </w:r>
      <w:r>
        <w:rPr>
          <w:rFonts w:ascii="Times New Roman" w:hAnsi="Times New Roman"/>
          <w:sz w:val="22"/>
          <w:szCs w:val="22"/>
        </w:rPr>
        <w:t xml:space="preserve"> </w:t>
      </w:r>
      <w:r w:rsidRPr="00FD2A1A">
        <w:rPr>
          <w:rFonts w:ascii="Times New Roman" w:hAnsi="Times New Roman"/>
          <w:sz w:val="22"/>
          <w:szCs w:val="22"/>
        </w:rPr>
        <w:t>j. NG</w:t>
      </w:r>
      <w:r w:rsidR="00B521A6">
        <w:rPr>
          <w:rFonts w:ascii="Times New Roman" w:hAnsi="Times New Roman"/>
          <w:sz w:val="22"/>
          <w:szCs w:val="22"/>
        </w:rPr>
        <w:t>/1566</w:t>
      </w:r>
      <w:r w:rsidRPr="00FD2A1A">
        <w:rPr>
          <w:rFonts w:ascii="Times New Roman" w:hAnsi="Times New Roman"/>
          <w:sz w:val="22"/>
          <w:szCs w:val="22"/>
        </w:rPr>
        <w:t>/202</w:t>
      </w:r>
      <w:r>
        <w:rPr>
          <w:rFonts w:ascii="Times New Roman" w:hAnsi="Times New Roman"/>
          <w:sz w:val="22"/>
          <w:szCs w:val="22"/>
        </w:rPr>
        <w:t>3</w:t>
      </w:r>
    </w:p>
    <w:p w14:paraId="2EB0BBA9" w14:textId="77777777" w:rsidR="000E0EE9" w:rsidRDefault="000E0EE9" w:rsidP="000E0EE9">
      <w:pPr>
        <w:ind w:left="284" w:hanging="284"/>
        <w:jc w:val="both"/>
        <w:rPr>
          <w:b/>
          <w:bCs/>
          <w:sz w:val="22"/>
          <w:szCs w:val="22"/>
        </w:rPr>
      </w:pPr>
    </w:p>
    <w:p w14:paraId="4D1BFC9D" w14:textId="77777777" w:rsidR="00CE34DA" w:rsidRDefault="00000000" w:rsidP="000E0EE9">
      <w:pPr>
        <w:spacing w:before="120" w:after="120"/>
        <w:jc w:val="center"/>
        <w:rPr>
          <w:b/>
          <w:sz w:val="28"/>
          <w:szCs w:val="28"/>
        </w:rPr>
      </w:pPr>
      <w:r>
        <w:rPr>
          <w:noProof/>
        </w:rPr>
        <w:pict w14:anchorId="32C99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77" o:spid="_x0000_s1026" type="#_x0000_t75" style="position:absolute;left:0;text-align:left;margin-left:0;margin-top:0;width:285.7pt;height:77.4pt;z-index:1;visibility:visible;mso-wrap-distance-bottom:17pt;mso-position-horizontal-relative:page;mso-position-vertical-relative:page;mso-width-relative:margin;mso-height-relative:margin">
            <v:imagedata r:id="rId8" o:title=""/>
            <w10:wrap type="topAndBottom" anchorx="page" anchory="page"/>
            <w10:anchorlock/>
          </v:shape>
        </w:pict>
      </w:r>
      <w:r w:rsidR="00FC6330">
        <w:rPr>
          <w:b/>
          <w:sz w:val="28"/>
          <w:szCs w:val="28"/>
        </w:rPr>
        <w:t xml:space="preserve">DODATEK </w:t>
      </w:r>
      <w:r w:rsidR="000E0EE9">
        <w:rPr>
          <w:b/>
          <w:sz w:val="28"/>
          <w:szCs w:val="28"/>
        </w:rPr>
        <w:t>č</w:t>
      </w:r>
      <w:r w:rsidR="00CE34DA">
        <w:rPr>
          <w:b/>
          <w:sz w:val="28"/>
          <w:szCs w:val="28"/>
        </w:rPr>
        <w:t>. 1</w:t>
      </w:r>
    </w:p>
    <w:p w14:paraId="45B6F20B" w14:textId="77777777" w:rsidR="00FC6330" w:rsidRPr="00B94B8D" w:rsidRDefault="000E0EE9" w:rsidP="000E0EE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</w:t>
      </w:r>
      <w:r w:rsidR="00FC6330">
        <w:rPr>
          <w:b/>
          <w:sz w:val="28"/>
          <w:szCs w:val="28"/>
        </w:rPr>
        <w:t xml:space="preserve"> </w:t>
      </w:r>
      <w:r w:rsidR="009A02AB">
        <w:rPr>
          <w:b/>
          <w:sz w:val="28"/>
          <w:szCs w:val="28"/>
        </w:rPr>
        <w:t>SMLOUV</w:t>
      </w:r>
      <w:r w:rsidR="00FC6330">
        <w:rPr>
          <w:b/>
          <w:sz w:val="28"/>
          <w:szCs w:val="28"/>
        </w:rPr>
        <w:t>Ě</w:t>
      </w:r>
      <w:r w:rsidR="008629F9">
        <w:rPr>
          <w:b/>
          <w:sz w:val="28"/>
          <w:szCs w:val="28"/>
        </w:rPr>
        <w:t xml:space="preserve"> O SPOLUPRÁCI</w:t>
      </w:r>
      <w:bookmarkStart w:id="0" w:name="_Hlk147484120"/>
      <w:r>
        <w:rPr>
          <w:b/>
          <w:sz w:val="28"/>
          <w:szCs w:val="28"/>
        </w:rPr>
        <w:t xml:space="preserve"> č</w:t>
      </w:r>
      <w:r w:rsidR="00FC6330">
        <w:rPr>
          <w:b/>
          <w:sz w:val="28"/>
          <w:szCs w:val="28"/>
        </w:rPr>
        <w:t xml:space="preserve">.j. NG/1053/2020 ze dne </w:t>
      </w:r>
      <w:r w:rsidR="00BB4243">
        <w:rPr>
          <w:b/>
          <w:sz w:val="28"/>
          <w:szCs w:val="28"/>
        </w:rPr>
        <w:t>4.9.2020</w:t>
      </w:r>
    </w:p>
    <w:bookmarkEnd w:id="0"/>
    <w:p w14:paraId="16707620" w14:textId="77777777" w:rsidR="008629F9" w:rsidRDefault="008629F9" w:rsidP="00B30381">
      <w:pPr>
        <w:ind w:left="284" w:hanging="284"/>
        <w:jc w:val="both"/>
        <w:rPr>
          <w:b/>
          <w:bCs/>
          <w:sz w:val="22"/>
          <w:szCs w:val="22"/>
        </w:rPr>
      </w:pPr>
    </w:p>
    <w:p w14:paraId="73707334" w14:textId="77777777" w:rsidR="008629F9" w:rsidRPr="008350CF" w:rsidRDefault="008629F9" w:rsidP="008629F9">
      <w:pPr>
        <w:pStyle w:val="Zkladntext"/>
        <w:outlineLvl w:val="0"/>
        <w:rPr>
          <w:b/>
          <w:bCs/>
          <w:sz w:val="22"/>
          <w:szCs w:val="22"/>
        </w:rPr>
      </w:pPr>
      <w:r w:rsidRPr="008350CF">
        <w:rPr>
          <w:b/>
          <w:sz w:val="22"/>
          <w:szCs w:val="22"/>
        </w:rPr>
        <w:t>Národní galerie v Praze</w:t>
      </w:r>
    </w:p>
    <w:p w14:paraId="3C0079F7" w14:textId="77777777" w:rsidR="008629F9" w:rsidRPr="008350CF" w:rsidRDefault="008629F9" w:rsidP="008629F9">
      <w:pPr>
        <w:pStyle w:val="Zkladntext"/>
        <w:rPr>
          <w:sz w:val="22"/>
          <w:szCs w:val="22"/>
        </w:rPr>
      </w:pPr>
      <w:r w:rsidRPr="008350CF">
        <w:rPr>
          <w:sz w:val="22"/>
          <w:szCs w:val="22"/>
        </w:rPr>
        <w:t>se sídlem: Staroměstské nám. 12, 110 15, Praha 1</w:t>
      </w:r>
    </w:p>
    <w:p w14:paraId="7953DE1B" w14:textId="77777777" w:rsidR="008629F9" w:rsidRPr="008350CF" w:rsidRDefault="008629F9" w:rsidP="008629F9">
      <w:pPr>
        <w:jc w:val="both"/>
        <w:rPr>
          <w:sz w:val="22"/>
          <w:szCs w:val="22"/>
        </w:rPr>
      </w:pPr>
      <w:r w:rsidRPr="008350CF">
        <w:rPr>
          <w:sz w:val="22"/>
          <w:szCs w:val="22"/>
        </w:rPr>
        <w:t>IČ: 00023281</w:t>
      </w:r>
    </w:p>
    <w:p w14:paraId="217CA8CC" w14:textId="77777777" w:rsidR="008629F9" w:rsidRDefault="008629F9" w:rsidP="008629F9">
      <w:pPr>
        <w:jc w:val="both"/>
        <w:rPr>
          <w:sz w:val="22"/>
          <w:szCs w:val="22"/>
        </w:rPr>
      </w:pPr>
      <w:r w:rsidRPr="008350CF">
        <w:rPr>
          <w:sz w:val="22"/>
          <w:szCs w:val="22"/>
        </w:rPr>
        <w:t>DIČ: CZ00023281</w:t>
      </w:r>
    </w:p>
    <w:p w14:paraId="46645EAB" w14:textId="4C36C3F9" w:rsidR="00BB4243" w:rsidRPr="006A067D" w:rsidRDefault="00BB4243" w:rsidP="00BB4243">
      <w:pPr>
        <w:jc w:val="both"/>
        <w:rPr>
          <w:sz w:val="22"/>
          <w:szCs w:val="22"/>
        </w:rPr>
      </w:pPr>
      <w:r w:rsidRPr="006A067D">
        <w:rPr>
          <w:sz w:val="22"/>
          <w:szCs w:val="22"/>
        </w:rPr>
        <w:t xml:space="preserve">Bankovní spojení: </w:t>
      </w:r>
      <w:r w:rsidR="00FD3316">
        <w:rPr>
          <w:sz w:val="22"/>
          <w:szCs w:val="22"/>
        </w:rPr>
        <w:t>XXX</w:t>
      </w:r>
      <w:r w:rsidRPr="006A067D">
        <w:rPr>
          <w:sz w:val="22"/>
          <w:szCs w:val="22"/>
        </w:rPr>
        <w:t xml:space="preserve">, Praha 1, č.ú. </w:t>
      </w:r>
      <w:r w:rsidR="00FD3316">
        <w:rPr>
          <w:sz w:val="22"/>
          <w:szCs w:val="22"/>
        </w:rPr>
        <w:t>XXXXXXXXXXXXXX</w:t>
      </w:r>
      <w:r w:rsidRPr="006A067D">
        <w:rPr>
          <w:sz w:val="22"/>
          <w:szCs w:val="22"/>
        </w:rPr>
        <w:t xml:space="preserve"> (EUR), </w:t>
      </w:r>
    </w:p>
    <w:p w14:paraId="1390A7AE" w14:textId="77777777" w:rsidR="00BB4243" w:rsidRPr="00BB4243" w:rsidRDefault="00BB4243" w:rsidP="00BB4243">
      <w:pPr>
        <w:jc w:val="both"/>
        <w:rPr>
          <w:sz w:val="22"/>
          <w:szCs w:val="22"/>
        </w:rPr>
      </w:pPr>
      <w:r w:rsidRPr="006A067D">
        <w:rPr>
          <w:sz w:val="22"/>
          <w:szCs w:val="22"/>
        </w:rPr>
        <w:t>IBAN: CZ27 0710 0345 3400 0883 9011</w:t>
      </w:r>
    </w:p>
    <w:p w14:paraId="2F7D84B8" w14:textId="77777777" w:rsidR="008629F9" w:rsidRPr="008350CF" w:rsidRDefault="00C45C90" w:rsidP="008629F9">
      <w:pPr>
        <w:tabs>
          <w:tab w:val="left" w:pos="-720"/>
        </w:tabs>
        <w:jc w:val="both"/>
        <w:rPr>
          <w:spacing w:val="6"/>
          <w:sz w:val="22"/>
          <w:szCs w:val="22"/>
        </w:rPr>
      </w:pPr>
      <w:r w:rsidRPr="008350CF">
        <w:rPr>
          <w:spacing w:val="6"/>
          <w:sz w:val="22"/>
          <w:szCs w:val="22"/>
        </w:rPr>
        <w:t xml:space="preserve">Zastoupená: </w:t>
      </w:r>
      <w:r w:rsidR="00CE34DA">
        <w:rPr>
          <w:spacing w:val="6"/>
          <w:sz w:val="22"/>
          <w:szCs w:val="22"/>
        </w:rPr>
        <w:t>Alicjí Knast</w:t>
      </w:r>
      <w:r w:rsidRPr="008350CF">
        <w:rPr>
          <w:spacing w:val="6"/>
          <w:sz w:val="22"/>
          <w:szCs w:val="22"/>
        </w:rPr>
        <w:t>, generální ředitelkou</w:t>
      </w:r>
    </w:p>
    <w:p w14:paraId="7D595DC2" w14:textId="77777777" w:rsidR="008629F9" w:rsidRPr="008350CF" w:rsidRDefault="008629F9" w:rsidP="008629F9">
      <w:pPr>
        <w:rPr>
          <w:color w:val="000000"/>
          <w:sz w:val="22"/>
          <w:szCs w:val="22"/>
        </w:rPr>
      </w:pPr>
      <w:r w:rsidRPr="008350CF">
        <w:rPr>
          <w:sz w:val="22"/>
          <w:szCs w:val="22"/>
        </w:rPr>
        <w:t xml:space="preserve">(dále jen </w:t>
      </w:r>
      <w:r w:rsidRPr="008350CF">
        <w:rPr>
          <w:b/>
          <w:bCs/>
          <w:sz w:val="22"/>
          <w:szCs w:val="22"/>
        </w:rPr>
        <w:t>„NG</w:t>
      </w:r>
      <w:r w:rsidR="00343F6E" w:rsidRPr="008350CF">
        <w:rPr>
          <w:b/>
          <w:bCs/>
          <w:sz w:val="22"/>
          <w:szCs w:val="22"/>
        </w:rPr>
        <w:t>P</w:t>
      </w:r>
      <w:r w:rsidRPr="008350CF">
        <w:rPr>
          <w:b/>
          <w:bCs/>
          <w:sz w:val="22"/>
          <w:szCs w:val="22"/>
        </w:rPr>
        <w:t>“</w:t>
      </w:r>
      <w:r w:rsidRPr="008350CF">
        <w:rPr>
          <w:sz w:val="22"/>
          <w:szCs w:val="22"/>
        </w:rPr>
        <w:t>)</w:t>
      </w:r>
    </w:p>
    <w:p w14:paraId="686ED04A" w14:textId="77777777" w:rsidR="008629F9" w:rsidRPr="008350CF" w:rsidRDefault="008629F9" w:rsidP="00B30381">
      <w:pPr>
        <w:ind w:left="284" w:hanging="284"/>
        <w:jc w:val="both"/>
        <w:rPr>
          <w:b/>
          <w:bCs/>
          <w:sz w:val="22"/>
          <w:szCs w:val="22"/>
        </w:rPr>
      </w:pPr>
    </w:p>
    <w:p w14:paraId="7E39879D" w14:textId="77777777" w:rsidR="008629F9" w:rsidRPr="008350CF" w:rsidRDefault="008629F9" w:rsidP="00B30381">
      <w:pPr>
        <w:ind w:left="284" w:hanging="284"/>
        <w:jc w:val="both"/>
        <w:rPr>
          <w:b/>
          <w:bCs/>
          <w:sz w:val="22"/>
          <w:szCs w:val="22"/>
        </w:rPr>
      </w:pPr>
      <w:r w:rsidRPr="008350CF">
        <w:rPr>
          <w:b/>
          <w:bCs/>
          <w:sz w:val="22"/>
          <w:szCs w:val="22"/>
        </w:rPr>
        <w:t>a</w:t>
      </w:r>
    </w:p>
    <w:p w14:paraId="00147EFC" w14:textId="77777777" w:rsidR="008629F9" w:rsidRPr="008350CF" w:rsidRDefault="008629F9" w:rsidP="00C45C90">
      <w:pPr>
        <w:pStyle w:val="Zkladntext"/>
        <w:outlineLvl w:val="0"/>
        <w:rPr>
          <w:b/>
          <w:sz w:val="22"/>
          <w:szCs w:val="22"/>
        </w:rPr>
      </w:pPr>
    </w:p>
    <w:p w14:paraId="2D584138" w14:textId="77777777" w:rsidR="00C45C90" w:rsidRPr="008350CF" w:rsidRDefault="00C45C90" w:rsidP="00C45C90">
      <w:pPr>
        <w:pStyle w:val="Zkladntext"/>
        <w:outlineLvl w:val="0"/>
        <w:rPr>
          <w:b/>
          <w:sz w:val="22"/>
          <w:szCs w:val="22"/>
        </w:rPr>
      </w:pPr>
      <w:r w:rsidRPr="008350CF">
        <w:rPr>
          <w:b/>
          <w:sz w:val="22"/>
          <w:szCs w:val="22"/>
        </w:rPr>
        <w:t>Slovenská národná galéria</w:t>
      </w:r>
    </w:p>
    <w:p w14:paraId="2DCAD99D" w14:textId="77777777" w:rsidR="00B30381" w:rsidRPr="008350CF" w:rsidRDefault="00B30381" w:rsidP="00FF6C33">
      <w:pPr>
        <w:ind w:left="284" w:hanging="284"/>
        <w:jc w:val="both"/>
        <w:rPr>
          <w:sz w:val="22"/>
          <w:szCs w:val="22"/>
        </w:rPr>
      </w:pPr>
      <w:r w:rsidRPr="008350CF">
        <w:rPr>
          <w:sz w:val="22"/>
          <w:szCs w:val="22"/>
        </w:rPr>
        <w:t>se sídlem</w:t>
      </w:r>
      <w:r w:rsidR="00C45C90" w:rsidRPr="008350CF">
        <w:rPr>
          <w:sz w:val="22"/>
          <w:szCs w:val="22"/>
        </w:rPr>
        <w:t>:</w:t>
      </w:r>
      <w:r w:rsidRPr="008350CF">
        <w:rPr>
          <w:sz w:val="22"/>
          <w:szCs w:val="22"/>
        </w:rPr>
        <w:t xml:space="preserve"> </w:t>
      </w:r>
      <w:r w:rsidR="00C45C90" w:rsidRPr="008350CF">
        <w:rPr>
          <w:sz w:val="22"/>
          <w:szCs w:val="22"/>
        </w:rPr>
        <w:t>Riečna 1, 815 13 Bratislava</w:t>
      </w:r>
    </w:p>
    <w:p w14:paraId="5A0B1C19" w14:textId="77777777" w:rsidR="00C45C90" w:rsidRPr="008350CF" w:rsidRDefault="00C45C90" w:rsidP="00C45C90">
      <w:pPr>
        <w:rPr>
          <w:sz w:val="22"/>
          <w:szCs w:val="22"/>
        </w:rPr>
      </w:pPr>
      <w:r w:rsidRPr="008350CF">
        <w:rPr>
          <w:sz w:val="22"/>
          <w:szCs w:val="22"/>
        </w:rPr>
        <w:t>IČO: 00164712</w:t>
      </w:r>
    </w:p>
    <w:p w14:paraId="7741D088" w14:textId="77777777" w:rsidR="00C45C90" w:rsidRPr="008350CF" w:rsidRDefault="00C45C90" w:rsidP="00C45C90">
      <w:pPr>
        <w:rPr>
          <w:sz w:val="22"/>
          <w:szCs w:val="22"/>
        </w:rPr>
      </w:pPr>
      <w:r w:rsidRPr="008350CF">
        <w:rPr>
          <w:sz w:val="22"/>
          <w:szCs w:val="22"/>
        </w:rPr>
        <w:t>DIČ: 2020829943</w:t>
      </w:r>
    </w:p>
    <w:p w14:paraId="32E9EF5D" w14:textId="77777777" w:rsidR="00C45C90" w:rsidRPr="008350CF" w:rsidRDefault="00C45C90" w:rsidP="00B30381">
      <w:pPr>
        <w:jc w:val="both"/>
        <w:rPr>
          <w:sz w:val="22"/>
          <w:szCs w:val="22"/>
        </w:rPr>
      </w:pPr>
      <w:r w:rsidRPr="008350CF">
        <w:rPr>
          <w:sz w:val="22"/>
          <w:szCs w:val="22"/>
        </w:rPr>
        <w:t>IČ DPH: SK2020829943</w:t>
      </w:r>
    </w:p>
    <w:p w14:paraId="5390834C" w14:textId="77777777" w:rsidR="00B30381" w:rsidRPr="008350CF" w:rsidRDefault="00C45C90" w:rsidP="00B30381">
      <w:pPr>
        <w:jc w:val="both"/>
        <w:rPr>
          <w:sz w:val="22"/>
          <w:szCs w:val="22"/>
        </w:rPr>
      </w:pPr>
      <w:r w:rsidRPr="008350CF">
        <w:rPr>
          <w:sz w:val="22"/>
          <w:szCs w:val="22"/>
        </w:rPr>
        <w:t>Z</w:t>
      </w:r>
      <w:r w:rsidR="00E47D7A" w:rsidRPr="008350CF">
        <w:rPr>
          <w:sz w:val="22"/>
          <w:szCs w:val="22"/>
        </w:rPr>
        <w:t>astoupen</w:t>
      </w:r>
      <w:r w:rsidRPr="008350CF">
        <w:rPr>
          <w:sz w:val="22"/>
          <w:szCs w:val="22"/>
        </w:rPr>
        <w:t xml:space="preserve">á: </w:t>
      </w:r>
      <w:r w:rsidR="00063090" w:rsidRPr="008350CF">
        <w:rPr>
          <w:sz w:val="22"/>
          <w:szCs w:val="22"/>
        </w:rPr>
        <w:t xml:space="preserve">Mgr. </w:t>
      </w:r>
      <w:r w:rsidR="00EE0F93">
        <w:rPr>
          <w:color w:val="000000"/>
          <w:sz w:val="22"/>
          <w:szCs w:val="22"/>
          <w:shd w:val="clear" w:color="auto" w:fill="FFFFFF"/>
        </w:rPr>
        <w:t>Alexandrou</w:t>
      </w:r>
      <w:r w:rsidR="00063090" w:rsidRPr="008350CF">
        <w:rPr>
          <w:color w:val="000000"/>
          <w:sz w:val="22"/>
          <w:szCs w:val="22"/>
          <w:shd w:val="clear" w:color="auto" w:fill="FFFFFF"/>
        </w:rPr>
        <w:t xml:space="preserve"> Kus</w:t>
      </w:r>
      <w:r w:rsidR="00EE0F93">
        <w:rPr>
          <w:color w:val="000000"/>
          <w:sz w:val="22"/>
          <w:szCs w:val="22"/>
          <w:shd w:val="clear" w:color="auto" w:fill="FFFFFF"/>
        </w:rPr>
        <w:t>ou</w:t>
      </w:r>
      <w:r w:rsidR="00063090" w:rsidRPr="008350CF">
        <w:rPr>
          <w:color w:val="000000"/>
          <w:sz w:val="22"/>
          <w:szCs w:val="22"/>
          <w:shd w:val="clear" w:color="auto" w:fill="FFFFFF"/>
        </w:rPr>
        <w:t>, PhD.</w:t>
      </w:r>
      <w:r w:rsidRPr="008350CF">
        <w:rPr>
          <w:color w:val="000000"/>
          <w:sz w:val="22"/>
          <w:szCs w:val="22"/>
          <w:shd w:val="clear" w:color="auto" w:fill="FFFFFF"/>
        </w:rPr>
        <w:t xml:space="preserve">, </w:t>
      </w:r>
      <w:r w:rsidRPr="008350CF">
        <w:rPr>
          <w:spacing w:val="6"/>
          <w:sz w:val="22"/>
          <w:szCs w:val="22"/>
        </w:rPr>
        <w:t>generální ředitelkou</w:t>
      </w:r>
    </w:p>
    <w:p w14:paraId="6A09E382" w14:textId="77777777" w:rsidR="00B30381" w:rsidRPr="008350CF" w:rsidRDefault="00B30381" w:rsidP="00B30381">
      <w:pPr>
        <w:pStyle w:val="Prosttext"/>
        <w:ind w:right="261"/>
        <w:jc w:val="both"/>
        <w:rPr>
          <w:rFonts w:ascii="Times New Roman" w:hAnsi="Times New Roman"/>
          <w:sz w:val="22"/>
          <w:szCs w:val="22"/>
        </w:rPr>
      </w:pPr>
      <w:r w:rsidRPr="008350CF">
        <w:rPr>
          <w:rFonts w:ascii="Times New Roman" w:hAnsi="Times New Roman"/>
          <w:sz w:val="22"/>
          <w:szCs w:val="22"/>
        </w:rPr>
        <w:t>(dále jen „</w:t>
      </w:r>
      <w:r w:rsidR="00C45C90" w:rsidRPr="008350CF">
        <w:rPr>
          <w:rFonts w:ascii="Times New Roman" w:hAnsi="Times New Roman"/>
          <w:b/>
          <w:sz w:val="22"/>
          <w:szCs w:val="22"/>
          <w:lang w:val="cs-CZ"/>
        </w:rPr>
        <w:t>SNG</w:t>
      </w:r>
      <w:r w:rsidRPr="008350CF">
        <w:rPr>
          <w:rFonts w:ascii="Times New Roman" w:hAnsi="Times New Roman"/>
          <w:sz w:val="22"/>
          <w:szCs w:val="22"/>
        </w:rPr>
        <w:t>“)</w:t>
      </w:r>
    </w:p>
    <w:p w14:paraId="1869D775" w14:textId="77777777" w:rsidR="00F7188D" w:rsidRPr="008350CF" w:rsidRDefault="00F7188D" w:rsidP="00B30381">
      <w:pPr>
        <w:pStyle w:val="Prosttext"/>
        <w:ind w:right="261"/>
        <w:jc w:val="both"/>
        <w:rPr>
          <w:rFonts w:ascii="Times New Roman" w:hAnsi="Times New Roman"/>
          <w:sz w:val="22"/>
          <w:szCs w:val="22"/>
        </w:rPr>
      </w:pPr>
    </w:p>
    <w:p w14:paraId="2F7B6631" w14:textId="77777777" w:rsidR="00F7188D" w:rsidRPr="008350CF" w:rsidRDefault="00DC101C" w:rsidP="00B30381">
      <w:pPr>
        <w:pStyle w:val="Prosttext"/>
        <w:ind w:right="261"/>
        <w:jc w:val="both"/>
        <w:rPr>
          <w:rFonts w:ascii="Times New Roman" w:hAnsi="Times New Roman"/>
          <w:sz w:val="22"/>
          <w:szCs w:val="22"/>
          <w:lang w:val="cs-CZ"/>
        </w:rPr>
      </w:pPr>
      <w:r w:rsidRPr="008350CF">
        <w:rPr>
          <w:rFonts w:ascii="Times New Roman" w:hAnsi="Times New Roman"/>
          <w:sz w:val="22"/>
          <w:szCs w:val="22"/>
          <w:lang w:val="cs-CZ"/>
        </w:rPr>
        <w:t>(d</w:t>
      </w:r>
      <w:r w:rsidR="00F7188D" w:rsidRPr="008350CF">
        <w:rPr>
          <w:rFonts w:ascii="Times New Roman" w:hAnsi="Times New Roman"/>
          <w:sz w:val="22"/>
          <w:szCs w:val="22"/>
          <w:lang w:val="cs-CZ"/>
        </w:rPr>
        <w:t>ále společně jen „</w:t>
      </w:r>
      <w:r w:rsidR="00F7188D" w:rsidRPr="008350CF">
        <w:rPr>
          <w:rFonts w:ascii="Times New Roman" w:hAnsi="Times New Roman"/>
          <w:b/>
          <w:sz w:val="22"/>
          <w:szCs w:val="22"/>
          <w:lang w:val="cs-CZ"/>
        </w:rPr>
        <w:t>smluvní strany</w:t>
      </w:r>
      <w:r w:rsidR="00F7188D" w:rsidRPr="008350CF">
        <w:rPr>
          <w:rFonts w:ascii="Times New Roman" w:hAnsi="Times New Roman"/>
          <w:sz w:val="22"/>
          <w:szCs w:val="22"/>
          <w:lang w:val="cs-CZ"/>
        </w:rPr>
        <w:t>“)</w:t>
      </w:r>
    </w:p>
    <w:p w14:paraId="2C0C329B" w14:textId="77777777" w:rsidR="00F61CB9" w:rsidRPr="008350CF" w:rsidRDefault="00F61CB9" w:rsidP="00F61CB9">
      <w:pPr>
        <w:rPr>
          <w:sz w:val="22"/>
          <w:szCs w:val="22"/>
        </w:rPr>
      </w:pPr>
    </w:p>
    <w:p w14:paraId="6AFE1EC0" w14:textId="77777777" w:rsidR="00F61CB9" w:rsidRPr="008350CF" w:rsidRDefault="00F61CB9" w:rsidP="00B30381">
      <w:pPr>
        <w:jc w:val="both"/>
        <w:rPr>
          <w:sz w:val="22"/>
          <w:szCs w:val="22"/>
        </w:rPr>
      </w:pPr>
      <w:r w:rsidRPr="008350CF">
        <w:rPr>
          <w:sz w:val="22"/>
          <w:szCs w:val="22"/>
        </w:rPr>
        <w:t xml:space="preserve">uzavírají </w:t>
      </w:r>
      <w:r w:rsidR="00CE34DA">
        <w:rPr>
          <w:sz w:val="22"/>
          <w:szCs w:val="22"/>
        </w:rPr>
        <w:t>tento dodatek č. 1 ke smlouvě o spolupráci</w:t>
      </w:r>
      <w:r w:rsidR="00CE34DA" w:rsidRPr="00CE34DA">
        <w:t xml:space="preserve"> </w:t>
      </w:r>
      <w:r w:rsidR="00CE34DA">
        <w:t>č</w:t>
      </w:r>
      <w:bookmarkStart w:id="1" w:name="_Hlk147484150"/>
      <w:r w:rsidR="00CE34DA" w:rsidRPr="00CE34DA">
        <w:rPr>
          <w:sz w:val="22"/>
          <w:szCs w:val="22"/>
        </w:rPr>
        <w:t xml:space="preserve">.j. NG/1053/2020 </w:t>
      </w:r>
      <w:bookmarkEnd w:id="1"/>
      <w:r w:rsidR="00CE34DA" w:rsidRPr="00CE34DA">
        <w:rPr>
          <w:sz w:val="22"/>
          <w:szCs w:val="22"/>
        </w:rPr>
        <w:t xml:space="preserve">ze dne </w:t>
      </w:r>
      <w:r w:rsidR="000E0EE9">
        <w:rPr>
          <w:sz w:val="22"/>
          <w:szCs w:val="22"/>
        </w:rPr>
        <w:t>4.9.2020</w:t>
      </w:r>
      <w:r w:rsidR="00CE34DA">
        <w:rPr>
          <w:sz w:val="22"/>
          <w:szCs w:val="22"/>
        </w:rPr>
        <w:t xml:space="preserve"> (dále jen „</w:t>
      </w:r>
      <w:r w:rsidR="00CE34DA" w:rsidRPr="00CB418B">
        <w:rPr>
          <w:b/>
          <w:bCs/>
          <w:sz w:val="22"/>
          <w:szCs w:val="22"/>
        </w:rPr>
        <w:t>Smlouva</w:t>
      </w:r>
      <w:r w:rsidR="00CE34DA">
        <w:rPr>
          <w:sz w:val="22"/>
          <w:szCs w:val="22"/>
        </w:rPr>
        <w:t>“)</w:t>
      </w:r>
    </w:p>
    <w:p w14:paraId="31EE9FAA" w14:textId="77777777" w:rsidR="00C46452" w:rsidRPr="008350CF" w:rsidRDefault="00C46452" w:rsidP="002E4564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</w:p>
    <w:p w14:paraId="2A701699" w14:textId="77777777" w:rsidR="00C46452" w:rsidRPr="008350CF" w:rsidRDefault="00C46452" w:rsidP="002E4564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</w:p>
    <w:p w14:paraId="291FBD41" w14:textId="77777777" w:rsidR="002E4564" w:rsidRPr="008350CF" w:rsidRDefault="008629F9" w:rsidP="002E4564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8350CF">
        <w:rPr>
          <w:rFonts w:ascii="Times New Roman" w:hAnsi="Times New Roman"/>
          <w:b/>
          <w:sz w:val="22"/>
          <w:szCs w:val="22"/>
        </w:rPr>
        <w:t>I</w:t>
      </w:r>
      <w:r w:rsidR="009A2C08" w:rsidRPr="008350CF">
        <w:rPr>
          <w:rFonts w:ascii="Times New Roman" w:hAnsi="Times New Roman"/>
          <w:b/>
          <w:sz w:val="22"/>
          <w:szCs w:val="22"/>
        </w:rPr>
        <w:t>.</w:t>
      </w:r>
    </w:p>
    <w:p w14:paraId="41AC4001" w14:textId="77777777" w:rsidR="002E4564" w:rsidRPr="008350CF" w:rsidRDefault="008629F9" w:rsidP="002E4564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8350CF">
        <w:rPr>
          <w:rFonts w:ascii="Times New Roman" w:hAnsi="Times New Roman"/>
          <w:b/>
          <w:sz w:val="22"/>
          <w:szCs w:val="22"/>
        </w:rPr>
        <w:t>Preambule</w:t>
      </w:r>
    </w:p>
    <w:p w14:paraId="08203498" w14:textId="77777777" w:rsidR="002E4564" w:rsidRPr="008350CF" w:rsidRDefault="002E4564" w:rsidP="002E4564">
      <w:pPr>
        <w:pStyle w:val="Prosttext1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</w:p>
    <w:p w14:paraId="568E509B" w14:textId="77777777" w:rsidR="00BB3603" w:rsidRPr="008350CF" w:rsidRDefault="00BB3603" w:rsidP="00BB3603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b/>
          <w:sz w:val="22"/>
          <w:szCs w:val="22"/>
        </w:rPr>
      </w:pPr>
      <w:r w:rsidRPr="00CB418B">
        <w:rPr>
          <w:rFonts w:ascii="Times New Roman" w:hAnsi="Times New Roman"/>
          <w:bCs/>
          <w:sz w:val="22"/>
          <w:szCs w:val="22"/>
        </w:rPr>
        <w:t xml:space="preserve">Smluvní strany uzavřely dne </w:t>
      </w:r>
      <w:r w:rsidR="001222BE">
        <w:rPr>
          <w:rFonts w:ascii="Times New Roman" w:hAnsi="Times New Roman"/>
          <w:bCs/>
          <w:sz w:val="22"/>
          <w:szCs w:val="22"/>
        </w:rPr>
        <w:t>4.9.2020</w:t>
      </w:r>
      <w:r w:rsidRPr="00CB418B">
        <w:rPr>
          <w:rFonts w:ascii="Times New Roman" w:hAnsi="Times New Roman"/>
          <w:bCs/>
          <w:sz w:val="22"/>
          <w:szCs w:val="22"/>
        </w:rPr>
        <w:t xml:space="preserve"> </w:t>
      </w:r>
      <w:r w:rsidR="00CE34DA">
        <w:rPr>
          <w:rFonts w:ascii="Times New Roman" w:hAnsi="Times New Roman"/>
          <w:bCs/>
          <w:sz w:val="22"/>
          <w:szCs w:val="22"/>
        </w:rPr>
        <w:t>S</w:t>
      </w:r>
      <w:r w:rsidRPr="00CB418B">
        <w:rPr>
          <w:rFonts w:ascii="Times New Roman" w:hAnsi="Times New Roman"/>
          <w:bCs/>
          <w:sz w:val="22"/>
          <w:szCs w:val="22"/>
        </w:rPr>
        <w:t>mlouvu</w:t>
      </w:r>
      <w:r w:rsidR="00CE34DA">
        <w:rPr>
          <w:rFonts w:ascii="Times New Roman" w:hAnsi="Times New Roman"/>
          <w:bCs/>
          <w:sz w:val="22"/>
          <w:szCs w:val="22"/>
        </w:rPr>
        <w:t>,</w:t>
      </w:r>
      <w:r w:rsidR="00CE34DA" w:rsidRPr="00CE34DA">
        <w:rPr>
          <w:rFonts w:ascii="Times New Roman" w:hAnsi="Times New Roman"/>
          <w:bCs/>
          <w:sz w:val="22"/>
          <w:szCs w:val="22"/>
        </w:rPr>
        <w:t xml:space="preserve"> </w:t>
      </w:r>
      <w:r w:rsidRPr="00CB418B">
        <w:rPr>
          <w:rFonts w:ascii="Times New Roman" w:hAnsi="Times New Roman"/>
          <w:bCs/>
          <w:sz w:val="22"/>
          <w:szCs w:val="22"/>
        </w:rPr>
        <w:t xml:space="preserve">jíž </w:t>
      </w:r>
      <w:r w:rsidRPr="00BB3603">
        <w:rPr>
          <w:rFonts w:ascii="Times New Roman" w:hAnsi="Times New Roman"/>
          <w:bCs/>
          <w:sz w:val="22"/>
          <w:szCs w:val="22"/>
        </w:rPr>
        <w:t xml:space="preserve">upravily práva a povinnosti smluvních stran v souvislosti </w:t>
      </w:r>
      <w:r w:rsidRPr="00CB418B">
        <w:rPr>
          <w:rFonts w:ascii="Times New Roman" w:hAnsi="Times New Roman"/>
          <w:bCs/>
          <w:sz w:val="22"/>
          <w:szCs w:val="22"/>
        </w:rPr>
        <w:t>s nutností oprav a rekonstrukce výstavního pavilonu</w:t>
      </w:r>
      <w:r w:rsidRPr="00BB3603">
        <w:rPr>
          <w:rFonts w:ascii="Times New Roman" w:hAnsi="Times New Roman"/>
          <w:bCs/>
          <w:sz w:val="22"/>
          <w:szCs w:val="22"/>
        </w:rPr>
        <w:t xml:space="preserve"> v areálu chráněného parku Giardini di Castello v Benátkách (Itálie). Pavilon je určen k výstavám současného českého a slovenského umění v rámci mezinárodních výstav pořádaných v Benátkách, a byl vystavěn v letech 1924 - 1925 na pozemku o rozloze 400 metrů čtverečních, parcelní číslo 3974, katastrálního úřadu pro benátský hrad, pronajatém československé</w:t>
      </w:r>
      <w:r w:rsidRPr="008350CF">
        <w:rPr>
          <w:rFonts w:ascii="Times New Roman" w:hAnsi="Times New Roman"/>
          <w:sz w:val="22"/>
          <w:szCs w:val="22"/>
        </w:rPr>
        <w:t xml:space="preserve"> vládě italským městem Benátky na základě Smlouvy o pronájmu plochy ve veřejných sadech v Benátkách, určené k výstavbě pavilonu československého umění, a uzavřené v Benátkách dne 22. února 1924 mezi československou vládou a Obecním úřadem v Benátkách (dále jen „</w:t>
      </w:r>
      <w:r w:rsidRPr="008350CF">
        <w:rPr>
          <w:rFonts w:ascii="Times New Roman" w:hAnsi="Times New Roman"/>
          <w:b/>
          <w:sz w:val="22"/>
          <w:szCs w:val="22"/>
        </w:rPr>
        <w:t>Pavilon</w:t>
      </w:r>
      <w:r w:rsidRPr="008350CF">
        <w:rPr>
          <w:rFonts w:ascii="Times New Roman" w:hAnsi="Times New Roman"/>
          <w:sz w:val="22"/>
          <w:szCs w:val="22"/>
        </w:rPr>
        <w:t xml:space="preserve">“). </w:t>
      </w:r>
    </w:p>
    <w:p w14:paraId="2CB73CA7" w14:textId="77777777" w:rsidR="00723DD1" w:rsidRPr="008350CF" w:rsidRDefault="00723DD1" w:rsidP="00723DD1">
      <w:pPr>
        <w:pStyle w:val="Odstavecseseznamem"/>
        <w:rPr>
          <w:b/>
          <w:sz w:val="22"/>
          <w:szCs w:val="22"/>
        </w:rPr>
      </w:pPr>
    </w:p>
    <w:p w14:paraId="0C9E8D31" w14:textId="77777777" w:rsidR="002F5F4E" w:rsidRPr="002F5F4E" w:rsidRDefault="00DE4BB5" w:rsidP="005578B3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b/>
          <w:sz w:val="22"/>
          <w:szCs w:val="22"/>
        </w:rPr>
      </w:pPr>
      <w:r w:rsidRPr="002F5F4E">
        <w:rPr>
          <w:rFonts w:ascii="Times New Roman" w:hAnsi="Times New Roman"/>
          <w:sz w:val="22"/>
          <w:szCs w:val="22"/>
        </w:rPr>
        <w:t>Česká republika a Slovenská republika jsou spoluvlastníky Pavilonu, a to tak, že spoluvlastnický podíl České republiky činí ideální dvě třetiny a spoluvlastnický podíl Slovenské republiky činí ideální jednu třetinu. Otázky týkající se společného vlastnictví, hospodaření a užívání Pavilonu jsou upraveny Dohodou mezi vládou ČR a vládou SR o společném vlastnictví, hospodaření a užívání výstavního pavilonu v Benátkách č. 95/2003 (dále jen „</w:t>
      </w:r>
      <w:r w:rsidRPr="002F5F4E">
        <w:rPr>
          <w:rFonts w:ascii="Times New Roman" w:hAnsi="Times New Roman"/>
          <w:b/>
          <w:sz w:val="22"/>
          <w:szCs w:val="22"/>
        </w:rPr>
        <w:t>Dohoda</w:t>
      </w:r>
      <w:r w:rsidRPr="002F5F4E">
        <w:rPr>
          <w:rFonts w:ascii="Times New Roman" w:hAnsi="Times New Roman"/>
          <w:sz w:val="22"/>
          <w:szCs w:val="22"/>
        </w:rPr>
        <w:t xml:space="preserve">“). </w:t>
      </w:r>
    </w:p>
    <w:p w14:paraId="399B3EF5" w14:textId="77777777" w:rsidR="002F5F4E" w:rsidRDefault="002F5F4E" w:rsidP="002F5F4E">
      <w:pPr>
        <w:pStyle w:val="Odstavecseseznamem"/>
        <w:rPr>
          <w:b/>
          <w:sz w:val="22"/>
          <w:szCs w:val="22"/>
        </w:rPr>
      </w:pPr>
    </w:p>
    <w:p w14:paraId="13CB12A6" w14:textId="77777777" w:rsidR="005B3085" w:rsidRDefault="0018341E" w:rsidP="005B3085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8350CF">
        <w:rPr>
          <w:rFonts w:ascii="Times New Roman" w:hAnsi="Times New Roman"/>
          <w:sz w:val="22"/>
          <w:szCs w:val="22"/>
        </w:rPr>
        <w:t xml:space="preserve">NGP a SNG se </w:t>
      </w:r>
      <w:r w:rsidR="001222BE">
        <w:rPr>
          <w:rFonts w:ascii="Times New Roman" w:hAnsi="Times New Roman"/>
          <w:sz w:val="22"/>
          <w:szCs w:val="22"/>
        </w:rPr>
        <w:t>S</w:t>
      </w:r>
      <w:r w:rsidRPr="008350CF">
        <w:rPr>
          <w:rFonts w:ascii="Times New Roman" w:hAnsi="Times New Roman"/>
          <w:sz w:val="22"/>
          <w:szCs w:val="22"/>
        </w:rPr>
        <w:t xml:space="preserve">mlouvou dohodly na společném postupu při řešení </w:t>
      </w:r>
      <w:r w:rsidR="008F0375" w:rsidRPr="008350CF">
        <w:rPr>
          <w:rFonts w:ascii="Times New Roman" w:hAnsi="Times New Roman"/>
          <w:sz w:val="22"/>
          <w:szCs w:val="22"/>
        </w:rPr>
        <w:t xml:space="preserve">nutnosti oprav </w:t>
      </w:r>
      <w:r w:rsidR="00E4153B" w:rsidRPr="008350CF">
        <w:rPr>
          <w:rFonts w:ascii="Times New Roman" w:hAnsi="Times New Roman"/>
          <w:sz w:val="22"/>
          <w:szCs w:val="22"/>
        </w:rPr>
        <w:t xml:space="preserve">a rekonstrukce </w:t>
      </w:r>
      <w:r w:rsidR="008F0375" w:rsidRPr="008350CF">
        <w:rPr>
          <w:rFonts w:ascii="Times New Roman" w:hAnsi="Times New Roman"/>
          <w:sz w:val="22"/>
          <w:szCs w:val="22"/>
        </w:rPr>
        <w:t>Pavilonu</w:t>
      </w:r>
      <w:r w:rsidR="00E4153B" w:rsidRPr="008350CF">
        <w:rPr>
          <w:rFonts w:ascii="Times New Roman" w:hAnsi="Times New Roman"/>
          <w:sz w:val="22"/>
          <w:szCs w:val="22"/>
        </w:rPr>
        <w:t xml:space="preserve"> včetně finančních a investičních závazků</w:t>
      </w:r>
      <w:r w:rsidRPr="008350CF">
        <w:rPr>
          <w:rFonts w:ascii="Times New Roman" w:hAnsi="Times New Roman"/>
          <w:sz w:val="22"/>
          <w:szCs w:val="22"/>
        </w:rPr>
        <w:t xml:space="preserve">, a to v souladu s čl. III Dohody a v souladu se </w:t>
      </w:r>
      <w:r w:rsidRPr="008350CF">
        <w:rPr>
          <w:rFonts w:ascii="Times New Roman" w:hAnsi="Times New Roman"/>
          <w:sz w:val="22"/>
          <w:szCs w:val="22"/>
        </w:rPr>
        <w:lastRenderedPageBreak/>
        <w:t>„Zásadami hospodaření s výstavním pavilonem v Benátkách, jeho užívání, přípravy a realizac</w:t>
      </w:r>
      <w:r w:rsidR="0080438D">
        <w:rPr>
          <w:rFonts w:ascii="Times New Roman" w:hAnsi="Times New Roman"/>
          <w:sz w:val="22"/>
          <w:szCs w:val="22"/>
        </w:rPr>
        <w:t>e</w:t>
      </w:r>
      <w:r w:rsidRPr="008350CF">
        <w:rPr>
          <w:rFonts w:ascii="Times New Roman" w:hAnsi="Times New Roman"/>
          <w:sz w:val="22"/>
          <w:szCs w:val="22"/>
        </w:rPr>
        <w:t xml:space="preserve"> společných integrovaných projektů</w:t>
      </w:r>
      <w:r w:rsidR="008F0375" w:rsidRPr="008350CF">
        <w:rPr>
          <w:rFonts w:ascii="Times New Roman" w:hAnsi="Times New Roman"/>
          <w:sz w:val="22"/>
          <w:szCs w:val="22"/>
        </w:rPr>
        <w:t>“</w:t>
      </w:r>
      <w:r w:rsidRPr="008350CF">
        <w:rPr>
          <w:rFonts w:ascii="Times New Roman" w:hAnsi="Times New Roman"/>
          <w:sz w:val="22"/>
          <w:szCs w:val="22"/>
        </w:rPr>
        <w:t xml:space="preserve">, které jsou </w:t>
      </w:r>
      <w:r w:rsidR="008F0375" w:rsidRPr="008350CF">
        <w:rPr>
          <w:rFonts w:ascii="Times New Roman" w:hAnsi="Times New Roman"/>
          <w:sz w:val="22"/>
          <w:szCs w:val="22"/>
        </w:rPr>
        <w:t>přílohou Dohody</w:t>
      </w:r>
      <w:r w:rsidR="001222BE">
        <w:rPr>
          <w:rFonts w:ascii="Times New Roman" w:hAnsi="Times New Roman"/>
          <w:sz w:val="22"/>
          <w:szCs w:val="22"/>
        </w:rPr>
        <w:t>.</w:t>
      </w:r>
    </w:p>
    <w:p w14:paraId="70973561" w14:textId="77777777" w:rsidR="001222BE" w:rsidRDefault="001222BE" w:rsidP="00CB418B">
      <w:pPr>
        <w:pStyle w:val="Odstavecseseznamem"/>
        <w:rPr>
          <w:sz w:val="22"/>
          <w:szCs w:val="22"/>
        </w:rPr>
      </w:pPr>
    </w:p>
    <w:p w14:paraId="73E7CA96" w14:textId="77777777" w:rsidR="001222BE" w:rsidRPr="001050B0" w:rsidRDefault="001222BE" w:rsidP="001222BE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1222BE">
        <w:rPr>
          <w:rFonts w:ascii="Times New Roman" w:hAnsi="Times New Roman"/>
          <w:sz w:val="22"/>
          <w:szCs w:val="22"/>
        </w:rPr>
        <w:t xml:space="preserve">V současné době probíhá příprava projektové dokumentace pro rekonstrukci a opravy Pavilonu. Účelem tohoto dodatku je úprava práv a povinností smluvních stran Smlouvy zejm. v souvislosti </w:t>
      </w:r>
      <w:r w:rsidRPr="00CB418B">
        <w:rPr>
          <w:rFonts w:ascii="Times New Roman" w:hAnsi="Times New Roman"/>
          <w:sz w:val="22"/>
          <w:szCs w:val="22"/>
        </w:rPr>
        <w:t>s financováním projektu</w:t>
      </w:r>
      <w:r w:rsidR="00405138" w:rsidRPr="001050B0">
        <w:rPr>
          <w:rFonts w:ascii="Times New Roman" w:hAnsi="Times New Roman"/>
          <w:sz w:val="22"/>
          <w:szCs w:val="22"/>
        </w:rPr>
        <w:t>, aktualizací harmonogramu a dohodou o užívání Pavilonu v </w:t>
      </w:r>
      <w:r w:rsidR="00134E32" w:rsidRPr="001050B0">
        <w:rPr>
          <w:rFonts w:ascii="Times New Roman" w:hAnsi="Times New Roman"/>
          <w:sz w:val="22"/>
          <w:szCs w:val="22"/>
        </w:rPr>
        <w:t>provizorním</w:t>
      </w:r>
      <w:r w:rsidR="00405138" w:rsidRPr="001050B0">
        <w:rPr>
          <w:rFonts w:ascii="Times New Roman" w:hAnsi="Times New Roman"/>
          <w:sz w:val="22"/>
          <w:szCs w:val="22"/>
        </w:rPr>
        <w:t xml:space="preserve"> režimu</w:t>
      </w:r>
    </w:p>
    <w:p w14:paraId="1E53E28B" w14:textId="77777777" w:rsidR="001222BE" w:rsidRPr="008350CF" w:rsidRDefault="001222BE" w:rsidP="00CB418B">
      <w:pPr>
        <w:pStyle w:val="Prosttext1"/>
        <w:ind w:left="360"/>
        <w:jc w:val="both"/>
        <w:rPr>
          <w:rFonts w:ascii="Times New Roman" w:hAnsi="Times New Roman"/>
          <w:sz w:val="22"/>
          <w:szCs w:val="22"/>
        </w:rPr>
      </w:pPr>
    </w:p>
    <w:p w14:paraId="1326A054" w14:textId="77777777" w:rsidR="0037734D" w:rsidRPr="008350CF" w:rsidRDefault="0037734D" w:rsidP="00573343">
      <w:pPr>
        <w:pStyle w:val="Prosttext1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4BE161F9" w14:textId="77777777" w:rsidR="00A77AD6" w:rsidRPr="008350CF" w:rsidRDefault="001311DE" w:rsidP="00104DBB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8350CF">
        <w:rPr>
          <w:rFonts w:ascii="Times New Roman" w:hAnsi="Times New Roman"/>
          <w:b/>
          <w:sz w:val="22"/>
          <w:szCs w:val="22"/>
        </w:rPr>
        <w:t>II.</w:t>
      </w:r>
      <w:r w:rsidR="00104DBB" w:rsidRPr="008350CF">
        <w:rPr>
          <w:rFonts w:ascii="Times New Roman" w:hAnsi="Times New Roman"/>
          <w:b/>
          <w:sz w:val="22"/>
          <w:szCs w:val="22"/>
        </w:rPr>
        <w:t xml:space="preserve"> </w:t>
      </w:r>
    </w:p>
    <w:p w14:paraId="207874C9" w14:textId="77777777" w:rsidR="009728A0" w:rsidRPr="008350CF" w:rsidRDefault="009728A0" w:rsidP="00104DBB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8350CF">
        <w:rPr>
          <w:rFonts w:ascii="Times New Roman" w:hAnsi="Times New Roman"/>
          <w:b/>
          <w:sz w:val="22"/>
          <w:szCs w:val="22"/>
        </w:rPr>
        <w:t>Předmět smlouvy</w:t>
      </w:r>
    </w:p>
    <w:p w14:paraId="48250901" w14:textId="77777777" w:rsidR="009A02AB" w:rsidRPr="008350CF" w:rsidRDefault="009A02AB" w:rsidP="00104DBB">
      <w:pPr>
        <w:pStyle w:val="Prosttext1"/>
        <w:jc w:val="center"/>
        <w:rPr>
          <w:rFonts w:ascii="Times New Roman" w:hAnsi="Times New Roman"/>
          <w:sz w:val="22"/>
          <w:szCs w:val="22"/>
        </w:rPr>
      </w:pPr>
    </w:p>
    <w:p w14:paraId="4FD737DD" w14:textId="77777777" w:rsidR="00CE34DA" w:rsidRPr="00CB418B" w:rsidRDefault="00CE34DA" w:rsidP="00CE34DA">
      <w:pPr>
        <w:pStyle w:val="Prosttext1"/>
        <w:numPr>
          <w:ilvl w:val="0"/>
          <w:numId w:val="28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tohoto dodatku č. 1 se dohodly na změně Smlouvy v</w:t>
      </w:r>
      <w:r w:rsidR="00C1225C">
        <w:rPr>
          <w:rFonts w:ascii="Times New Roman" w:hAnsi="Times New Roman"/>
          <w:sz w:val="22"/>
          <w:szCs w:val="22"/>
        </w:rPr>
        <w:t> níže uvedeném</w:t>
      </w:r>
      <w:r>
        <w:rPr>
          <w:rFonts w:ascii="Times New Roman" w:hAnsi="Times New Roman"/>
          <w:sz w:val="22"/>
          <w:szCs w:val="22"/>
        </w:rPr>
        <w:t xml:space="preserve"> rozsahu</w:t>
      </w:r>
      <w:r w:rsidR="00C1225C">
        <w:rPr>
          <w:rFonts w:ascii="Times New Roman" w:hAnsi="Times New Roman"/>
          <w:sz w:val="22"/>
          <w:szCs w:val="22"/>
        </w:rPr>
        <w:t>.</w:t>
      </w:r>
    </w:p>
    <w:p w14:paraId="0E870496" w14:textId="77777777" w:rsidR="00C1225C" w:rsidRPr="00CB418B" w:rsidRDefault="00C1225C" w:rsidP="00CB418B">
      <w:pPr>
        <w:pStyle w:val="Prosttext1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6CC7A629" w14:textId="77777777" w:rsidR="00C1225C" w:rsidRDefault="00C1225C" w:rsidP="001222BE">
      <w:pPr>
        <w:pStyle w:val="Prosttext1"/>
        <w:numPr>
          <w:ilvl w:val="0"/>
          <w:numId w:val="2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Smluvní strany se dohodly, že SNG </w:t>
      </w:r>
      <w:r w:rsidR="00AD7F30">
        <w:rPr>
          <w:rFonts w:ascii="Times New Roman" w:hAnsi="Times New Roman"/>
          <w:bCs/>
          <w:sz w:val="22"/>
          <w:szCs w:val="22"/>
        </w:rPr>
        <w:t>poskytne pro finanční zajištění rekonstrukce</w:t>
      </w:r>
      <w:r>
        <w:rPr>
          <w:rFonts w:ascii="Times New Roman" w:hAnsi="Times New Roman"/>
          <w:bCs/>
          <w:sz w:val="22"/>
          <w:szCs w:val="22"/>
        </w:rPr>
        <w:t xml:space="preserve"> zálohu na plnění dle Smlouvy</w:t>
      </w:r>
      <w:r w:rsidR="000E0EE9">
        <w:rPr>
          <w:rFonts w:ascii="Times New Roman" w:hAnsi="Times New Roman"/>
          <w:bCs/>
          <w:sz w:val="22"/>
          <w:szCs w:val="22"/>
        </w:rPr>
        <w:t xml:space="preserve"> a NGP má povinnost ji přijmout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p w14:paraId="423E7186" w14:textId="77777777" w:rsidR="00C1225C" w:rsidRDefault="00C1225C" w:rsidP="00CB418B">
      <w:pPr>
        <w:pStyle w:val="Odstavecseseznamem"/>
        <w:rPr>
          <w:bCs/>
          <w:sz w:val="22"/>
          <w:szCs w:val="22"/>
        </w:rPr>
      </w:pPr>
    </w:p>
    <w:p w14:paraId="7095FA9E" w14:textId="77777777" w:rsidR="001222BE" w:rsidRDefault="00C1225C" w:rsidP="001222BE">
      <w:pPr>
        <w:pStyle w:val="Prosttext1"/>
        <w:numPr>
          <w:ilvl w:val="0"/>
          <w:numId w:val="2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Smluvní strany se dohodly, že do </w:t>
      </w:r>
      <w:r w:rsidRPr="001615A3">
        <w:rPr>
          <w:rFonts w:ascii="Times New Roman" w:hAnsi="Times New Roman"/>
          <w:bCs/>
          <w:sz w:val="22"/>
          <w:szCs w:val="22"/>
        </w:rPr>
        <w:t xml:space="preserve">Smlouvy se doplňuje </w:t>
      </w:r>
      <w:r w:rsidR="001222BE" w:rsidRPr="00CB418B">
        <w:rPr>
          <w:rFonts w:ascii="Times New Roman" w:hAnsi="Times New Roman"/>
          <w:bCs/>
          <w:sz w:val="22"/>
          <w:szCs w:val="22"/>
        </w:rPr>
        <w:t xml:space="preserve">nové </w:t>
      </w:r>
      <w:r w:rsidR="00CE34DA" w:rsidRPr="00CB418B">
        <w:rPr>
          <w:rFonts w:ascii="Times New Roman" w:hAnsi="Times New Roman"/>
          <w:bCs/>
          <w:sz w:val="22"/>
          <w:szCs w:val="22"/>
        </w:rPr>
        <w:t xml:space="preserve">ustanovení čl. </w:t>
      </w:r>
      <w:r w:rsidR="001222BE" w:rsidRPr="00CB418B">
        <w:rPr>
          <w:rFonts w:ascii="Times New Roman" w:hAnsi="Times New Roman"/>
          <w:bCs/>
          <w:sz w:val="22"/>
          <w:szCs w:val="22"/>
        </w:rPr>
        <w:t>III. odst. 12 následujícího znění:</w:t>
      </w:r>
    </w:p>
    <w:p w14:paraId="44BC708A" w14:textId="77777777" w:rsidR="00BA62EB" w:rsidRDefault="00BA62EB" w:rsidP="006B4B4E">
      <w:pPr>
        <w:pStyle w:val="Prosttext1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0C3642C4" w14:textId="5C8693C7" w:rsidR="001050B0" w:rsidRPr="00860415" w:rsidRDefault="00134E32" w:rsidP="00134E32">
      <w:pPr>
        <w:pStyle w:val="Prosttext1"/>
        <w:ind w:left="1418" w:hanging="1418"/>
        <w:jc w:val="both"/>
        <w:rPr>
          <w:rFonts w:ascii="Times New Roman" w:hAnsi="Times New Roman"/>
          <w:sz w:val="22"/>
          <w:szCs w:val="22"/>
        </w:rPr>
      </w:pPr>
      <w:r w:rsidRPr="00860415">
        <w:rPr>
          <w:rFonts w:ascii="Times New Roman" w:hAnsi="Times New Roman"/>
          <w:bCs/>
          <w:sz w:val="22"/>
          <w:szCs w:val="22"/>
        </w:rPr>
        <w:t xml:space="preserve">     „12.             </w:t>
      </w:r>
      <w:r w:rsidR="00BA62EB" w:rsidRPr="00860415">
        <w:rPr>
          <w:rFonts w:ascii="Times New Roman" w:hAnsi="Times New Roman"/>
          <w:bCs/>
          <w:sz w:val="22"/>
          <w:szCs w:val="22"/>
        </w:rPr>
        <w:t xml:space="preserve">SNG je oprávněna poskytnout zálohu na plnění, k nimž je povinna dle smlouvy, ve výši </w:t>
      </w:r>
      <w:r w:rsidRPr="00860415">
        <w:rPr>
          <w:rFonts w:ascii="Times New Roman" w:hAnsi="Times New Roman"/>
          <w:bCs/>
          <w:sz w:val="22"/>
          <w:szCs w:val="22"/>
        </w:rPr>
        <w:t xml:space="preserve">       </w:t>
      </w:r>
      <w:r w:rsidR="00BA62EB" w:rsidRPr="00860415">
        <w:rPr>
          <w:rFonts w:ascii="Times New Roman" w:hAnsi="Times New Roman"/>
          <w:b/>
          <w:sz w:val="22"/>
          <w:szCs w:val="22"/>
        </w:rPr>
        <w:t>579 352,74 EUR</w:t>
      </w:r>
      <w:r w:rsidR="00BA62EB" w:rsidRPr="00860415">
        <w:rPr>
          <w:rFonts w:ascii="Times New Roman" w:hAnsi="Times New Roman"/>
          <w:bCs/>
          <w:sz w:val="22"/>
          <w:szCs w:val="22"/>
        </w:rPr>
        <w:t xml:space="preserve"> (</w:t>
      </w:r>
      <w:r w:rsidR="00BA62EB" w:rsidRPr="00860415">
        <w:rPr>
          <w:rFonts w:ascii="Times New Roman" w:hAnsi="Times New Roman"/>
          <w:sz w:val="22"/>
          <w:szCs w:val="22"/>
        </w:rPr>
        <w:t>slovy: pětsetsedmdesátdevěttisíctřistapadesátdva  74/100</w:t>
      </w:r>
      <w:r w:rsidR="001050B0" w:rsidRPr="00860415">
        <w:rPr>
          <w:rFonts w:ascii="Times New Roman" w:hAnsi="Times New Roman"/>
          <w:sz w:val="22"/>
          <w:szCs w:val="22"/>
        </w:rPr>
        <w:t xml:space="preserve"> </w:t>
      </w:r>
      <w:r w:rsidR="00BA62EB" w:rsidRPr="00860415">
        <w:rPr>
          <w:rFonts w:ascii="Times New Roman" w:hAnsi="Times New Roman"/>
          <w:sz w:val="22"/>
          <w:szCs w:val="22"/>
        </w:rPr>
        <w:t>euro) a NGP je povinna ji přijmout. Záloha bude započítána na plnění smluvních závazků</w:t>
      </w:r>
      <w:r w:rsidR="00BA62EB" w:rsidRPr="00860415">
        <w:rPr>
          <w:rFonts w:ascii="Times New Roman" w:hAnsi="Times New Roman"/>
          <w:strike/>
          <w:sz w:val="22"/>
          <w:szCs w:val="22"/>
        </w:rPr>
        <w:t xml:space="preserve">  </w:t>
      </w:r>
      <w:r w:rsidR="00BA62EB" w:rsidRPr="00860415">
        <w:rPr>
          <w:rFonts w:ascii="Times New Roman" w:hAnsi="Times New Roman"/>
          <w:sz w:val="22"/>
          <w:szCs w:val="22"/>
        </w:rPr>
        <w:t>vyplývajících z rekonstrukce. NGP připraví přehled o použití finančních prostředků poskytnutých SNG formou zálohy k 31.12.2024  a tento přehled z</w:t>
      </w:r>
      <w:r w:rsidR="006B4B4E" w:rsidRPr="00860415">
        <w:rPr>
          <w:rFonts w:ascii="Times New Roman" w:hAnsi="Times New Roman"/>
          <w:sz w:val="22"/>
          <w:szCs w:val="22"/>
        </w:rPr>
        <w:t xml:space="preserve">ašle </w:t>
      </w:r>
      <w:r w:rsidR="00DC3479" w:rsidRPr="00860415">
        <w:rPr>
          <w:rFonts w:ascii="Times New Roman" w:hAnsi="Times New Roman"/>
          <w:sz w:val="22"/>
          <w:szCs w:val="22"/>
        </w:rPr>
        <w:t xml:space="preserve">na mailové adresy  </w:t>
      </w:r>
      <w:r w:rsidR="00FD3316">
        <w:rPr>
          <w:rFonts w:ascii="Times New Roman" w:hAnsi="Times New Roman"/>
          <w:sz w:val="22"/>
          <w:szCs w:val="22"/>
        </w:rPr>
        <w:t>XXXXXXXXXXX</w:t>
      </w:r>
      <w:r w:rsidR="00DC3479" w:rsidRPr="00860415">
        <w:rPr>
          <w:rFonts w:ascii="Times New Roman" w:hAnsi="Times New Roman"/>
          <w:sz w:val="22"/>
          <w:szCs w:val="22"/>
        </w:rPr>
        <w:t xml:space="preserve"> a </w:t>
      </w:r>
      <w:r w:rsidR="00FD3316">
        <w:rPr>
          <w:rFonts w:ascii="Times New Roman" w:hAnsi="Times New Roman"/>
          <w:sz w:val="22"/>
          <w:szCs w:val="22"/>
        </w:rPr>
        <w:t>XXXXXXXXXXXXX</w:t>
      </w:r>
      <w:r w:rsidR="00BA62EB" w:rsidRPr="00860415">
        <w:rPr>
          <w:rFonts w:ascii="Times New Roman" w:hAnsi="Times New Roman"/>
          <w:sz w:val="22"/>
          <w:szCs w:val="22"/>
        </w:rPr>
        <w:t xml:space="preserve"> nejpozději do 31.1.2025</w:t>
      </w:r>
      <w:r w:rsidR="001050B0" w:rsidRPr="00860415">
        <w:rPr>
          <w:rFonts w:ascii="Times New Roman" w:hAnsi="Times New Roman"/>
          <w:sz w:val="22"/>
          <w:szCs w:val="22"/>
        </w:rPr>
        <w:t>.</w:t>
      </w:r>
    </w:p>
    <w:p w14:paraId="18AC0A82" w14:textId="77777777" w:rsidR="00BA62EB" w:rsidRPr="00860415" w:rsidRDefault="00BA62EB" w:rsidP="00134E32">
      <w:pPr>
        <w:pStyle w:val="Prosttext1"/>
        <w:ind w:left="1418"/>
        <w:jc w:val="both"/>
        <w:rPr>
          <w:rFonts w:ascii="Times New Roman" w:hAnsi="Times New Roman"/>
          <w:sz w:val="22"/>
          <w:szCs w:val="22"/>
        </w:rPr>
      </w:pPr>
      <w:r w:rsidRPr="00860415">
        <w:rPr>
          <w:rFonts w:ascii="Times New Roman" w:hAnsi="Times New Roman"/>
          <w:sz w:val="22"/>
          <w:szCs w:val="22"/>
        </w:rPr>
        <w:t>Do 31.8.2025 bude provedeno celkové vyúčtování nákladů na rekonstrukci Pavilonu</w:t>
      </w:r>
      <w:r w:rsidR="007F184C" w:rsidRPr="00860415">
        <w:rPr>
          <w:rFonts w:ascii="Times New Roman" w:hAnsi="Times New Roman"/>
          <w:sz w:val="22"/>
          <w:szCs w:val="22"/>
        </w:rPr>
        <w:t xml:space="preserve"> a </w:t>
      </w:r>
      <w:r w:rsidR="00134E32" w:rsidRPr="00860415">
        <w:rPr>
          <w:rFonts w:ascii="Times New Roman" w:hAnsi="Times New Roman"/>
          <w:sz w:val="22"/>
          <w:szCs w:val="22"/>
        </w:rPr>
        <w:t xml:space="preserve">  </w:t>
      </w:r>
      <w:r w:rsidR="007F184C" w:rsidRPr="00860415">
        <w:rPr>
          <w:rFonts w:ascii="Times New Roman" w:hAnsi="Times New Roman"/>
          <w:sz w:val="22"/>
          <w:szCs w:val="22"/>
        </w:rPr>
        <w:t>toto vyúčtování bude předloženo SNG nejpozději do 30.9.2025.</w:t>
      </w:r>
    </w:p>
    <w:p w14:paraId="1B1BE4A3" w14:textId="77777777" w:rsidR="00BA62EB" w:rsidRPr="00860415" w:rsidRDefault="00BA62EB" w:rsidP="00CB418B">
      <w:pPr>
        <w:pStyle w:val="Prosttext1"/>
        <w:ind w:left="1276" w:hanging="916"/>
        <w:jc w:val="both"/>
        <w:rPr>
          <w:rFonts w:ascii="Times New Roman" w:hAnsi="Times New Roman"/>
          <w:sz w:val="22"/>
          <w:szCs w:val="22"/>
        </w:rPr>
      </w:pPr>
    </w:p>
    <w:p w14:paraId="181EF8AA" w14:textId="77777777" w:rsidR="000E0EE9" w:rsidRPr="00860415" w:rsidRDefault="00BA62EB" w:rsidP="00134E32">
      <w:pPr>
        <w:pStyle w:val="Prosttext1"/>
        <w:ind w:left="1418"/>
        <w:jc w:val="both"/>
        <w:rPr>
          <w:rFonts w:ascii="Times New Roman" w:hAnsi="Times New Roman"/>
          <w:sz w:val="22"/>
          <w:szCs w:val="22"/>
        </w:rPr>
      </w:pPr>
      <w:bookmarkStart w:id="2" w:name="_Hlk150332380"/>
      <w:r w:rsidRPr="00860415">
        <w:rPr>
          <w:rFonts w:ascii="Times New Roman" w:hAnsi="Times New Roman"/>
          <w:sz w:val="22"/>
          <w:szCs w:val="22"/>
        </w:rPr>
        <w:t xml:space="preserve">V případě, že podíl SNG </w:t>
      </w:r>
      <w:r w:rsidR="001050B0" w:rsidRPr="00860415">
        <w:rPr>
          <w:rFonts w:ascii="Times New Roman" w:hAnsi="Times New Roman"/>
          <w:sz w:val="22"/>
          <w:szCs w:val="22"/>
        </w:rPr>
        <w:t xml:space="preserve">(1/3) </w:t>
      </w:r>
      <w:r w:rsidRPr="00860415">
        <w:rPr>
          <w:rFonts w:ascii="Times New Roman" w:hAnsi="Times New Roman"/>
          <w:sz w:val="22"/>
          <w:szCs w:val="22"/>
        </w:rPr>
        <w:t xml:space="preserve">na </w:t>
      </w:r>
      <w:r w:rsidR="007F184C" w:rsidRPr="00860415">
        <w:rPr>
          <w:rFonts w:ascii="Times New Roman" w:hAnsi="Times New Roman"/>
          <w:sz w:val="22"/>
          <w:szCs w:val="22"/>
        </w:rPr>
        <w:t xml:space="preserve">celkových </w:t>
      </w:r>
      <w:r w:rsidRPr="00860415">
        <w:rPr>
          <w:rFonts w:ascii="Times New Roman" w:hAnsi="Times New Roman"/>
          <w:sz w:val="22"/>
          <w:szCs w:val="22"/>
        </w:rPr>
        <w:t>nákladech na rekonstrukci Pavilonu převýší poskytnutou zálohu, bude částka</w:t>
      </w:r>
      <w:r w:rsidR="007F184C" w:rsidRPr="00860415">
        <w:rPr>
          <w:rFonts w:ascii="Times New Roman" w:hAnsi="Times New Roman"/>
          <w:sz w:val="22"/>
          <w:szCs w:val="22"/>
        </w:rPr>
        <w:t xml:space="preserve"> </w:t>
      </w:r>
      <w:r w:rsidRPr="00860415">
        <w:rPr>
          <w:rFonts w:ascii="Times New Roman" w:hAnsi="Times New Roman"/>
          <w:sz w:val="22"/>
          <w:szCs w:val="22"/>
        </w:rPr>
        <w:t xml:space="preserve"> nákladů</w:t>
      </w:r>
      <w:r w:rsidR="007F184C" w:rsidRPr="00860415">
        <w:rPr>
          <w:rFonts w:ascii="Times New Roman" w:hAnsi="Times New Roman"/>
          <w:sz w:val="22"/>
          <w:szCs w:val="22"/>
        </w:rPr>
        <w:t xml:space="preserve"> odpovídající podílu SNG </w:t>
      </w:r>
      <w:r w:rsidRPr="00860415">
        <w:rPr>
          <w:rFonts w:ascii="Times New Roman" w:hAnsi="Times New Roman"/>
          <w:sz w:val="22"/>
          <w:szCs w:val="22"/>
        </w:rPr>
        <w:t xml:space="preserve">převyšující </w:t>
      </w:r>
      <w:r w:rsidR="007F184C" w:rsidRPr="00860415">
        <w:rPr>
          <w:rFonts w:ascii="Times New Roman" w:hAnsi="Times New Roman"/>
          <w:sz w:val="22"/>
          <w:szCs w:val="22"/>
        </w:rPr>
        <w:t>poskytnutou</w:t>
      </w:r>
      <w:r w:rsidRPr="00860415">
        <w:rPr>
          <w:rFonts w:ascii="Times New Roman" w:hAnsi="Times New Roman"/>
          <w:sz w:val="22"/>
          <w:szCs w:val="22"/>
        </w:rPr>
        <w:t xml:space="preserve"> zálohu </w:t>
      </w:r>
      <w:r w:rsidR="007F184C" w:rsidRPr="00860415">
        <w:rPr>
          <w:rFonts w:ascii="Times New Roman" w:hAnsi="Times New Roman"/>
          <w:sz w:val="22"/>
          <w:szCs w:val="22"/>
        </w:rPr>
        <w:t>přefakturována</w:t>
      </w:r>
      <w:r w:rsidRPr="00860415">
        <w:rPr>
          <w:rFonts w:ascii="Times New Roman" w:hAnsi="Times New Roman"/>
          <w:sz w:val="22"/>
          <w:szCs w:val="22"/>
        </w:rPr>
        <w:t xml:space="preserve"> SNG se splatností 30 dnů ode dne doručení</w:t>
      </w:r>
      <w:r w:rsidR="009A0026" w:rsidRPr="00860415">
        <w:rPr>
          <w:rFonts w:ascii="Times New Roman" w:hAnsi="Times New Roman"/>
          <w:sz w:val="22"/>
          <w:szCs w:val="22"/>
        </w:rPr>
        <w:t xml:space="preserve"> faktury</w:t>
      </w:r>
      <w:r w:rsidRPr="00860415">
        <w:rPr>
          <w:rFonts w:ascii="Times New Roman" w:hAnsi="Times New Roman"/>
          <w:sz w:val="22"/>
          <w:szCs w:val="22"/>
        </w:rPr>
        <w:t>, pokud se obě strany nedohodnou jinak</w:t>
      </w:r>
      <w:r w:rsidR="007F184C" w:rsidRPr="00860415">
        <w:rPr>
          <w:rFonts w:ascii="Times New Roman" w:hAnsi="Times New Roman"/>
          <w:sz w:val="22"/>
          <w:szCs w:val="22"/>
        </w:rPr>
        <w:t xml:space="preserve">. </w:t>
      </w:r>
    </w:p>
    <w:bookmarkEnd w:id="2"/>
    <w:p w14:paraId="7736551E" w14:textId="77777777" w:rsidR="007F184C" w:rsidRPr="00860415" w:rsidRDefault="007F184C" w:rsidP="00BA62EB">
      <w:pPr>
        <w:pStyle w:val="Prosttext1"/>
        <w:ind w:left="1276"/>
        <w:jc w:val="both"/>
        <w:rPr>
          <w:rFonts w:ascii="Times New Roman" w:hAnsi="Times New Roman"/>
          <w:sz w:val="22"/>
          <w:szCs w:val="22"/>
        </w:rPr>
      </w:pPr>
    </w:p>
    <w:p w14:paraId="7A6C450C" w14:textId="77777777" w:rsidR="007F184C" w:rsidRPr="00860415" w:rsidRDefault="007F184C" w:rsidP="00134E32">
      <w:pPr>
        <w:pStyle w:val="Prosttext1"/>
        <w:ind w:left="1418"/>
        <w:jc w:val="both"/>
        <w:rPr>
          <w:rFonts w:ascii="Times New Roman" w:hAnsi="Times New Roman"/>
          <w:sz w:val="22"/>
          <w:szCs w:val="22"/>
        </w:rPr>
      </w:pPr>
      <w:r w:rsidRPr="00860415">
        <w:rPr>
          <w:rFonts w:ascii="Times New Roman" w:hAnsi="Times New Roman"/>
          <w:sz w:val="22"/>
          <w:szCs w:val="22"/>
        </w:rPr>
        <w:t xml:space="preserve">V případě, že podíl SNG na celkových nákladech na rekonstrukci Pavilonu (1/3) bude nižší než poskytnutá záloha, bude částka  zálohy převyšující náklady odpovídající podílu SNG uhrazena zpět  SNG se splatností 30 dnů ode dne zpracování vyúčtování,  pokud se obě strany nedohodnou jinak. </w:t>
      </w:r>
      <w:r w:rsidR="002427E4" w:rsidRPr="00860415">
        <w:rPr>
          <w:rFonts w:ascii="Times New Roman" w:hAnsi="Times New Roman"/>
          <w:sz w:val="22"/>
          <w:szCs w:val="22"/>
        </w:rPr>
        <w:t>„</w:t>
      </w:r>
    </w:p>
    <w:p w14:paraId="26A1E5F5" w14:textId="77777777" w:rsidR="007F184C" w:rsidRDefault="007F184C" w:rsidP="00BA62EB">
      <w:pPr>
        <w:pStyle w:val="Prosttext1"/>
        <w:ind w:left="127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BFFA094" w14:textId="77777777" w:rsidR="000E0EE9" w:rsidRDefault="000E0EE9" w:rsidP="000E0EE9">
      <w:pPr>
        <w:pStyle w:val="Prosttext1"/>
        <w:numPr>
          <w:ilvl w:val="0"/>
          <w:numId w:val="28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 souvislosti s výše uvedeným se d</w:t>
      </w:r>
      <w:r w:rsidRPr="00CB418B">
        <w:rPr>
          <w:rFonts w:ascii="Times New Roman" w:hAnsi="Times New Roman"/>
          <w:bCs/>
          <w:sz w:val="22"/>
          <w:szCs w:val="22"/>
        </w:rPr>
        <w:t xml:space="preserve">o Smlouvy se doplňuje </w:t>
      </w:r>
      <w:r>
        <w:rPr>
          <w:rFonts w:ascii="Times New Roman" w:hAnsi="Times New Roman"/>
          <w:bCs/>
          <w:sz w:val="22"/>
          <w:szCs w:val="22"/>
        </w:rPr>
        <w:t>bankovní spojení NGP, jak je uvedeno v záhlaví tohoto dodatku č. 1.</w:t>
      </w:r>
    </w:p>
    <w:p w14:paraId="08C00691" w14:textId="77777777" w:rsidR="00E17BE3" w:rsidRDefault="00E17BE3" w:rsidP="00E17BE3">
      <w:pPr>
        <w:pStyle w:val="Prosttext1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49C89003" w14:textId="77777777" w:rsidR="00405138" w:rsidRPr="00BA62EB" w:rsidRDefault="006A4C62" w:rsidP="006A4C62">
      <w:pPr>
        <w:pStyle w:val="Prosttext1"/>
        <w:numPr>
          <w:ilvl w:val="0"/>
          <w:numId w:val="28"/>
        </w:numPr>
        <w:jc w:val="both"/>
        <w:rPr>
          <w:rFonts w:ascii="Times New Roman" w:hAnsi="Times New Roman"/>
          <w:bCs/>
          <w:sz w:val="22"/>
          <w:szCs w:val="22"/>
        </w:rPr>
      </w:pPr>
      <w:r w:rsidRPr="00BA62EB">
        <w:rPr>
          <w:rFonts w:ascii="Times New Roman" w:hAnsi="Times New Roman"/>
          <w:bCs/>
          <w:sz w:val="22"/>
          <w:szCs w:val="22"/>
        </w:rPr>
        <w:t>Smluvní strany se dohodl</w:t>
      </w:r>
      <w:r w:rsidR="00BA62EB" w:rsidRPr="00BA62EB">
        <w:rPr>
          <w:rFonts w:ascii="Times New Roman" w:hAnsi="Times New Roman"/>
          <w:bCs/>
          <w:sz w:val="22"/>
          <w:szCs w:val="22"/>
        </w:rPr>
        <w:t>y</w:t>
      </w:r>
      <w:r w:rsidRPr="00BA62EB">
        <w:rPr>
          <w:rFonts w:ascii="Times New Roman" w:hAnsi="Times New Roman"/>
          <w:bCs/>
          <w:sz w:val="22"/>
          <w:szCs w:val="22"/>
        </w:rPr>
        <w:t>, že rekonstrukce a oprava Pavilonu se uskuteční ve dvou etapách</w:t>
      </w:r>
      <w:r w:rsidR="00E17BE3" w:rsidRPr="00BA62EB">
        <w:rPr>
          <w:rFonts w:ascii="Times New Roman" w:hAnsi="Times New Roman"/>
          <w:bCs/>
          <w:sz w:val="22"/>
          <w:szCs w:val="22"/>
        </w:rPr>
        <w:t xml:space="preserve"> </w:t>
      </w:r>
    </w:p>
    <w:p w14:paraId="2E49AACB" w14:textId="77777777" w:rsidR="00E17BE3" w:rsidRPr="00BA62EB" w:rsidRDefault="00E17BE3" w:rsidP="00E17BE3">
      <w:pPr>
        <w:pStyle w:val="Prosttext1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BA62EB">
        <w:rPr>
          <w:rFonts w:ascii="Times New Roman" w:hAnsi="Times New Roman"/>
          <w:bCs/>
          <w:sz w:val="22"/>
          <w:szCs w:val="22"/>
        </w:rPr>
        <w:t xml:space="preserve">(viz </w:t>
      </w:r>
      <w:r w:rsidRPr="00BA62EB">
        <w:rPr>
          <w:rFonts w:ascii="Times New Roman" w:hAnsi="Times New Roman"/>
          <w:bCs/>
          <w:i/>
          <w:sz w:val="22"/>
          <w:szCs w:val="22"/>
        </w:rPr>
        <w:t>Záznam z pracovného stretnutia zo dňa 12.10.2023, příloha č.1</w:t>
      </w:r>
      <w:r w:rsidRPr="00BA62EB">
        <w:rPr>
          <w:rFonts w:ascii="Times New Roman" w:hAnsi="Times New Roman"/>
          <w:bCs/>
          <w:sz w:val="22"/>
          <w:szCs w:val="22"/>
        </w:rPr>
        <w:t>) s aktualizovaným předpokládaným harmonogramem rekonstrukce pavilonu (příloha č. 2).</w:t>
      </w:r>
    </w:p>
    <w:p w14:paraId="5B29F035" w14:textId="77777777" w:rsidR="000E0EE9" w:rsidRDefault="000E0EE9" w:rsidP="00CB418B">
      <w:pPr>
        <w:pStyle w:val="Prosttext1"/>
        <w:ind w:left="1276" w:hanging="916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14:paraId="72F0FF83" w14:textId="77777777" w:rsidR="00E17BE3" w:rsidRPr="00CB418B" w:rsidRDefault="00E17BE3" w:rsidP="00CB418B">
      <w:pPr>
        <w:pStyle w:val="Prosttext1"/>
        <w:ind w:left="1276" w:hanging="916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14:paraId="228731C3" w14:textId="77777777" w:rsidR="00B85BA7" w:rsidRPr="008350CF" w:rsidRDefault="00B85BA7" w:rsidP="000E0EE9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8350CF">
        <w:rPr>
          <w:rFonts w:ascii="Times New Roman" w:hAnsi="Times New Roman"/>
          <w:b/>
          <w:sz w:val="22"/>
          <w:szCs w:val="22"/>
        </w:rPr>
        <w:t>III.</w:t>
      </w:r>
    </w:p>
    <w:p w14:paraId="378CD258" w14:textId="77777777" w:rsidR="00343F6E" w:rsidRPr="008350CF" w:rsidRDefault="00343F6E" w:rsidP="00701491">
      <w:pPr>
        <w:pStyle w:val="Prosttext1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8350CF">
        <w:rPr>
          <w:rFonts w:ascii="Times New Roman" w:hAnsi="Times New Roman"/>
          <w:b/>
          <w:sz w:val="22"/>
          <w:szCs w:val="22"/>
        </w:rPr>
        <w:t>Závěrečná ujednání</w:t>
      </w:r>
    </w:p>
    <w:p w14:paraId="306E3EE7" w14:textId="77777777" w:rsidR="0037734D" w:rsidRPr="008350CF" w:rsidRDefault="0037734D" w:rsidP="00701491">
      <w:pPr>
        <w:pStyle w:val="Prosttext1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14:paraId="107001F5" w14:textId="77777777" w:rsidR="00343F6E" w:rsidRPr="008350CF" w:rsidRDefault="00701491" w:rsidP="00343F6E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350CF">
        <w:rPr>
          <w:sz w:val="22"/>
          <w:szCs w:val="22"/>
        </w:rPr>
        <w:t>T</w:t>
      </w:r>
      <w:r w:rsidR="001640A4">
        <w:rPr>
          <w:sz w:val="22"/>
          <w:szCs w:val="22"/>
        </w:rPr>
        <w:t>ento dodatek č. 1 nabývá platnosti a účinnosti dn</w:t>
      </w:r>
      <w:r w:rsidR="00C1225C">
        <w:rPr>
          <w:sz w:val="22"/>
          <w:szCs w:val="22"/>
        </w:rPr>
        <w:t>e</w:t>
      </w:r>
      <w:r w:rsidR="001640A4">
        <w:rPr>
          <w:sz w:val="22"/>
          <w:szCs w:val="22"/>
        </w:rPr>
        <w:t>m</w:t>
      </w:r>
      <w:r w:rsidRPr="008350CF">
        <w:rPr>
          <w:sz w:val="22"/>
          <w:szCs w:val="22"/>
        </w:rPr>
        <w:t xml:space="preserve"> podpisu</w:t>
      </w:r>
      <w:r w:rsidR="001640A4">
        <w:rPr>
          <w:sz w:val="22"/>
          <w:szCs w:val="22"/>
        </w:rPr>
        <w:t xml:space="preserve"> oběma smluvními stranami.</w:t>
      </w:r>
      <w:r w:rsidR="00343F6E" w:rsidRPr="008350CF">
        <w:rPr>
          <w:sz w:val="22"/>
          <w:szCs w:val="22"/>
        </w:rPr>
        <w:t xml:space="preserve"> </w:t>
      </w:r>
      <w:r w:rsidR="003B4796" w:rsidRPr="008350CF">
        <w:rPr>
          <w:sz w:val="22"/>
          <w:szCs w:val="22"/>
        </w:rPr>
        <w:t xml:space="preserve">Pokud se však na </w:t>
      </w:r>
      <w:r w:rsidR="001640A4">
        <w:rPr>
          <w:sz w:val="22"/>
          <w:szCs w:val="22"/>
        </w:rPr>
        <w:t>tento dodatek č. 1</w:t>
      </w:r>
      <w:r w:rsidR="003B4796" w:rsidRPr="008350CF">
        <w:rPr>
          <w:sz w:val="22"/>
          <w:szCs w:val="22"/>
        </w:rPr>
        <w:t xml:space="preserve"> vztahuje povinnost uveřejnění prostřednictvím registru smluv, nabývá </w:t>
      </w:r>
      <w:r w:rsidR="001640A4">
        <w:rPr>
          <w:sz w:val="22"/>
          <w:szCs w:val="22"/>
        </w:rPr>
        <w:t>tento dodatek č. 1</w:t>
      </w:r>
      <w:r w:rsidR="001640A4" w:rsidRPr="008350CF">
        <w:rPr>
          <w:sz w:val="22"/>
          <w:szCs w:val="22"/>
        </w:rPr>
        <w:t xml:space="preserve"> </w:t>
      </w:r>
      <w:r w:rsidR="003B4796" w:rsidRPr="008350CF">
        <w:rPr>
          <w:sz w:val="22"/>
          <w:szCs w:val="22"/>
        </w:rPr>
        <w:t>účinnosti až dnem uveřejnění.</w:t>
      </w:r>
      <w:r w:rsidR="00C1225C">
        <w:rPr>
          <w:sz w:val="22"/>
          <w:szCs w:val="22"/>
        </w:rPr>
        <w:t xml:space="preserve"> Smluvní strany ujednaly, že v případě, že záloha nebude SNG uhrazena </w:t>
      </w:r>
      <w:r w:rsidR="00CB418B">
        <w:rPr>
          <w:sz w:val="22"/>
          <w:szCs w:val="22"/>
        </w:rPr>
        <w:t xml:space="preserve">do </w:t>
      </w:r>
      <w:r w:rsidR="00AD7F30">
        <w:rPr>
          <w:sz w:val="22"/>
          <w:szCs w:val="22"/>
        </w:rPr>
        <w:t xml:space="preserve">15 </w:t>
      </w:r>
      <w:r w:rsidR="006A067D">
        <w:rPr>
          <w:sz w:val="22"/>
          <w:szCs w:val="22"/>
        </w:rPr>
        <w:t>dnů</w:t>
      </w:r>
      <w:r w:rsidR="00CB418B">
        <w:rPr>
          <w:sz w:val="22"/>
          <w:szCs w:val="22"/>
        </w:rPr>
        <w:t xml:space="preserve"> od nabytí účinnosti tohoto dodatku č. 1, dohodly se </w:t>
      </w:r>
      <w:r w:rsidR="00CB418B">
        <w:rPr>
          <w:sz w:val="22"/>
          <w:szCs w:val="22"/>
        </w:rPr>
        <w:lastRenderedPageBreak/>
        <w:t>smluvní strany, že NGP je oprávněna dodatečně vyzvat k nápravě a v případě nesplnění od tohoto dodatku č. 1 odstoupit.</w:t>
      </w:r>
    </w:p>
    <w:p w14:paraId="3407C5E8" w14:textId="77777777" w:rsidR="00104DBB" w:rsidRPr="008350CF" w:rsidRDefault="00104DBB" w:rsidP="00343F6E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350CF">
        <w:rPr>
          <w:sz w:val="22"/>
          <w:szCs w:val="22"/>
        </w:rPr>
        <w:t xml:space="preserve">Vyskytnou-li se události, které jedné smluvní straně částečně nebo úplně znemožní plnění jejích povinností dle </w:t>
      </w:r>
      <w:r w:rsidR="001640A4">
        <w:rPr>
          <w:sz w:val="22"/>
          <w:szCs w:val="22"/>
        </w:rPr>
        <w:t>tohoto</w:t>
      </w:r>
      <w:r w:rsidR="001640A4" w:rsidRPr="001640A4">
        <w:rPr>
          <w:sz w:val="22"/>
          <w:szCs w:val="22"/>
        </w:rPr>
        <w:t xml:space="preserve"> </w:t>
      </w:r>
      <w:r w:rsidR="001640A4">
        <w:rPr>
          <w:sz w:val="22"/>
          <w:szCs w:val="22"/>
        </w:rPr>
        <w:t>dodatku č. 1</w:t>
      </w:r>
      <w:r w:rsidRPr="008350CF">
        <w:rPr>
          <w:sz w:val="22"/>
          <w:szCs w:val="22"/>
        </w:rPr>
        <w:t xml:space="preserve">, je </w:t>
      </w:r>
      <w:r w:rsidR="00CA384B">
        <w:rPr>
          <w:sz w:val="22"/>
          <w:szCs w:val="22"/>
        </w:rPr>
        <w:t xml:space="preserve">povinna </w:t>
      </w:r>
      <w:r w:rsidRPr="008350CF">
        <w:rPr>
          <w:sz w:val="22"/>
          <w:szCs w:val="22"/>
        </w:rPr>
        <w:t>o tom bez zbytečného odkladu informovat druhou smluvní stranu a společně podniknout kroky k jejich překonání.</w:t>
      </w:r>
    </w:p>
    <w:p w14:paraId="29402E13" w14:textId="77777777" w:rsidR="00C1225C" w:rsidRPr="008350CF" w:rsidRDefault="00104DBB" w:rsidP="001640A4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350CF">
        <w:rPr>
          <w:sz w:val="22"/>
          <w:szCs w:val="22"/>
        </w:rPr>
        <w:t xml:space="preserve">Vztahy </w:t>
      </w:r>
      <w:r w:rsidR="001640A4">
        <w:rPr>
          <w:sz w:val="22"/>
          <w:szCs w:val="22"/>
        </w:rPr>
        <w:t>tímto dodatkem č. 1</w:t>
      </w:r>
      <w:r w:rsidRPr="008350CF">
        <w:rPr>
          <w:sz w:val="22"/>
          <w:szCs w:val="22"/>
        </w:rPr>
        <w:t xml:space="preserve"> neupravené se řídí </w:t>
      </w:r>
      <w:r w:rsidR="00A24C3C" w:rsidRPr="008350CF">
        <w:rPr>
          <w:sz w:val="22"/>
          <w:szCs w:val="22"/>
        </w:rPr>
        <w:t>českým právním řádem</w:t>
      </w:r>
      <w:r w:rsidR="00FC794D" w:rsidRPr="008350CF">
        <w:rPr>
          <w:sz w:val="22"/>
          <w:szCs w:val="22"/>
        </w:rPr>
        <w:t>,</w:t>
      </w:r>
      <w:r w:rsidR="00A24C3C" w:rsidRPr="008350CF">
        <w:rPr>
          <w:sz w:val="22"/>
          <w:szCs w:val="22"/>
        </w:rPr>
        <w:t xml:space="preserve"> </w:t>
      </w:r>
      <w:r w:rsidRPr="008350CF">
        <w:rPr>
          <w:sz w:val="22"/>
          <w:szCs w:val="22"/>
        </w:rPr>
        <w:t>zejména</w:t>
      </w:r>
      <w:r w:rsidR="00A24C3C" w:rsidRPr="008350CF">
        <w:rPr>
          <w:sz w:val="22"/>
          <w:szCs w:val="22"/>
        </w:rPr>
        <w:t xml:space="preserve"> pak</w:t>
      </w:r>
      <w:r w:rsidRPr="008350CF">
        <w:rPr>
          <w:sz w:val="22"/>
          <w:szCs w:val="22"/>
        </w:rPr>
        <w:t xml:space="preserve"> příslušnými ustanoveními </w:t>
      </w:r>
      <w:r w:rsidR="00A03B08" w:rsidRPr="008350CF">
        <w:rPr>
          <w:sz w:val="22"/>
          <w:szCs w:val="22"/>
        </w:rPr>
        <w:t>zákona č. 89/2012 Sb., občans</w:t>
      </w:r>
      <w:r w:rsidRPr="008350CF">
        <w:rPr>
          <w:sz w:val="22"/>
          <w:szCs w:val="22"/>
        </w:rPr>
        <w:t>ký zákoník</w:t>
      </w:r>
      <w:r w:rsidR="00CB418B">
        <w:rPr>
          <w:sz w:val="22"/>
          <w:szCs w:val="22"/>
        </w:rPr>
        <w:t>, ve znění pozdějších předpisů</w:t>
      </w:r>
      <w:r w:rsidR="001640A4">
        <w:rPr>
          <w:sz w:val="22"/>
          <w:szCs w:val="22"/>
        </w:rPr>
        <w:t>.</w:t>
      </w:r>
      <w:r w:rsidR="00C1225C">
        <w:rPr>
          <w:sz w:val="22"/>
          <w:szCs w:val="22"/>
        </w:rPr>
        <w:t xml:space="preserve"> </w:t>
      </w:r>
    </w:p>
    <w:p w14:paraId="1E344BBF" w14:textId="77777777" w:rsidR="00FF6C33" w:rsidRPr="008350CF" w:rsidRDefault="001640A4" w:rsidP="001640A4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Tento dodatek č. 1</w:t>
      </w:r>
      <w:r w:rsidRPr="008350CF">
        <w:rPr>
          <w:sz w:val="22"/>
          <w:szCs w:val="22"/>
        </w:rPr>
        <w:t xml:space="preserve"> </w:t>
      </w:r>
      <w:r w:rsidR="00701491" w:rsidRPr="008350CF">
        <w:rPr>
          <w:sz w:val="22"/>
          <w:szCs w:val="22"/>
        </w:rPr>
        <w:t>je vyhotoven</w:t>
      </w:r>
      <w:r w:rsidR="00343F6E" w:rsidRPr="008350CF">
        <w:rPr>
          <w:sz w:val="22"/>
          <w:szCs w:val="22"/>
        </w:rPr>
        <w:t xml:space="preserve"> ve dvou </w:t>
      </w:r>
      <w:r w:rsidR="00243A24" w:rsidRPr="008350CF">
        <w:rPr>
          <w:sz w:val="22"/>
          <w:szCs w:val="22"/>
        </w:rPr>
        <w:t xml:space="preserve">vyhotoveních, přičemž </w:t>
      </w:r>
      <w:r w:rsidR="00C52676" w:rsidRPr="008350CF">
        <w:rPr>
          <w:sz w:val="22"/>
          <w:szCs w:val="22"/>
        </w:rPr>
        <w:t>k</w:t>
      </w:r>
      <w:r w:rsidR="00343F6E" w:rsidRPr="008350CF">
        <w:rPr>
          <w:sz w:val="22"/>
          <w:szCs w:val="22"/>
        </w:rPr>
        <w:t xml:space="preserve">aždá ze smluvních stran obdrží jedno vyhotovení. </w:t>
      </w:r>
    </w:p>
    <w:p w14:paraId="574AA4BE" w14:textId="77777777" w:rsidR="00FF6C33" w:rsidRPr="008350CF" w:rsidRDefault="00FF6C33" w:rsidP="001640A4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8350CF">
        <w:rPr>
          <w:sz w:val="22"/>
          <w:szCs w:val="22"/>
        </w:rPr>
        <w:t xml:space="preserve">Pro případ povinnosti uveřejnění této </w:t>
      </w:r>
      <w:r w:rsidR="009A02AB" w:rsidRPr="008350CF">
        <w:rPr>
          <w:sz w:val="22"/>
          <w:szCs w:val="22"/>
        </w:rPr>
        <w:t>smlouv</w:t>
      </w:r>
      <w:r w:rsidR="00640F19" w:rsidRPr="008350CF">
        <w:rPr>
          <w:sz w:val="22"/>
          <w:szCs w:val="22"/>
        </w:rPr>
        <w:t>y</w:t>
      </w:r>
      <w:r w:rsidRPr="008350CF">
        <w:rPr>
          <w:sz w:val="22"/>
          <w:szCs w:val="22"/>
        </w:rPr>
        <w:t xml:space="preserve"> dle zákona č. 340/2015 Sb., o zvláštních podmínkách účinnosti některých smluv, uveřejňování těchto smluv a o registru smluv (zákon o registru smluv) smluvní strany sjednávají, že uveřejnění provede NGP. Obě strany berou na vědomí, že nebudou uveřejněny pouze ty informace, které nelze poskytnout podle předpisů upravujících svobodný přístup k informacím. Považuje-li </w:t>
      </w:r>
      <w:r w:rsidR="00454182">
        <w:rPr>
          <w:sz w:val="22"/>
          <w:szCs w:val="22"/>
        </w:rPr>
        <w:t>SNG</w:t>
      </w:r>
      <w:r w:rsidRPr="008350CF">
        <w:rPr>
          <w:sz w:val="22"/>
          <w:szCs w:val="22"/>
        </w:rPr>
        <w:t xml:space="preserve"> některé </w:t>
      </w:r>
      <w:r w:rsidR="00454182">
        <w:rPr>
          <w:sz w:val="22"/>
          <w:szCs w:val="22"/>
        </w:rPr>
        <w:t>údaje</w:t>
      </w:r>
      <w:r w:rsidRPr="008350CF">
        <w:rPr>
          <w:sz w:val="22"/>
          <w:szCs w:val="22"/>
        </w:rPr>
        <w:t xml:space="preserve"> uvedené v</w:t>
      </w:r>
      <w:r w:rsidR="000E0EE9">
        <w:rPr>
          <w:sz w:val="22"/>
          <w:szCs w:val="22"/>
        </w:rPr>
        <w:t> tomto dodatku č. 1</w:t>
      </w:r>
      <w:r w:rsidRPr="008350CF">
        <w:rPr>
          <w:sz w:val="22"/>
          <w:szCs w:val="22"/>
        </w:rPr>
        <w:t xml:space="preserve"> za informace, které nemají být uveřejněny v registru smluv dle zákona o registru smluv, je povinna na to NGP současně s uzavřením </w:t>
      </w:r>
      <w:r w:rsidR="000E0EE9">
        <w:rPr>
          <w:sz w:val="22"/>
          <w:szCs w:val="22"/>
        </w:rPr>
        <w:t>tohoto dodatku č. 1</w:t>
      </w:r>
      <w:r w:rsidR="000E0EE9" w:rsidRPr="008350CF">
        <w:rPr>
          <w:sz w:val="22"/>
          <w:szCs w:val="22"/>
        </w:rPr>
        <w:t xml:space="preserve"> </w:t>
      </w:r>
      <w:r w:rsidRPr="008350CF">
        <w:rPr>
          <w:sz w:val="22"/>
          <w:szCs w:val="22"/>
        </w:rPr>
        <w:t xml:space="preserve">písemně upozornit. </w:t>
      </w:r>
      <w:r w:rsidR="00454182">
        <w:rPr>
          <w:sz w:val="22"/>
          <w:szCs w:val="22"/>
        </w:rPr>
        <w:t>SNG</w:t>
      </w:r>
      <w:r w:rsidRPr="008350CF">
        <w:rPr>
          <w:sz w:val="22"/>
          <w:szCs w:val="22"/>
        </w:rPr>
        <w:t xml:space="preserve"> výslovně souhlasí s tím, že NGP v případě pochybností o tom, zda </w:t>
      </w:r>
      <w:r w:rsidR="00454182">
        <w:rPr>
          <w:sz w:val="22"/>
          <w:szCs w:val="22"/>
        </w:rPr>
        <w:t>vznikla</w:t>
      </w:r>
      <w:r w:rsidRPr="008350CF">
        <w:rPr>
          <w:sz w:val="22"/>
          <w:szCs w:val="22"/>
        </w:rPr>
        <w:t xml:space="preserve"> p</w:t>
      </w:r>
      <w:r w:rsidR="009A02AB" w:rsidRPr="008350CF">
        <w:rPr>
          <w:sz w:val="22"/>
          <w:szCs w:val="22"/>
        </w:rPr>
        <w:t xml:space="preserve">ovinnost uveřejnění </w:t>
      </w:r>
      <w:r w:rsidR="000E0EE9">
        <w:rPr>
          <w:sz w:val="22"/>
          <w:szCs w:val="22"/>
        </w:rPr>
        <w:t>tohoto dodatku č. 1</w:t>
      </w:r>
      <w:r w:rsidR="000E0EE9" w:rsidRPr="008350CF">
        <w:rPr>
          <w:sz w:val="22"/>
          <w:szCs w:val="22"/>
        </w:rPr>
        <w:t xml:space="preserve"> </w:t>
      </w:r>
      <w:r w:rsidRPr="008350CF">
        <w:rPr>
          <w:sz w:val="22"/>
          <w:szCs w:val="22"/>
        </w:rPr>
        <w:t xml:space="preserve">v registru smluv, </w:t>
      </w:r>
      <w:r w:rsidR="000E0EE9">
        <w:rPr>
          <w:sz w:val="22"/>
          <w:szCs w:val="22"/>
        </w:rPr>
        <w:t>tento dodatek č. 1</w:t>
      </w:r>
      <w:r w:rsidR="000E0EE9" w:rsidRPr="008350CF">
        <w:rPr>
          <w:sz w:val="22"/>
          <w:szCs w:val="22"/>
        </w:rPr>
        <w:t xml:space="preserve"> </w:t>
      </w:r>
      <w:r w:rsidRPr="008350CF">
        <w:rPr>
          <w:sz w:val="22"/>
          <w:szCs w:val="22"/>
        </w:rPr>
        <w:t xml:space="preserve">v zájmu transparentnosti a právní jistoty uveřejní. </w:t>
      </w:r>
    </w:p>
    <w:p w14:paraId="659EFC5D" w14:textId="77777777" w:rsidR="00343F6E" w:rsidRPr="008350CF" w:rsidRDefault="00343F6E" w:rsidP="00E3045D">
      <w:pPr>
        <w:pStyle w:val="Prosttext1"/>
        <w:ind w:left="360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="675" w:tblpY="385"/>
        <w:tblW w:w="9432" w:type="dxa"/>
        <w:tblLook w:val="01E0" w:firstRow="1" w:lastRow="1" w:firstColumn="1" w:lastColumn="1" w:noHBand="0" w:noVBand="0"/>
      </w:tblPr>
      <w:tblGrid>
        <w:gridCol w:w="4896"/>
        <w:gridCol w:w="4536"/>
      </w:tblGrid>
      <w:tr w:rsidR="002E4564" w:rsidRPr="008350CF" w14:paraId="7D1A3889" w14:textId="77777777" w:rsidTr="00343F6E">
        <w:tc>
          <w:tcPr>
            <w:tcW w:w="4896" w:type="dxa"/>
          </w:tcPr>
          <w:p w14:paraId="1F4478D8" w14:textId="77777777" w:rsidR="00B501AB" w:rsidRPr="008350CF" w:rsidRDefault="00B501AB" w:rsidP="00CA56DA">
            <w:pPr>
              <w:ind w:right="1440"/>
              <w:rPr>
                <w:b/>
                <w:sz w:val="22"/>
                <w:szCs w:val="22"/>
              </w:rPr>
            </w:pPr>
            <w:r w:rsidRPr="008350CF">
              <w:rPr>
                <w:sz w:val="22"/>
                <w:szCs w:val="22"/>
              </w:rPr>
              <w:t>V Praze dne …</w:t>
            </w:r>
            <w:r w:rsidR="009A2C08" w:rsidRPr="008350CF">
              <w:rPr>
                <w:sz w:val="22"/>
                <w:szCs w:val="22"/>
              </w:rPr>
              <w:t>……………</w:t>
            </w:r>
          </w:p>
          <w:p w14:paraId="20DCB004" w14:textId="77777777" w:rsidR="00B501AB" w:rsidRPr="008350CF" w:rsidRDefault="00B501AB" w:rsidP="00CA56DA">
            <w:pPr>
              <w:ind w:right="1440"/>
              <w:rPr>
                <w:b/>
                <w:sz w:val="22"/>
                <w:szCs w:val="22"/>
              </w:rPr>
            </w:pPr>
          </w:p>
          <w:p w14:paraId="4D59501C" w14:textId="77777777" w:rsidR="002E4564" w:rsidRPr="008350CF" w:rsidRDefault="002E4564" w:rsidP="00CA56DA">
            <w:pPr>
              <w:ind w:right="1440"/>
              <w:rPr>
                <w:sz w:val="22"/>
                <w:szCs w:val="22"/>
              </w:rPr>
            </w:pPr>
          </w:p>
          <w:p w14:paraId="76632706" w14:textId="77777777" w:rsidR="002E4564" w:rsidRPr="008350CF" w:rsidRDefault="002E4564" w:rsidP="00CA56DA">
            <w:pPr>
              <w:ind w:right="1440"/>
              <w:rPr>
                <w:sz w:val="22"/>
                <w:szCs w:val="22"/>
              </w:rPr>
            </w:pPr>
          </w:p>
          <w:p w14:paraId="54DCFDC0" w14:textId="77777777" w:rsidR="002E4564" w:rsidRPr="008350CF" w:rsidRDefault="002E4564" w:rsidP="00CA56DA">
            <w:pPr>
              <w:ind w:right="1440"/>
              <w:rPr>
                <w:sz w:val="22"/>
                <w:szCs w:val="22"/>
              </w:rPr>
            </w:pPr>
          </w:p>
          <w:p w14:paraId="3CFF903B" w14:textId="77777777" w:rsidR="002E4564" w:rsidRPr="008350CF" w:rsidRDefault="002E4564" w:rsidP="00CA56DA">
            <w:pPr>
              <w:ind w:right="1440"/>
              <w:rPr>
                <w:sz w:val="22"/>
                <w:szCs w:val="22"/>
              </w:rPr>
            </w:pPr>
            <w:r w:rsidRPr="008350CF">
              <w:rPr>
                <w:sz w:val="22"/>
                <w:szCs w:val="22"/>
              </w:rPr>
              <w:t>___________________________</w:t>
            </w:r>
          </w:p>
          <w:p w14:paraId="334D0D56" w14:textId="77777777" w:rsidR="002E4564" w:rsidRPr="008350CF" w:rsidRDefault="00063090" w:rsidP="001900F6">
            <w:pPr>
              <w:ind w:right="1440"/>
              <w:rPr>
                <w:b/>
                <w:sz w:val="22"/>
                <w:szCs w:val="22"/>
              </w:rPr>
            </w:pPr>
            <w:r w:rsidRPr="008350CF">
              <w:rPr>
                <w:b/>
                <w:sz w:val="22"/>
                <w:szCs w:val="22"/>
              </w:rPr>
              <w:t>Národní galerie v Praze</w:t>
            </w:r>
          </w:p>
          <w:p w14:paraId="2E057748" w14:textId="77777777" w:rsidR="001640A4" w:rsidRDefault="001640A4" w:rsidP="00ED2B0F">
            <w:pPr>
              <w:ind w:right="1440"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Alicja Knast</w:t>
            </w:r>
          </w:p>
          <w:p w14:paraId="22BDD33C" w14:textId="77777777" w:rsidR="00063090" w:rsidRPr="008350CF" w:rsidRDefault="00063090" w:rsidP="00ED2B0F">
            <w:pPr>
              <w:ind w:right="1440"/>
              <w:rPr>
                <w:sz w:val="22"/>
                <w:szCs w:val="22"/>
              </w:rPr>
            </w:pPr>
            <w:r w:rsidRPr="008350CF">
              <w:rPr>
                <w:spacing w:val="6"/>
                <w:sz w:val="22"/>
                <w:szCs w:val="22"/>
              </w:rPr>
              <w:t>generální ředitelka</w:t>
            </w:r>
          </w:p>
        </w:tc>
        <w:tc>
          <w:tcPr>
            <w:tcW w:w="4536" w:type="dxa"/>
          </w:tcPr>
          <w:p w14:paraId="675D629C" w14:textId="77777777" w:rsidR="00B501AB" w:rsidRPr="008350CF" w:rsidRDefault="00B501AB" w:rsidP="00CA56DA">
            <w:pPr>
              <w:ind w:right="1440"/>
              <w:rPr>
                <w:b/>
                <w:sz w:val="22"/>
                <w:szCs w:val="22"/>
              </w:rPr>
            </w:pPr>
            <w:r w:rsidRPr="008350CF">
              <w:rPr>
                <w:sz w:val="22"/>
                <w:szCs w:val="22"/>
              </w:rPr>
              <w:t xml:space="preserve">V </w:t>
            </w:r>
            <w:r w:rsidR="001640A4">
              <w:rPr>
                <w:sz w:val="22"/>
                <w:szCs w:val="22"/>
              </w:rPr>
              <w:t>………….</w:t>
            </w:r>
            <w:r w:rsidR="001640A4" w:rsidRPr="008350CF">
              <w:rPr>
                <w:sz w:val="22"/>
                <w:szCs w:val="22"/>
              </w:rPr>
              <w:t xml:space="preserve"> </w:t>
            </w:r>
            <w:r w:rsidRPr="008350CF">
              <w:rPr>
                <w:sz w:val="22"/>
                <w:szCs w:val="22"/>
              </w:rPr>
              <w:t>dne …</w:t>
            </w:r>
            <w:r w:rsidR="009A2C08" w:rsidRPr="008350CF">
              <w:rPr>
                <w:sz w:val="22"/>
                <w:szCs w:val="22"/>
              </w:rPr>
              <w:t>……</w:t>
            </w:r>
            <w:r w:rsidR="009F4B7F" w:rsidRPr="008350CF">
              <w:rPr>
                <w:sz w:val="22"/>
                <w:szCs w:val="22"/>
              </w:rPr>
              <w:t>……</w:t>
            </w:r>
            <w:r w:rsidR="009A2C08" w:rsidRPr="008350CF">
              <w:rPr>
                <w:sz w:val="22"/>
                <w:szCs w:val="22"/>
              </w:rPr>
              <w:t>.</w:t>
            </w:r>
          </w:p>
          <w:p w14:paraId="049CF542" w14:textId="77777777" w:rsidR="00B501AB" w:rsidRPr="008350CF" w:rsidRDefault="00B501AB" w:rsidP="00CA56DA">
            <w:pPr>
              <w:ind w:right="1440"/>
              <w:rPr>
                <w:b/>
                <w:sz w:val="22"/>
                <w:szCs w:val="22"/>
              </w:rPr>
            </w:pPr>
          </w:p>
          <w:p w14:paraId="14799EC0" w14:textId="77777777" w:rsidR="002E4564" w:rsidRPr="008350CF" w:rsidRDefault="002E4564" w:rsidP="00CA56DA">
            <w:pPr>
              <w:ind w:right="1440"/>
              <w:rPr>
                <w:b/>
                <w:sz w:val="22"/>
                <w:szCs w:val="22"/>
              </w:rPr>
            </w:pPr>
          </w:p>
          <w:p w14:paraId="18CBE0F4" w14:textId="77777777" w:rsidR="002E4564" w:rsidRPr="008350CF" w:rsidRDefault="002E4564" w:rsidP="00CA56DA">
            <w:pPr>
              <w:ind w:right="1440"/>
              <w:rPr>
                <w:sz w:val="22"/>
                <w:szCs w:val="22"/>
              </w:rPr>
            </w:pPr>
          </w:p>
          <w:p w14:paraId="6081A2C4" w14:textId="77777777" w:rsidR="002E4564" w:rsidRPr="008350CF" w:rsidRDefault="002E4564" w:rsidP="00CA56DA">
            <w:pPr>
              <w:ind w:right="1440"/>
              <w:rPr>
                <w:sz w:val="22"/>
                <w:szCs w:val="22"/>
              </w:rPr>
            </w:pPr>
          </w:p>
          <w:p w14:paraId="684E26E5" w14:textId="77777777" w:rsidR="002E4564" w:rsidRPr="008350CF" w:rsidRDefault="009A02AB" w:rsidP="009A02AB">
            <w:pPr>
              <w:ind w:right="1440"/>
              <w:rPr>
                <w:sz w:val="22"/>
                <w:szCs w:val="22"/>
              </w:rPr>
            </w:pPr>
            <w:r w:rsidRPr="008350CF">
              <w:rPr>
                <w:sz w:val="22"/>
                <w:szCs w:val="22"/>
              </w:rPr>
              <w:t>________________________</w:t>
            </w:r>
          </w:p>
          <w:p w14:paraId="19371C66" w14:textId="77777777" w:rsidR="009A02AB" w:rsidRPr="008350CF" w:rsidRDefault="00063090" w:rsidP="00CA56DA">
            <w:pPr>
              <w:ind w:right="1440"/>
              <w:rPr>
                <w:b/>
                <w:sz w:val="22"/>
                <w:szCs w:val="22"/>
              </w:rPr>
            </w:pPr>
            <w:r w:rsidRPr="008350CF">
              <w:rPr>
                <w:b/>
                <w:sz w:val="22"/>
                <w:szCs w:val="22"/>
              </w:rPr>
              <w:t>Slovenská národná galéria</w:t>
            </w:r>
          </w:p>
          <w:p w14:paraId="72493C89" w14:textId="77777777" w:rsidR="00063090" w:rsidRPr="008350CF" w:rsidRDefault="00063090" w:rsidP="00CA56DA">
            <w:pPr>
              <w:ind w:right="14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350CF">
              <w:rPr>
                <w:color w:val="000000"/>
                <w:sz w:val="22"/>
                <w:szCs w:val="22"/>
                <w:shd w:val="clear" w:color="auto" w:fill="FFFFFF"/>
              </w:rPr>
              <w:t>Mgr. Alexandra Kusá, PhD.</w:t>
            </w:r>
          </w:p>
          <w:p w14:paraId="7EA4388B" w14:textId="77777777" w:rsidR="00063090" w:rsidRPr="008350CF" w:rsidRDefault="00063090" w:rsidP="00CA56DA">
            <w:pPr>
              <w:ind w:right="1440"/>
              <w:rPr>
                <w:b/>
                <w:sz w:val="22"/>
                <w:szCs w:val="22"/>
              </w:rPr>
            </w:pPr>
            <w:r w:rsidRPr="008350CF">
              <w:rPr>
                <w:spacing w:val="6"/>
                <w:sz w:val="22"/>
                <w:szCs w:val="22"/>
              </w:rPr>
              <w:t>generální ředitelka</w:t>
            </w:r>
          </w:p>
        </w:tc>
      </w:tr>
    </w:tbl>
    <w:p w14:paraId="71F7CC57" w14:textId="77777777" w:rsidR="009428C2" w:rsidRDefault="009428C2"/>
    <w:p w14:paraId="4A670716" w14:textId="77777777" w:rsidR="009428C2" w:rsidRPr="009428C2" w:rsidRDefault="009428C2" w:rsidP="009428C2"/>
    <w:p w14:paraId="6D87BCF8" w14:textId="77777777" w:rsidR="009428C2" w:rsidRPr="009428C2" w:rsidRDefault="009428C2" w:rsidP="009428C2"/>
    <w:p w14:paraId="0B69581A" w14:textId="77777777" w:rsidR="009428C2" w:rsidRPr="009428C2" w:rsidRDefault="009428C2" w:rsidP="009428C2"/>
    <w:p w14:paraId="6365A766" w14:textId="77777777" w:rsidR="009428C2" w:rsidRPr="009428C2" w:rsidRDefault="009428C2" w:rsidP="009428C2"/>
    <w:p w14:paraId="4DD3D89C" w14:textId="77777777" w:rsidR="009428C2" w:rsidRPr="009428C2" w:rsidRDefault="009428C2" w:rsidP="009428C2"/>
    <w:p w14:paraId="5329A95E" w14:textId="77777777" w:rsidR="009428C2" w:rsidRPr="009428C2" w:rsidRDefault="009428C2" w:rsidP="009428C2"/>
    <w:p w14:paraId="00536D0B" w14:textId="77777777" w:rsidR="009428C2" w:rsidRPr="009428C2" w:rsidRDefault="009428C2" w:rsidP="009428C2"/>
    <w:p w14:paraId="1B8AF612" w14:textId="77777777" w:rsidR="009428C2" w:rsidRPr="009428C2" w:rsidRDefault="009428C2" w:rsidP="009428C2"/>
    <w:p w14:paraId="3D0ED76C" w14:textId="77777777" w:rsidR="009428C2" w:rsidRDefault="009428C2" w:rsidP="009428C2"/>
    <w:p w14:paraId="7D6B2C03" w14:textId="77777777" w:rsidR="009428C2" w:rsidRDefault="009428C2" w:rsidP="009428C2"/>
    <w:p w14:paraId="138470DE" w14:textId="77777777" w:rsidR="00F61CB9" w:rsidRDefault="009428C2" w:rsidP="009428C2">
      <w:pPr>
        <w:tabs>
          <w:tab w:val="left" w:pos="8100"/>
        </w:tabs>
      </w:pPr>
      <w:r>
        <w:tab/>
      </w:r>
    </w:p>
    <w:p w14:paraId="5AEABF33" w14:textId="77777777" w:rsidR="009428C2" w:rsidRDefault="009428C2" w:rsidP="009428C2">
      <w:pPr>
        <w:pStyle w:val="Odstavecseseznamem"/>
        <w:rPr>
          <w:rFonts w:ascii="Arial" w:hAnsi="Arial" w:cs="Arial"/>
          <w:b/>
          <w:bCs/>
        </w:rPr>
      </w:pPr>
    </w:p>
    <w:p w14:paraId="7AB5FD76" w14:textId="77777777" w:rsidR="003C2372" w:rsidRDefault="003C2372" w:rsidP="009428C2">
      <w:pPr>
        <w:pStyle w:val="Odstavecseseznamem"/>
        <w:rPr>
          <w:rFonts w:ascii="Arial" w:hAnsi="Arial" w:cs="Arial"/>
          <w:b/>
          <w:bCs/>
        </w:rPr>
      </w:pPr>
    </w:p>
    <w:sectPr w:rsidR="003C23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637D" w14:textId="77777777" w:rsidR="00B624B9" w:rsidRDefault="00B624B9" w:rsidP="0086609C">
      <w:r>
        <w:separator/>
      </w:r>
    </w:p>
  </w:endnote>
  <w:endnote w:type="continuationSeparator" w:id="0">
    <w:p w14:paraId="16125ED9" w14:textId="77777777" w:rsidR="00B624B9" w:rsidRDefault="00B624B9" w:rsidP="0086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EA21" w14:textId="77777777" w:rsidR="0078049C" w:rsidRPr="008350CF" w:rsidRDefault="0078049C">
    <w:pPr>
      <w:pStyle w:val="Zpat"/>
      <w:jc w:val="right"/>
      <w:rPr>
        <w:sz w:val="22"/>
      </w:rPr>
    </w:pPr>
    <w:r w:rsidRPr="008350CF">
      <w:rPr>
        <w:sz w:val="22"/>
      </w:rPr>
      <w:t xml:space="preserve">Stránka </w:t>
    </w:r>
    <w:r w:rsidRPr="008350CF">
      <w:rPr>
        <w:b/>
        <w:bCs/>
        <w:sz w:val="22"/>
      </w:rPr>
      <w:fldChar w:fldCharType="begin"/>
    </w:r>
    <w:r w:rsidRPr="008350CF">
      <w:rPr>
        <w:b/>
        <w:bCs/>
        <w:sz w:val="22"/>
      </w:rPr>
      <w:instrText>PAGE</w:instrText>
    </w:r>
    <w:r w:rsidRPr="008350CF">
      <w:rPr>
        <w:b/>
        <w:bCs/>
        <w:sz w:val="22"/>
      </w:rPr>
      <w:fldChar w:fldCharType="separate"/>
    </w:r>
    <w:r w:rsidR="00DC3479">
      <w:rPr>
        <w:b/>
        <w:bCs/>
        <w:noProof/>
        <w:sz w:val="22"/>
      </w:rPr>
      <w:t>3</w:t>
    </w:r>
    <w:r w:rsidRPr="008350CF">
      <w:rPr>
        <w:b/>
        <w:bCs/>
        <w:sz w:val="22"/>
      </w:rPr>
      <w:fldChar w:fldCharType="end"/>
    </w:r>
    <w:r w:rsidRPr="008350CF">
      <w:rPr>
        <w:sz w:val="22"/>
      </w:rPr>
      <w:t xml:space="preserve"> z </w:t>
    </w:r>
    <w:r w:rsidRPr="008350CF">
      <w:rPr>
        <w:b/>
        <w:bCs/>
        <w:sz w:val="22"/>
      </w:rPr>
      <w:fldChar w:fldCharType="begin"/>
    </w:r>
    <w:r w:rsidRPr="008350CF">
      <w:rPr>
        <w:b/>
        <w:bCs/>
        <w:sz w:val="22"/>
      </w:rPr>
      <w:instrText>NUMPAGES</w:instrText>
    </w:r>
    <w:r w:rsidRPr="008350CF">
      <w:rPr>
        <w:b/>
        <w:bCs/>
        <w:sz w:val="22"/>
      </w:rPr>
      <w:fldChar w:fldCharType="separate"/>
    </w:r>
    <w:r w:rsidR="00DC3479">
      <w:rPr>
        <w:b/>
        <w:bCs/>
        <w:noProof/>
        <w:sz w:val="22"/>
      </w:rPr>
      <w:t>3</w:t>
    </w:r>
    <w:r w:rsidRPr="008350CF">
      <w:rPr>
        <w:b/>
        <w:bCs/>
        <w:sz w:val="22"/>
      </w:rPr>
      <w:fldChar w:fldCharType="end"/>
    </w:r>
  </w:p>
  <w:p w14:paraId="7C63CEDF" w14:textId="77777777" w:rsidR="0078049C" w:rsidRPr="008350CF" w:rsidRDefault="0078049C">
    <w:pPr>
      <w:pStyle w:val="Zpa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6575" w14:textId="77777777" w:rsidR="00B624B9" w:rsidRDefault="00B624B9" w:rsidP="0086609C">
      <w:r>
        <w:separator/>
      </w:r>
    </w:p>
  </w:footnote>
  <w:footnote w:type="continuationSeparator" w:id="0">
    <w:p w14:paraId="4739CB80" w14:textId="77777777" w:rsidR="00B624B9" w:rsidRDefault="00B624B9" w:rsidP="0086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5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CD6E39"/>
    <w:multiLevelType w:val="hybridMultilevel"/>
    <w:tmpl w:val="BD32BA52"/>
    <w:lvl w:ilvl="0" w:tplc="534E303C">
      <w:start w:val="1"/>
      <w:numFmt w:val="decimal"/>
      <w:lvlText w:val="11.%1 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50F95"/>
    <w:multiLevelType w:val="multilevel"/>
    <w:tmpl w:val="F5045B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3" w15:restartNumberingAfterBreak="0">
    <w:nsid w:val="10263795"/>
    <w:multiLevelType w:val="hybridMultilevel"/>
    <w:tmpl w:val="E1806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3FC"/>
    <w:multiLevelType w:val="multilevel"/>
    <w:tmpl w:val="5F98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A2398"/>
    <w:multiLevelType w:val="hybridMultilevel"/>
    <w:tmpl w:val="94702774"/>
    <w:lvl w:ilvl="0" w:tplc="E34EB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D7224"/>
    <w:multiLevelType w:val="hybridMultilevel"/>
    <w:tmpl w:val="C6CE5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C295E"/>
    <w:multiLevelType w:val="hybridMultilevel"/>
    <w:tmpl w:val="C8341C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D67C1"/>
    <w:multiLevelType w:val="multilevel"/>
    <w:tmpl w:val="54001F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9" w15:restartNumberingAfterBreak="0">
    <w:nsid w:val="2F9C3181"/>
    <w:multiLevelType w:val="hybridMultilevel"/>
    <w:tmpl w:val="C8341C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A2147"/>
    <w:multiLevelType w:val="multilevel"/>
    <w:tmpl w:val="9154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D5517"/>
    <w:multiLevelType w:val="hybridMultilevel"/>
    <w:tmpl w:val="C8341C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33A6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375A3E4F"/>
    <w:multiLevelType w:val="hybridMultilevel"/>
    <w:tmpl w:val="3646627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A190E32"/>
    <w:multiLevelType w:val="hybridMultilevel"/>
    <w:tmpl w:val="4A5ACA7A"/>
    <w:lvl w:ilvl="0" w:tplc="72D6DD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7C16"/>
    <w:multiLevelType w:val="hybridMultilevel"/>
    <w:tmpl w:val="C11A9BF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DA683BE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DA0A56A8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15CCB2AA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A156D"/>
    <w:multiLevelType w:val="hybridMultilevel"/>
    <w:tmpl w:val="C8341C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32FCF"/>
    <w:multiLevelType w:val="hybridMultilevel"/>
    <w:tmpl w:val="F1F4BB50"/>
    <w:lvl w:ilvl="0" w:tplc="F05456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3232B"/>
    <w:multiLevelType w:val="multilevel"/>
    <w:tmpl w:val="DB60B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vanish w:val="0"/>
        <w:color w:val="auto"/>
        <w:kern w:val="24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9607F5"/>
    <w:multiLevelType w:val="hybridMultilevel"/>
    <w:tmpl w:val="AD24EF5E"/>
    <w:lvl w:ilvl="0" w:tplc="875A1308">
      <w:start w:val="1"/>
      <w:numFmt w:val="decimal"/>
      <w:lvlText w:val="10.%1 "/>
      <w:lvlJc w:val="left"/>
      <w:pPr>
        <w:ind w:left="360" w:hanging="360"/>
      </w:pPr>
      <w:rPr>
        <w:rFonts w:hint="default"/>
        <w:b w:val="0"/>
      </w:rPr>
    </w:lvl>
    <w:lvl w:ilvl="1" w:tplc="14A6A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019F"/>
    <w:multiLevelType w:val="multilevel"/>
    <w:tmpl w:val="B2BA20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2734391"/>
    <w:multiLevelType w:val="hybridMultilevel"/>
    <w:tmpl w:val="C8341C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E0752"/>
    <w:multiLevelType w:val="hybridMultilevel"/>
    <w:tmpl w:val="A9ACDE7C"/>
    <w:lvl w:ilvl="0" w:tplc="B6B4CA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4" w15:restartNumberingAfterBreak="0">
    <w:nsid w:val="778D40F1"/>
    <w:multiLevelType w:val="hybridMultilevel"/>
    <w:tmpl w:val="3C8E9638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21D20"/>
    <w:multiLevelType w:val="hybridMultilevel"/>
    <w:tmpl w:val="63CCEB20"/>
    <w:lvl w:ilvl="0" w:tplc="F2542B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4B2FA4"/>
    <w:multiLevelType w:val="hybridMultilevel"/>
    <w:tmpl w:val="CAB6351E"/>
    <w:lvl w:ilvl="0" w:tplc="DA0A5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645108">
    <w:abstractNumId w:val="8"/>
  </w:num>
  <w:num w:numId="2" w16cid:durableId="618801685">
    <w:abstractNumId w:val="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50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22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30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8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82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6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60" w:hanging="1800"/>
        </w:pPr>
      </w:lvl>
    </w:lvlOverride>
  </w:num>
  <w:num w:numId="3" w16cid:durableId="427846794">
    <w:abstractNumId w:val="2"/>
  </w:num>
  <w:num w:numId="4" w16cid:durableId="1273512073">
    <w:abstractNumId w:val="23"/>
  </w:num>
  <w:num w:numId="5" w16cid:durableId="27725433">
    <w:abstractNumId w:val="6"/>
  </w:num>
  <w:num w:numId="6" w16cid:durableId="1552227216">
    <w:abstractNumId w:val="20"/>
  </w:num>
  <w:num w:numId="7" w16cid:durableId="304434530">
    <w:abstractNumId w:val="12"/>
  </w:num>
  <w:num w:numId="8" w16cid:durableId="2098820517">
    <w:abstractNumId w:val="3"/>
  </w:num>
  <w:num w:numId="9" w16cid:durableId="85612334">
    <w:abstractNumId w:val="22"/>
  </w:num>
  <w:num w:numId="10" w16cid:durableId="998465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7121337">
    <w:abstractNumId w:val="14"/>
  </w:num>
  <w:num w:numId="12" w16cid:durableId="12191656">
    <w:abstractNumId w:val="15"/>
  </w:num>
  <w:num w:numId="13" w16cid:durableId="1648777754">
    <w:abstractNumId w:val="13"/>
  </w:num>
  <w:num w:numId="14" w16cid:durableId="1396973578">
    <w:abstractNumId w:val="24"/>
  </w:num>
  <w:num w:numId="15" w16cid:durableId="1515848268">
    <w:abstractNumId w:val="26"/>
  </w:num>
  <w:num w:numId="16" w16cid:durableId="1465081779">
    <w:abstractNumId w:val="0"/>
  </w:num>
  <w:num w:numId="17" w16cid:durableId="449671590">
    <w:abstractNumId w:val="10"/>
  </w:num>
  <w:num w:numId="18" w16cid:durableId="1280257503">
    <w:abstractNumId w:val="4"/>
  </w:num>
  <w:num w:numId="19" w16cid:durableId="93137632">
    <w:abstractNumId w:val="17"/>
  </w:num>
  <w:num w:numId="20" w16cid:durableId="2125540340">
    <w:abstractNumId w:val="5"/>
  </w:num>
  <w:num w:numId="21" w16cid:durableId="1643652130">
    <w:abstractNumId w:val="19"/>
  </w:num>
  <w:num w:numId="22" w16cid:durableId="1601791773">
    <w:abstractNumId w:val="1"/>
  </w:num>
  <w:num w:numId="23" w16cid:durableId="578637053">
    <w:abstractNumId w:val="11"/>
  </w:num>
  <w:num w:numId="24" w16cid:durableId="940911617">
    <w:abstractNumId w:val="21"/>
  </w:num>
  <w:num w:numId="25" w16cid:durableId="1401782213">
    <w:abstractNumId w:val="7"/>
  </w:num>
  <w:num w:numId="26" w16cid:durableId="187334038">
    <w:abstractNumId w:val="16"/>
  </w:num>
  <w:num w:numId="27" w16cid:durableId="1063522998">
    <w:abstractNumId w:val="18"/>
  </w:num>
  <w:num w:numId="28" w16cid:durableId="226765094">
    <w:abstractNumId w:val="25"/>
  </w:num>
  <w:num w:numId="29" w16cid:durableId="1138647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CB9"/>
    <w:rsid w:val="00004713"/>
    <w:rsid w:val="000111D7"/>
    <w:rsid w:val="00017EEA"/>
    <w:rsid w:val="00017F77"/>
    <w:rsid w:val="000222B7"/>
    <w:rsid w:val="00024D22"/>
    <w:rsid w:val="000256B7"/>
    <w:rsid w:val="00034636"/>
    <w:rsid w:val="00034BCD"/>
    <w:rsid w:val="00037646"/>
    <w:rsid w:val="00042056"/>
    <w:rsid w:val="00044C8B"/>
    <w:rsid w:val="00047E7B"/>
    <w:rsid w:val="00052D78"/>
    <w:rsid w:val="00056B18"/>
    <w:rsid w:val="000570E0"/>
    <w:rsid w:val="00063090"/>
    <w:rsid w:val="0006630C"/>
    <w:rsid w:val="0008304A"/>
    <w:rsid w:val="000851BF"/>
    <w:rsid w:val="00092784"/>
    <w:rsid w:val="000A5EF3"/>
    <w:rsid w:val="000A64E2"/>
    <w:rsid w:val="000A6A6B"/>
    <w:rsid w:val="000B3522"/>
    <w:rsid w:val="000B6B00"/>
    <w:rsid w:val="000C14E2"/>
    <w:rsid w:val="000C695B"/>
    <w:rsid w:val="000D387D"/>
    <w:rsid w:val="000D606F"/>
    <w:rsid w:val="000D6FA7"/>
    <w:rsid w:val="000E0EE9"/>
    <w:rsid w:val="000E61EC"/>
    <w:rsid w:val="000F163C"/>
    <w:rsid w:val="000F1F89"/>
    <w:rsid w:val="000F49AE"/>
    <w:rsid w:val="000F6631"/>
    <w:rsid w:val="00100A66"/>
    <w:rsid w:val="00103460"/>
    <w:rsid w:val="00104952"/>
    <w:rsid w:val="00104DBB"/>
    <w:rsid w:val="001050B0"/>
    <w:rsid w:val="001058E6"/>
    <w:rsid w:val="00107C4F"/>
    <w:rsid w:val="00111ED5"/>
    <w:rsid w:val="001222BE"/>
    <w:rsid w:val="00122A22"/>
    <w:rsid w:val="001249AC"/>
    <w:rsid w:val="00124CC2"/>
    <w:rsid w:val="001311DE"/>
    <w:rsid w:val="00134CC3"/>
    <w:rsid w:val="00134E32"/>
    <w:rsid w:val="00141184"/>
    <w:rsid w:val="0015166C"/>
    <w:rsid w:val="00156168"/>
    <w:rsid w:val="00161C05"/>
    <w:rsid w:val="001640A4"/>
    <w:rsid w:val="001669E4"/>
    <w:rsid w:val="00170277"/>
    <w:rsid w:val="00172B5C"/>
    <w:rsid w:val="001773DD"/>
    <w:rsid w:val="0018341E"/>
    <w:rsid w:val="00186C89"/>
    <w:rsid w:val="001900F6"/>
    <w:rsid w:val="001934EF"/>
    <w:rsid w:val="001B75B2"/>
    <w:rsid w:val="001C34FE"/>
    <w:rsid w:val="001D21B7"/>
    <w:rsid w:val="001D3C83"/>
    <w:rsid w:val="001D3DA1"/>
    <w:rsid w:val="001D5874"/>
    <w:rsid w:val="001D5D2D"/>
    <w:rsid w:val="001E472B"/>
    <w:rsid w:val="001E7B4A"/>
    <w:rsid w:val="001F1F21"/>
    <w:rsid w:val="001F4C04"/>
    <w:rsid w:val="002122CC"/>
    <w:rsid w:val="0021482D"/>
    <w:rsid w:val="00215CAD"/>
    <w:rsid w:val="002167FE"/>
    <w:rsid w:val="00222391"/>
    <w:rsid w:val="00224897"/>
    <w:rsid w:val="002263AB"/>
    <w:rsid w:val="0023179A"/>
    <w:rsid w:val="00233874"/>
    <w:rsid w:val="00234837"/>
    <w:rsid w:val="002427E4"/>
    <w:rsid w:val="00243A24"/>
    <w:rsid w:val="00243F16"/>
    <w:rsid w:val="002543CF"/>
    <w:rsid w:val="00273285"/>
    <w:rsid w:val="0028110A"/>
    <w:rsid w:val="00281A06"/>
    <w:rsid w:val="002862B6"/>
    <w:rsid w:val="0029289B"/>
    <w:rsid w:val="00294A4C"/>
    <w:rsid w:val="00295E64"/>
    <w:rsid w:val="002B0861"/>
    <w:rsid w:val="002B5883"/>
    <w:rsid w:val="002B663A"/>
    <w:rsid w:val="002D7AD6"/>
    <w:rsid w:val="002E4564"/>
    <w:rsid w:val="002F5F4E"/>
    <w:rsid w:val="0030126E"/>
    <w:rsid w:val="00305C46"/>
    <w:rsid w:val="0031491F"/>
    <w:rsid w:val="00320FC2"/>
    <w:rsid w:val="0033207A"/>
    <w:rsid w:val="00335F54"/>
    <w:rsid w:val="00343F6E"/>
    <w:rsid w:val="00364FC0"/>
    <w:rsid w:val="0036634F"/>
    <w:rsid w:val="0037734D"/>
    <w:rsid w:val="00382739"/>
    <w:rsid w:val="003828C4"/>
    <w:rsid w:val="00387256"/>
    <w:rsid w:val="00387CA4"/>
    <w:rsid w:val="003904EF"/>
    <w:rsid w:val="003934B9"/>
    <w:rsid w:val="0039455F"/>
    <w:rsid w:val="00395779"/>
    <w:rsid w:val="003A2A91"/>
    <w:rsid w:val="003B1356"/>
    <w:rsid w:val="003B4796"/>
    <w:rsid w:val="003B5718"/>
    <w:rsid w:val="003C2372"/>
    <w:rsid w:val="003C48B7"/>
    <w:rsid w:val="003D3A61"/>
    <w:rsid w:val="003D6B28"/>
    <w:rsid w:val="003E345A"/>
    <w:rsid w:val="003E4B81"/>
    <w:rsid w:val="003F3439"/>
    <w:rsid w:val="00404396"/>
    <w:rsid w:val="00405138"/>
    <w:rsid w:val="00411362"/>
    <w:rsid w:val="00420B15"/>
    <w:rsid w:val="00426F58"/>
    <w:rsid w:val="0043204B"/>
    <w:rsid w:val="004321F7"/>
    <w:rsid w:val="004434BE"/>
    <w:rsid w:val="00450C05"/>
    <w:rsid w:val="00454182"/>
    <w:rsid w:val="00455BDA"/>
    <w:rsid w:val="004640F5"/>
    <w:rsid w:val="004709B9"/>
    <w:rsid w:val="00486706"/>
    <w:rsid w:val="00486EE3"/>
    <w:rsid w:val="004934CA"/>
    <w:rsid w:val="004A45F8"/>
    <w:rsid w:val="004C1A7F"/>
    <w:rsid w:val="004C39DE"/>
    <w:rsid w:val="004C5E3D"/>
    <w:rsid w:val="004D0F20"/>
    <w:rsid w:val="004E1685"/>
    <w:rsid w:val="004E39C7"/>
    <w:rsid w:val="004E752D"/>
    <w:rsid w:val="0051182B"/>
    <w:rsid w:val="00514A66"/>
    <w:rsid w:val="0052055D"/>
    <w:rsid w:val="00545EB6"/>
    <w:rsid w:val="005578B3"/>
    <w:rsid w:val="0056317A"/>
    <w:rsid w:val="005718EF"/>
    <w:rsid w:val="00573343"/>
    <w:rsid w:val="00592BC6"/>
    <w:rsid w:val="005A0324"/>
    <w:rsid w:val="005A3FD1"/>
    <w:rsid w:val="005A46E2"/>
    <w:rsid w:val="005B03ED"/>
    <w:rsid w:val="005B1506"/>
    <w:rsid w:val="005B3085"/>
    <w:rsid w:val="005C01E2"/>
    <w:rsid w:val="005D00CC"/>
    <w:rsid w:val="005D4854"/>
    <w:rsid w:val="005D69F1"/>
    <w:rsid w:val="005E346C"/>
    <w:rsid w:val="005E3DCC"/>
    <w:rsid w:val="005F08F6"/>
    <w:rsid w:val="005F095F"/>
    <w:rsid w:val="005F69E6"/>
    <w:rsid w:val="00602ABB"/>
    <w:rsid w:val="00610D90"/>
    <w:rsid w:val="00623982"/>
    <w:rsid w:val="00625869"/>
    <w:rsid w:val="006347BB"/>
    <w:rsid w:val="00640F19"/>
    <w:rsid w:val="006508B3"/>
    <w:rsid w:val="00653126"/>
    <w:rsid w:val="00661827"/>
    <w:rsid w:val="00662D98"/>
    <w:rsid w:val="00667204"/>
    <w:rsid w:val="00674196"/>
    <w:rsid w:val="006856BA"/>
    <w:rsid w:val="00687B47"/>
    <w:rsid w:val="00694820"/>
    <w:rsid w:val="006957D6"/>
    <w:rsid w:val="006A067D"/>
    <w:rsid w:val="006A36BC"/>
    <w:rsid w:val="006A4C62"/>
    <w:rsid w:val="006A50B8"/>
    <w:rsid w:val="006A7AF9"/>
    <w:rsid w:val="006B352A"/>
    <w:rsid w:val="006B4B4E"/>
    <w:rsid w:val="006F018A"/>
    <w:rsid w:val="006F4E98"/>
    <w:rsid w:val="00700642"/>
    <w:rsid w:val="00701491"/>
    <w:rsid w:val="007116B3"/>
    <w:rsid w:val="00715A41"/>
    <w:rsid w:val="00723DD1"/>
    <w:rsid w:val="00733571"/>
    <w:rsid w:val="00734612"/>
    <w:rsid w:val="00737688"/>
    <w:rsid w:val="00745349"/>
    <w:rsid w:val="00746CE3"/>
    <w:rsid w:val="00753988"/>
    <w:rsid w:val="00753D26"/>
    <w:rsid w:val="007553A3"/>
    <w:rsid w:val="0076245A"/>
    <w:rsid w:val="0076445B"/>
    <w:rsid w:val="00767FF4"/>
    <w:rsid w:val="00770C3B"/>
    <w:rsid w:val="00777EBF"/>
    <w:rsid w:val="0078049C"/>
    <w:rsid w:val="007817B8"/>
    <w:rsid w:val="0078367D"/>
    <w:rsid w:val="007A12F2"/>
    <w:rsid w:val="007B3B66"/>
    <w:rsid w:val="007C1691"/>
    <w:rsid w:val="007C30B7"/>
    <w:rsid w:val="007C7DBD"/>
    <w:rsid w:val="007D0115"/>
    <w:rsid w:val="007D20B8"/>
    <w:rsid w:val="007D453A"/>
    <w:rsid w:val="007E6647"/>
    <w:rsid w:val="007F184C"/>
    <w:rsid w:val="007F442B"/>
    <w:rsid w:val="007F6566"/>
    <w:rsid w:val="0080438D"/>
    <w:rsid w:val="00812B2C"/>
    <w:rsid w:val="00812F7A"/>
    <w:rsid w:val="008203A7"/>
    <w:rsid w:val="00833871"/>
    <w:rsid w:val="008350CF"/>
    <w:rsid w:val="008353D3"/>
    <w:rsid w:val="00835513"/>
    <w:rsid w:val="00842972"/>
    <w:rsid w:val="008454BF"/>
    <w:rsid w:val="00855106"/>
    <w:rsid w:val="00860415"/>
    <w:rsid w:val="008629F9"/>
    <w:rsid w:val="00865D79"/>
    <w:rsid w:val="0086609C"/>
    <w:rsid w:val="008666A1"/>
    <w:rsid w:val="00880D3C"/>
    <w:rsid w:val="00883C78"/>
    <w:rsid w:val="008942C3"/>
    <w:rsid w:val="008A528E"/>
    <w:rsid w:val="008A6CF9"/>
    <w:rsid w:val="008A6FDF"/>
    <w:rsid w:val="008B7BFE"/>
    <w:rsid w:val="008C15D2"/>
    <w:rsid w:val="008D3198"/>
    <w:rsid w:val="008E3D90"/>
    <w:rsid w:val="008E6435"/>
    <w:rsid w:val="008F0375"/>
    <w:rsid w:val="009009CB"/>
    <w:rsid w:val="0091445D"/>
    <w:rsid w:val="00915089"/>
    <w:rsid w:val="00921A38"/>
    <w:rsid w:val="0093022A"/>
    <w:rsid w:val="0093182A"/>
    <w:rsid w:val="0093302B"/>
    <w:rsid w:val="009428C2"/>
    <w:rsid w:val="009473D0"/>
    <w:rsid w:val="00960293"/>
    <w:rsid w:val="0096079A"/>
    <w:rsid w:val="0096107E"/>
    <w:rsid w:val="00963D62"/>
    <w:rsid w:val="0096437C"/>
    <w:rsid w:val="00965A95"/>
    <w:rsid w:val="009662FE"/>
    <w:rsid w:val="009708C4"/>
    <w:rsid w:val="009728A0"/>
    <w:rsid w:val="00973340"/>
    <w:rsid w:val="00974E9B"/>
    <w:rsid w:val="00975223"/>
    <w:rsid w:val="00976F58"/>
    <w:rsid w:val="009A0026"/>
    <w:rsid w:val="009A02AB"/>
    <w:rsid w:val="009A02D5"/>
    <w:rsid w:val="009A274C"/>
    <w:rsid w:val="009A2C08"/>
    <w:rsid w:val="009A2E56"/>
    <w:rsid w:val="009B22DA"/>
    <w:rsid w:val="009C185D"/>
    <w:rsid w:val="009C2270"/>
    <w:rsid w:val="009C70B4"/>
    <w:rsid w:val="009D1F85"/>
    <w:rsid w:val="009D2261"/>
    <w:rsid w:val="009D4C84"/>
    <w:rsid w:val="009D6149"/>
    <w:rsid w:val="009E2847"/>
    <w:rsid w:val="009F3D12"/>
    <w:rsid w:val="009F4B7F"/>
    <w:rsid w:val="009F5974"/>
    <w:rsid w:val="009F70A9"/>
    <w:rsid w:val="00A03B08"/>
    <w:rsid w:val="00A05BE3"/>
    <w:rsid w:val="00A06C80"/>
    <w:rsid w:val="00A13AE4"/>
    <w:rsid w:val="00A227B9"/>
    <w:rsid w:val="00A24C3C"/>
    <w:rsid w:val="00A37C88"/>
    <w:rsid w:val="00A531E6"/>
    <w:rsid w:val="00A6010D"/>
    <w:rsid w:val="00A64213"/>
    <w:rsid w:val="00A723EE"/>
    <w:rsid w:val="00A76FC2"/>
    <w:rsid w:val="00A77AD6"/>
    <w:rsid w:val="00A835A9"/>
    <w:rsid w:val="00A91945"/>
    <w:rsid w:val="00AA1B30"/>
    <w:rsid w:val="00AA1C8E"/>
    <w:rsid w:val="00AA44D9"/>
    <w:rsid w:val="00AB0C94"/>
    <w:rsid w:val="00AB2761"/>
    <w:rsid w:val="00AB4C5E"/>
    <w:rsid w:val="00AB7BD9"/>
    <w:rsid w:val="00AC51EF"/>
    <w:rsid w:val="00AC69D2"/>
    <w:rsid w:val="00AC6B94"/>
    <w:rsid w:val="00AD7F30"/>
    <w:rsid w:val="00AF1789"/>
    <w:rsid w:val="00AF6096"/>
    <w:rsid w:val="00B06147"/>
    <w:rsid w:val="00B06160"/>
    <w:rsid w:val="00B062E0"/>
    <w:rsid w:val="00B06643"/>
    <w:rsid w:val="00B06CB2"/>
    <w:rsid w:val="00B06F4C"/>
    <w:rsid w:val="00B10146"/>
    <w:rsid w:val="00B11931"/>
    <w:rsid w:val="00B11E7C"/>
    <w:rsid w:val="00B20411"/>
    <w:rsid w:val="00B30381"/>
    <w:rsid w:val="00B3109C"/>
    <w:rsid w:val="00B341BC"/>
    <w:rsid w:val="00B41A4F"/>
    <w:rsid w:val="00B4678E"/>
    <w:rsid w:val="00B501AB"/>
    <w:rsid w:val="00B50DAC"/>
    <w:rsid w:val="00B5206E"/>
    <w:rsid w:val="00B521A6"/>
    <w:rsid w:val="00B609FF"/>
    <w:rsid w:val="00B624B9"/>
    <w:rsid w:val="00B63074"/>
    <w:rsid w:val="00B74310"/>
    <w:rsid w:val="00B84D1C"/>
    <w:rsid w:val="00B853FF"/>
    <w:rsid w:val="00B85BA7"/>
    <w:rsid w:val="00B96B44"/>
    <w:rsid w:val="00BA2CEB"/>
    <w:rsid w:val="00BA62EB"/>
    <w:rsid w:val="00BB10AC"/>
    <w:rsid w:val="00BB3603"/>
    <w:rsid w:val="00BB4243"/>
    <w:rsid w:val="00BE00A2"/>
    <w:rsid w:val="00BE2470"/>
    <w:rsid w:val="00BE5A01"/>
    <w:rsid w:val="00BF558A"/>
    <w:rsid w:val="00C01B9A"/>
    <w:rsid w:val="00C03574"/>
    <w:rsid w:val="00C1225C"/>
    <w:rsid w:val="00C131E2"/>
    <w:rsid w:val="00C14340"/>
    <w:rsid w:val="00C17337"/>
    <w:rsid w:val="00C21036"/>
    <w:rsid w:val="00C218E3"/>
    <w:rsid w:val="00C24C48"/>
    <w:rsid w:val="00C3127D"/>
    <w:rsid w:val="00C34DBF"/>
    <w:rsid w:val="00C42B8B"/>
    <w:rsid w:val="00C45C90"/>
    <w:rsid w:val="00C46452"/>
    <w:rsid w:val="00C52676"/>
    <w:rsid w:val="00C55E84"/>
    <w:rsid w:val="00C637C2"/>
    <w:rsid w:val="00C66A4A"/>
    <w:rsid w:val="00C7196B"/>
    <w:rsid w:val="00C74D0D"/>
    <w:rsid w:val="00C94296"/>
    <w:rsid w:val="00C946DF"/>
    <w:rsid w:val="00C95434"/>
    <w:rsid w:val="00CA1586"/>
    <w:rsid w:val="00CA384B"/>
    <w:rsid w:val="00CA56DA"/>
    <w:rsid w:val="00CA7476"/>
    <w:rsid w:val="00CB0CC2"/>
    <w:rsid w:val="00CB418B"/>
    <w:rsid w:val="00CB4E2B"/>
    <w:rsid w:val="00CC0C70"/>
    <w:rsid w:val="00CC665B"/>
    <w:rsid w:val="00CD4906"/>
    <w:rsid w:val="00CD501F"/>
    <w:rsid w:val="00CD56DA"/>
    <w:rsid w:val="00CE34DA"/>
    <w:rsid w:val="00CE40A5"/>
    <w:rsid w:val="00CE5A5B"/>
    <w:rsid w:val="00CE77DB"/>
    <w:rsid w:val="00D01C51"/>
    <w:rsid w:val="00D140C6"/>
    <w:rsid w:val="00D15FEC"/>
    <w:rsid w:val="00D20D44"/>
    <w:rsid w:val="00D2254A"/>
    <w:rsid w:val="00D34097"/>
    <w:rsid w:val="00D62A4B"/>
    <w:rsid w:val="00D62D09"/>
    <w:rsid w:val="00D633D5"/>
    <w:rsid w:val="00D66239"/>
    <w:rsid w:val="00D66F3D"/>
    <w:rsid w:val="00D67B09"/>
    <w:rsid w:val="00D726A3"/>
    <w:rsid w:val="00D729FD"/>
    <w:rsid w:val="00D845CE"/>
    <w:rsid w:val="00DA687E"/>
    <w:rsid w:val="00DA734A"/>
    <w:rsid w:val="00DC101C"/>
    <w:rsid w:val="00DC3479"/>
    <w:rsid w:val="00DD1427"/>
    <w:rsid w:val="00DD21B8"/>
    <w:rsid w:val="00DD2F47"/>
    <w:rsid w:val="00DD4AE5"/>
    <w:rsid w:val="00DE2C04"/>
    <w:rsid w:val="00DE307D"/>
    <w:rsid w:val="00DE4BB5"/>
    <w:rsid w:val="00DE58D3"/>
    <w:rsid w:val="00DE729F"/>
    <w:rsid w:val="00DF456B"/>
    <w:rsid w:val="00E17BE3"/>
    <w:rsid w:val="00E22074"/>
    <w:rsid w:val="00E26921"/>
    <w:rsid w:val="00E3045D"/>
    <w:rsid w:val="00E3236E"/>
    <w:rsid w:val="00E4153B"/>
    <w:rsid w:val="00E41668"/>
    <w:rsid w:val="00E41C6A"/>
    <w:rsid w:val="00E421A0"/>
    <w:rsid w:val="00E47D7A"/>
    <w:rsid w:val="00E554EB"/>
    <w:rsid w:val="00E57B0C"/>
    <w:rsid w:val="00E63EA2"/>
    <w:rsid w:val="00E65D92"/>
    <w:rsid w:val="00E6748B"/>
    <w:rsid w:val="00E71E87"/>
    <w:rsid w:val="00E82EEA"/>
    <w:rsid w:val="00E929AD"/>
    <w:rsid w:val="00EA512A"/>
    <w:rsid w:val="00EB58F8"/>
    <w:rsid w:val="00EB5950"/>
    <w:rsid w:val="00EB6D50"/>
    <w:rsid w:val="00ED2B0F"/>
    <w:rsid w:val="00ED708C"/>
    <w:rsid w:val="00EE0F93"/>
    <w:rsid w:val="00EE1568"/>
    <w:rsid w:val="00EF2B7D"/>
    <w:rsid w:val="00EF6F5C"/>
    <w:rsid w:val="00F0040B"/>
    <w:rsid w:val="00F00A1D"/>
    <w:rsid w:val="00F048E9"/>
    <w:rsid w:val="00F10712"/>
    <w:rsid w:val="00F11335"/>
    <w:rsid w:val="00F134E2"/>
    <w:rsid w:val="00F255C2"/>
    <w:rsid w:val="00F31545"/>
    <w:rsid w:val="00F35CB6"/>
    <w:rsid w:val="00F46B61"/>
    <w:rsid w:val="00F51453"/>
    <w:rsid w:val="00F601FC"/>
    <w:rsid w:val="00F61CB9"/>
    <w:rsid w:val="00F65A23"/>
    <w:rsid w:val="00F71403"/>
    <w:rsid w:val="00F7188D"/>
    <w:rsid w:val="00F74051"/>
    <w:rsid w:val="00F7449E"/>
    <w:rsid w:val="00F74DCC"/>
    <w:rsid w:val="00F8050E"/>
    <w:rsid w:val="00F8367D"/>
    <w:rsid w:val="00F96A40"/>
    <w:rsid w:val="00FA61F9"/>
    <w:rsid w:val="00FB1527"/>
    <w:rsid w:val="00FB25E5"/>
    <w:rsid w:val="00FB6278"/>
    <w:rsid w:val="00FC3E75"/>
    <w:rsid w:val="00FC6330"/>
    <w:rsid w:val="00FC794D"/>
    <w:rsid w:val="00FD2A1A"/>
    <w:rsid w:val="00FD3316"/>
    <w:rsid w:val="00FD5672"/>
    <w:rsid w:val="00FD58B5"/>
    <w:rsid w:val="00FE1720"/>
    <w:rsid w:val="00FE5B91"/>
    <w:rsid w:val="00FF6A50"/>
    <w:rsid w:val="00FF6C33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EB6C18"/>
  <w15:chartTrackingRefBased/>
  <w15:docId w15:val="{4DC13E2C-FCDB-484D-8ED1-704BDC4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1CB9"/>
    <w:rPr>
      <w:sz w:val="24"/>
      <w:szCs w:val="24"/>
    </w:rPr>
  </w:style>
  <w:style w:type="paragraph" w:styleId="Nadpis1">
    <w:name w:val="heading 1"/>
    <w:basedOn w:val="Normln"/>
    <w:next w:val="Normln"/>
    <w:qFormat/>
    <w:rsid w:val="00F61CB9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5C9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61CB9"/>
    <w:rPr>
      <w:color w:val="0000FF"/>
      <w:u w:val="single"/>
    </w:rPr>
  </w:style>
  <w:style w:type="paragraph" w:styleId="Zkladntext">
    <w:name w:val="Body Text"/>
    <w:basedOn w:val="Normln"/>
    <w:rsid w:val="00F61CB9"/>
    <w:rPr>
      <w:szCs w:val="20"/>
    </w:rPr>
  </w:style>
  <w:style w:type="paragraph" w:styleId="Prosttext">
    <w:name w:val="Plain Text"/>
    <w:basedOn w:val="Normln"/>
    <w:link w:val="ProsttextChar"/>
    <w:uiPriority w:val="99"/>
    <w:rsid w:val="00B3038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B30381"/>
    <w:rPr>
      <w:rFonts w:ascii="Courier New" w:hAnsi="Courier New"/>
      <w:lang w:val="x-none" w:eastAsia="x-none"/>
    </w:rPr>
  </w:style>
  <w:style w:type="character" w:customStyle="1" w:styleId="platne1">
    <w:name w:val="platne1"/>
    <w:rsid w:val="00B30381"/>
    <w:rPr>
      <w:rFonts w:cs="Times New Roman"/>
    </w:rPr>
  </w:style>
  <w:style w:type="paragraph" w:customStyle="1" w:styleId="Prosttext1">
    <w:name w:val="Prostý text1"/>
    <w:basedOn w:val="Normln"/>
    <w:rsid w:val="00B30381"/>
    <w:rPr>
      <w:rFonts w:ascii="Courier New" w:hAnsi="Courier New"/>
      <w:sz w:val="20"/>
      <w:szCs w:val="20"/>
    </w:rPr>
  </w:style>
  <w:style w:type="character" w:styleId="Odkaznakoment">
    <w:name w:val="annotation reference"/>
    <w:unhideWhenUsed/>
    <w:rsid w:val="002E45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456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E4564"/>
    <w:rPr>
      <w:lang w:val="x-none"/>
    </w:rPr>
  </w:style>
  <w:style w:type="paragraph" w:styleId="Odstavecseseznamem">
    <w:name w:val="List Paragraph"/>
    <w:basedOn w:val="Normln"/>
    <w:uiPriority w:val="34"/>
    <w:qFormat/>
    <w:rsid w:val="002E4564"/>
    <w:pPr>
      <w:ind w:left="708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E456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456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86706"/>
    <w:rPr>
      <w:b/>
      <w:bCs/>
    </w:rPr>
  </w:style>
  <w:style w:type="character" w:customStyle="1" w:styleId="PedmtkomenteChar">
    <w:name w:val="Předmět komentáře Char"/>
    <w:link w:val="Pedmtkomente"/>
    <w:rsid w:val="00486706"/>
    <w:rPr>
      <w:b/>
      <w:bCs/>
      <w:lang w:val="x-none"/>
    </w:rPr>
  </w:style>
  <w:style w:type="paragraph" w:styleId="Zhlav">
    <w:name w:val="header"/>
    <w:basedOn w:val="Normln"/>
    <w:link w:val="ZhlavChar"/>
    <w:rsid w:val="008660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86609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660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6609C"/>
    <w:rPr>
      <w:sz w:val="24"/>
      <w:szCs w:val="24"/>
    </w:rPr>
  </w:style>
  <w:style w:type="paragraph" w:customStyle="1" w:styleId="Default">
    <w:name w:val="Default"/>
    <w:rsid w:val="009E284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ln"/>
    <w:uiPriority w:val="34"/>
    <w:qFormat/>
    <w:rsid w:val="00E41668"/>
    <w:pPr>
      <w:widowControl w:val="0"/>
      <w:overflowPunct w:val="0"/>
      <w:autoSpaceDE w:val="0"/>
      <w:autoSpaceDN w:val="0"/>
      <w:adjustRightInd w:val="0"/>
      <w:spacing w:after="120"/>
      <w:ind w:left="720"/>
      <w:jc w:val="both"/>
      <w:textAlignment w:val="baseline"/>
    </w:pPr>
    <w:rPr>
      <w:rFonts w:ascii="Arial" w:hAnsi="Arial" w:cs="Arial"/>
      <w:lang w:eastAsia="en-US"/>
    </w:rPr>
  </w:style>
  <w:style w:type="paragraph" w:styleId="FormtovanvHTML">
    <w:name w:val="HTML Preformatted"/>
    <w:basedOn w:val="Normln"/>
    <w:link w:val="FormtovanvHTMLChar"/>
    <w:rsid w:val="00B85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B85BA7"/>
    <w:rPr>
      <w:rFonts w:ascii="Courier New" w:hAnsi="Courier New" w:cs="Courier New"/>
      <w:color w:val="000000"/>
    </w:rPr>
  </w:style>
  <w:style w:type="character" w:customStyle="1" w:styleId="Nadpis2Char">
    <w:name w:val="Nadpis 2 Char"/>
    <w:link w:val="Nadpis2"/>
    <w:semiHidden/>
    <w:rsid w:val="00C45C9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llowtextselection">
    <w:name w:val="allowtextselection"/>
    <w:rsid w:val="00D66F3D"/>
  </w:style>
  <w:style w:type="table" w:styleId="Mkatabulky">
    <w:name w:val="Table Grid"/>
    <w:basedOn w:val="Normlntabulka"/>
    <w:uiPriority w:val="39"/>
    <w:rsid w:val="009428C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B3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41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83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8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7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auto"/>
                <w:bottom w:val="none" w:sz="0" w:space="0" w:color="auto"/>
                <w:right w:val="none" w:sz="0" w:space="0" w:color="auto"/>
              </w:divBdr>
              <w:divsChild>
                <w:div w:id="8950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2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4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9836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6651">
                  <w:marLeft w:val="0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FFBA-CDE9-4BC6-B641-1AD51755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Zak</vt:lpstr>
      <vt:lpstr>Zak</vt:lpstr>
    </vt:vector>
  </TitlesOfParts>
  <Company>KMVS, advokátní kancelář, s.r.o.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</dc:title>
  <dc:subject/>
  <dc:creator>Ivan David</dc:creator>
  <cp:keywords/>
  <cp:lastModifiedBy>Zdenka Šímová</cp:lastModifiedBy>
  <cp:revision>3</cp:revision>
  <cp:lastPrinted>2023-12-11T07:47:00Z</cp:lastPrinted>
  <dcterms:created xsi:type="dcterms:W3CDTF">2023-12-19T07:36:00Z</dcterms:created>
  <dcterms:modified xsi:type="dcterms:W3CDTF">2024-01-23T14:39:00Z</dcterms:modified>
</cp:coreProperties>
</file>