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5220300159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VYTEZA,</w:t>
      </w:r>
      <w:r>
        <w:rPr>
          <w:spacing w:val="-11"/>
        </w:rPr>
        <w:t> </w:t>
      </w:r>
      <w:r>
        <w:rPr>
          <w:spacing w:val="-2"/>
        </w:rPr>
        <w:t>s.r.o.</w:t>
      </w:r>
    </w:p>
    <w:p>
      <w:pPr>
        <w:pStyle w:val="BodyText"/>
        <w:spacing w:line="237" w:lineRule="auto" w:before="3"/>
        <w:ind w:left="382"/>
      </w:pPr>
      <w:r>
        <w:rPr/>
        <w:t>obchodní</w:t>
      </w:r>
      <w:r>
        <w:rPr>
          <w:spacing w:val="73"/>
        </w:rPr>
        <w:t> </w:t>
      </w:r>
      <w:r>
        <w:rPr/>
        <w:t>společnost</w:t>
      </w:r>
      <w:r>
        <w:rPr>
          <w:spacing w:val="72"/>
        </w:rPr>
        <w:t> </w:t>
      </w:r>
      <w:r>
        <w:rPr/>
        <w:t>zapsaná</w:t>
      </w:r>
      <w:r>
        <w:rPr>
          <w:spacing w:val="72"/>
        </w:rPr>
        <w:t> </w:t>
      </w:r>
      <w:r>
        <w:rPr/>
        <w:t>v</w:t>
      </w:r>
      <w:r>
        <w:rPr>
          <w:spacing w:val="73"/>
        </w:rPr>
        <w:t> </w:t>
      </w:r>
      <w:r>
        <w:rPr/>
        <w:t>obchodním</w:t>
      </w:r>
      <w:r>
        <w:rPr>
          <w:spacing w:val="72"/>
        </w:rPr>
        <w:t> </w:t>
      </w:r>
      <w:r>
        <w:rPr/>
        <w:t>rejstříku</w:t>
      </w:r>
      <w:r>
        <w:rPr>
          <w:spacing w:val="73"/>
        </w:rPr>
        <w:t> </w:t>
      </w:r>
      <w:r>
        <w:rPr/>
        <w:t>vedeném</w:t>
      </w:r>
      <w:r>
        <w:rPr>
          <w:spacing w:val="72"/>
        </w:rPr>
        <w:t> </w:t>
      </w:r>
      <w:r>
        <w:rPr/>
        <w:t>Krajským</w:t>
      </w:r>
      <w:r>
        <w:rPr>
          <w:spacing w:val="72"/>
        </w:rPr>
        <w:t> </w:t>
      </w:r>
      <w:r>
        <w:rPr/>
        <w:t>soudem</w:t>
      </w:r>
      <w:r>
        <w:rPr>
          <w:spacing w:val="72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Brně,</w:t>
      </w:r>
      <w:r>
        <w:rPr>
          <w:spacing w:val="73"/>
        </w:rPr>
        <w:t> </w:t>
      </w:r>
      <w:r>
        <w:rPr/>
        <w:t>oddíl</w:t>
      </w:r>
      <w:r>
        <w:rPr>
          <w:spacing w:val="73"/>
        </w:rPr>
        <w:t> </w:t>
      </w:r>
      <w:r>
        <w:rPr/>
        <w:t>C, vložka 41761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Na</w:t>
      </w:r>
      <w:r>
        <w:rPr>
          <w:spacing w:val="-6"/>
        </w:rPr>
        <w:t> </w:t>
      </w:r>
      <w:r>
        <w:rPr/>
        <w:t>Hraničkách</w:t>
      </w:r>
      <w:r>
        <w:rPr>
          <w:spacing w:val="-5"/>
        </w:rPr>
        <w:t> </w:t>
      </w:r>
      <w:r>
        <w:rPr/>
        <w:t>438/13,</w:t>
      </w:r>
      <w:r>
        <w:rPr>
          <w:spacing w:val="-5"/>
        </w:rPr>
        <w:t> </w:t>
      </w:r>
      <w:r>
        <w:rPr/>
        <w:t>682</w:t>
      </w:r>
      <w:r>
        <w:rPr>
          <w:spacing w:val="-2"/>
        </w:rPr>
        <w:t> </w:t>
      </w:r>
      <w:r>
        <w:rPr/>
        <w:t>01</w:t>
      </w:r>
      <w:r>
        <w:rPr>
          <w:spacing w:val="-5"/>
        </w:rPr>
        <w:t> </w:t>
      </w:r>
      <w:r>
        <w:rPr/>
        <w:t>Vyškov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Město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26284499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2"/>
        </w:rPr>
        <w:t> </w:t>
      </w:r>
      <w:r>
        <w:rPr/>
        <w:t>Blankou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1"/>
        </w:rPr>
        <w:t> </w:t>
      </w:r>
      <w:r>
        <w:rPr>
          <w:spacing w:val="-2"/>
        </w:rPr>
        <w:t>jednatelkou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5046"/>
      </w:pPr>
      <w:r>
        <w:rPr/>
        <w:t>číslo účtu:</w:t>
        <w:tab/>
      </w:r>
      <w:r>
        <w:rPr>
          <w:spacing w:val="-2"/>
        </w:rPr>
        <w:t>1560627359/0800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  <w:jc w:val="both"/>
      </w:pPr>
      <w:r>
        <w:rPr/>
        <w:t>„Smlouva“) se uzavírá na základě Rozhodnutí ministra životního prostředí č. 5220300159 o poskytnutí finančních prostředků ze</w:t>
      </w:r>
      <w:r>
        <w:rPr>
          <w:spacing w:val="-1"/>
        </w:rPr>
        <w:t> </w:t>
      </w:r>
      <w:r>
        <w:rPr/>
        <w:t>Státního fondu životního prostředí ČR ze</w:t>
      </w:r>
      <w:r>
        <w:rPr>
          <w:spacing w:val="-1"/>
        </w:rPr>
        <w:t> </w:t>
      </w:r>
      <w:r>
        <w:rPr/>
        <w:t>dne 13.</w:t>
      </w:r>
      <w:r>
        <w:rPr>
          <w:spacing w:val="-2"/>
        </w:rPr>
        <w:t> </w:t>
      </w:r>
      <w:r>
        <w:rPr/>
        <w:t>12.</w:t>
      </w:r>
      <w:r>
        <w:rPr>
          <w:spacing w:val="-2"/>
        </w:rPr>
        <w:t> </w:t>
      </w:r>
      <w:r>
        <w:rPr/>
        <w:t>2022 ve znění změny č. 1 ze dne 23. 11. 2023 a Směrnice Ministerstva životního prostředí č. 4/2015 o poskytování finančních 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České</w:t>
      </w:r>
      <w:r>
        <w:rPr>
          <w:spacing w:val="-5"/>
        </w:rPr>
        <w:t> </w:t>
      </w:r>
      <w:r>
        <w:rPr/>
        <w:t>republiky</w:t>
      </w:r>
      <w:r>
        <w:rPr>
          <w:spacing w:val="-5"/>
        </w:rPr>
        <w:t> </w:t>
      </w:r>
      <w:r>
        <w:rPr/>
        <w:t>prostřednictvím</w:t>
      </w:r>
      <w:r>
        <w:rPr>
          <w:spacing w:val="-3"/>
        </w:rPr>
        <w:t> </w:t>
      </w:r>
      <w:r>
        <w:rPr/>
        <w:t>Národního</w:t>
      </w:r>
      <w:r>
        <w:rPr>
          <w:spacing w:val="-3"/>
        </w:rPr>
        <w:t> </w:t>
      </w:r>
      <w:r>
        <w:rPr/>
        <w:t>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7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42"/>
        <w:jc w:val="both"/>
      </w:pPr>
      <w:r>
        <w:rPr/>
        <w:t>„Rozvoj</w:t>
      </w:r>
      <w:r>
        <w:rPr>
          <w:spacing w:val="-10"/>
        </w:rPr>
        <w:t> </w:t>
      </w:r>
      <w:r>
        <w:rPr/>
        <w:t>Elektromobility</w:t>
      </w:r>
      <w:r>
        <w:rPr>
          <w:spacing w:val="-9"/>
        </w:rPr>
        <w:t> </w:t>
      </w:r>
      <w:r>
        <w:rPr/>
        <w:t>ve</w:t>
      </w:r>
      <w:r>
        <w:rPr>
          <w:spacing w:val="-11"/>
        </w:rPr>
        <w:t> </w:t>
      </w:r>
      <w:r>
        <w:rPr/>
        <w:t>společnosti</w:t>
      </w:r>
      <w:r>
        <w:rPr>
          <w:spacing w:val="-9"/>
        </w:rPr>
        <w:t> </w:t>
      </w:r>
      <w:r>
        <w:rPr/>
        <w:t>VYTEZA,</w:t>
      </w:r>
      <w:r>
        <w:rPr>
          <w:spacing w:val="-11"/>
        </w:rPr>
        <w:t> </w:t>
      </w:r>
      <w:r>
        <w:rPr>
          <w:spacing w:val="-2"/>
        </w:rPr>
        <w:t>s.r.o.“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poskytována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„Nařízením</w:t>
      </w:r>
      <w:r>
        <w:rPr>
          <w:spacing w:val="-9"/>
          <w:sz w:val="20"/>
        </w:rPr>
        <w:t> </w:t>
      </w:r>
      <w:r>
        <w:rPr>
          <w:sz w:val="20"/>
        </w:rPr>
        <w:t>Komise</w:t>
      </w:r>
      <w:r>
        <w:rPr>
          <w:spacing w:val="-9"/>
          <w:sz w:val="20"/>
        </w:rPr>
        <w:t> </w:t>
      </w:r>
      <w:r>
        <w:rPr>
          <w:sz w:val="20"/>
        </w:rPr>
        <w:t>(ES)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1407/2013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18. prosince</w:t>
      </w:r>
      <w:r>
        <w:rPr>
          <w:spacing w:val="-1"/>
          <w:sz w:val="20"/>
        </w:rPr>
        <w:t> </w:t>
      </w:r>
      <w:r>
        <w:rPr>
          <w:sz w:val="20"/>
        </w:rPr>
        <w:t>2013 o použití</w:t>
      </w:r>
      <w:r>
        <w:rPr>
          <w:spacing w:val="-1"/>
          <w:sz w:val="20"/>
        </w:rPr>
        <w:t> </w:t>
      </w:r>
      <w:r>
        <w:rPr>
          <w:sz w:val="20"/>
        </w:rPr>
        <w:t>článků 107 a 108 Smlouvy o fungování Evropské unie</w:t>
      </w:r>
      <w:r>
        <w:rPr>
          <w:spacing w:val="-1"/>
          <w:sz w:val="20"/>
        </w:rPr>
        <w:t> </w:t>
      </w:r>
      <w:r>
        <w:rPr>
          <w:sz w:val="20"/>
        </w:rPr>
        <w:t>na podporu de minimis.“, zveřejněném v Úředním věstníku EU dne 24. 12. 2013.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74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360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šedesát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4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37" w:top="1060" w:bottom="1660" w:left="1320" w:right="1020"/>
        </w:sectPr>
      </w:pPr>
    </w:p>
    <w:p>
      <w:pPr>
        <w:pStyle w:val="BodyText"/>
        <w:spacing w:before="73"/>
        <w:jc w:val="both"/>
      </w:pPr>
      <w:r>
        <w:rPr/>
        <w:t>vážně</w:t>
      </w:r>
      <w:r>
        <w:rPr>
          <w:spacing w:val="-6"/>
        </w:rPr>
        <w:t> </w:t>
      </w:r>
      <w:r>
        <w:rPr/>
        <w:t>ohroženo.</w:t>
      </w:r>
      <w:r>
        <w:rPr>
          <w:spacing w:val="-3"/>
        </w:rPr>
        <w:t> </w:t>
      </w:r>
      <w:r>
        <w:rPr/>
        <w:t>Ustanovení</w:t>
      </w:r>
      <w:r>
        <w:rPr>
          <w:spacing w:val="-5"/>
        </w:rPr>
        <w:t> </w:t>
      </w:r>
      <w:r>
        <w:rPr/>
        <w:t>článku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tím</w:t>
      </w:r>
      <w:r>
        <w:rPr>
          <w:spacing w:val="-5"/>
        </w:rPr>
        <w:t> </w:t>
      </w:r>
      <w:r>
        <w:rPr/>
        <w:t>není</w:t>
      </w:r>
      <w:r>
        <w:rPr>
          <w:spacing w:val="-3"/>
        </w:rPr>
        <w:t>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5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Rozvoj</w:t>
      </w:r>
      <w:r>
        <w:rPr>
          <w:spacing w:val="-1"/>
          <w:sz w:val="20"/>
        </w:rPr>
        <w:t> </w:t>
      </w:r>
      <w:r>
        <w:rPr>
          <w:sz w:val="20"/>
        </w:rPr>
        <w:t>Elektromobility ve</w:t>
      </w:r>
      <w:r>
        <w:rPr>
          <w:spacing w:val="-1"/>
          <w:sz w:val="20"/>
        </w:rPr>
        <w:t> </w:t>
      </w:r>
      <w:r>
        <w:rPr>
          <w:sz w:val="20"/>
        </w:rPr>
        <w:t>společnosti</w:t>
      </w:r>
      <w:r>
        <w:rPr>
          <w:spacing w:val="-1"/>
          <w:sz w:val="20"/>
        </w:rPr>
        <w:t> </w:t>
      </w:r>
      <w:r>
        <w:rPr>
          <w:sz w:val="20"/>
        </w:rPr>
        <w:t>VYTEZA,</w:t>
      </w:r>
      <w:r>
        <w:rPr>
          <w:spacing w:val="-1"/>
          <w:sz w:val="20"/>
        </w:rPr>
        <w:t> </w:t>
      </w:r>
      <w:r>
        <w:rPr>
          <w:sz w:val="20"/>
        </w:rPr>
        <w:t>s.r.o.</w:t>
      </w:r>
      <w:r>
        <w:rPr>
          <w:spacing w:val="-1"/>
          <w:sz w:val="20"/>
        </w:rPr>
        <w:t> </w:t>
      </w:r>
      <w:r>
        <w:rPr>
          <w:sz w:val="20"/>
        </w:rPr>
        <w:t>byla provedena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21.</w:t>
      </w:r>
      <w:r>
        <w:rPr>
          <w:spacing w:val="-5"/>
          <w:sz w:val="20"/>
        </w:rPr>
        <w:t> </w:t>
      </w:r>
      <w:r>
        <w:rPr>
          <w:sz w:val="20"/>
        </w:rPr>
        <w:t>12.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37" w:lineRule="auto" w:before="123" w:after="0"/>
        <w:ind w:left="741" w:right="11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37" w:top="1060" w:bottom="1620" w:left="1320" w:right="1020"/>
        </w:sectPr>
      </w:pPr>
    </w:p>
    <w:p>
      <w:pPr>
        <w:pStyle w:val="BodyText"/>
        <w:spacing w:before="73"/>
        <w:ind w:left="741" w:right="117"/>
        <w:jc w:val="both"/>
      </w:pPr>
      <w:r>
        <w:rPr/>
        <w:t>agentury,</w:t>
      </w:r>
      <w:r>
        <w:rPr>
          <w:spacing w:val="-4"/>
        </w:rPr>
        <w:t> </w:t>
      </w:r>
      <w:r>
        <w:rPr/>
        <w:t>společné</w:t>
      </w:r>
      <w:r>
        <w:rPr>
          <w:spacing w:val="-4"/>
        </w:rPr>
        <w:t> </w:t>
      </w:r>
      <w:r>
        <w:rPr/>
        <w:t>podniky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jiné</w:t>
      </w:r>
      <w:r>
        <w:rPr>
          <w:spacing w:val="-5"/>
        </w:rPr>
        <w:t> </w:t>
      </w:r>
      <w:r>
        <w:rPr/>
        <w:t>subjekty</w:t>
      </w:r>
      <w:r>
        <w:rPr>
          <w:spacing w:val="-4"/>
        </w:rPr>
        <w:t> </w:t>
      </w:r>
      <w:r>
        <w:rPr/>
        <w:t>EU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která</w:t>
      </w:r>
      <w:r>
        <w:rPr>
          <w:spacing w:val="-4"/>
        </w:rPr>
        <w:t> </w:t>
      </w:r>
      <w:r>
        <w:rPr/>
        <w:t>není</w:t>
      </w:r>
      <w:r>
        <w:rPr>
          <w:spacing w:val="-4"/>
        </w:rPr>
        <w:t> </w:t>
      </w:r>
      <w:r>
        <w:rPr/>
        <w:t>přímo</w:t>
      </w:r>
      <w:r>
        <w:rPr>
          <w:spacing w:val="-3"/>
        </w:rPr>
        <w:t> </w:t>
      </w:r>
      <w:r>
        <w:rPr/>
        <w:t>ani</w:t>
      </w:r>
      <w:r>
        <w:rPr>
          <w:spacing w:val="-4"/>
        </w:rPr>
        <w:t> </w:t>
      </w:r>
      <w:r>
        <w:rPr/>
        <w:t>nepřímo</w:t>
      </w:r>
      <w:r>
        <w:rPr>
          <w:spacing w:val="-3"/>
        </w:rPr>
        <w:t> </w:t>
      </w:r>
      <w:r>
        <w:rPr/>
        <w:t>pod kontrolou</w:t>
      </w:r>
      <w:r>
        <w:rPr>
          <w:spacing w:val="-3"/>
        </w:rPr>
        <w:t> </w:t>
      </w:r>
      <w:r>
        <w:rPr/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32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320" w:right="1020"/>
        </w:sectPr>
      </w:pPr>
    </w:p>
    <w:p>
      <w:pPr>
        <w:pStyle w:val="BodyText"/>
        <w:spacing w:before="73"/>
        <w:ind w:right="118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37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3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37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7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7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7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7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37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37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37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83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2024-01-23T12:02:07Z</dcterms:created>
  <dcterms:modified xsi:type="dcterms:W3CDTF">2024-01-23T12:02:07Z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