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0" w:line="240" w:lineRule="auto"/>
        <w:ind w:left="0" w:right="0" w:firstLine="0"/>
        <w:jc w:val="right"/>
      </w:pPr>
      <w:bookmarkStart w:id="0" w:name="bookmark0"/>
      <w:r>
        <w:rPr>
          <w:rStyle w:val="CharStyle3"/>
        </w:rPr>
        <w:t>iiiMHiinm</w:t>
      </w:r>
      <w:bookmarkEnd w:id="0"/>
    </w:p>
    <w:p>
      <w:pPr>
        <w:pStyle w:val="Style7"/>
        <w:keepNext w:val="0"/>
        <w:keepLines w:val="0"/>
        <w:widowControl w:val="0"/>
        <w:shd w:val="clear" w:color="auto" w:fill="auto"/>
        <w:bidi w:val="0"/>
        <w:spacing w:before="0" w:after="440" w:line="240" w:lineRule="auto"/>
        <w:ind w:left="7420" w:right="0" w:firstLine="0"/>
        <w:jc w:val="left"/>
      </w:pPr>
      <w:r>
        <w:rPr>
          <w:rStyle w:val="CharStyle8"/>
          <w:u w:val="none"/>
        </w:rPr>
        <w:t>2024000512</w:t>
      </w:r>
    </w:p>
    <w:p>
      <w:pPr>
        <w:pStyle w:val="Style10"/>
        <w:keepNext/>
        <w:keepLines/>
        <w:widowControl w:val="0"/>
        <w:shd w:val="clear" w:color="auto" w:fill="auto"/>
        <w:bidi w:val="0"/>
        <w:spacing w:before="0" w:after="0" w:line="240" w:lineRule="auto"/>
        <w:ind w:left="0" w:right="0" w:firstLine="0"/>
        <w:jc w:val="center"/>
        <w:sectPr>
          <w:footerReference w:type="default" r:id="rId5"/>
          <w:footnotePr>
            <w:pos w:val="pageBottom"/>
            <w:numFmt w:val="decimal"/>
            <w:numRestart w:val="continuous"/>
          </w:footnotePr>
          <w:pgSz w:w="11900" w:h="16840"/>
          <w:pgMar w:top="0" w:right="1020" w:bottom="1155" w:left="1371" w:header="0" w:footer="3" w:gutter="0"/>
          <w:pgNumType w:start="1"/>
          <w:cols w:space="720"/>
          <w:noEndnote/>
          <w:rtlGutter w:val="0"/>
          <w:docGrid w:linePitch="360"/>
        </w:sectPr>
      </w:pPr>
      <w:bookmarkStart w:id="2" w:name="bookmark2"/>
      <w:r>
        <w:rPr>
          <w:rStyle w:val="CharStyle11"/>
          <w:b/>
          <w:bCs/>
        </w:rPr>
        <w:t>SMLOUVA O SLUŽBÁCH SERVISNÍ POurt/RY</w:t>
        <w:br/>
        <w:t>ELEKTRONICKÉHO ŘÍDICÍHO SYSTÉMU SBI</w:t>
      </w:r>
      <w:bookmarkEnd w:id="2"/>
    </w:p>
    <w:p>
      <w:pPr>
        <w:widowControl w:val="0"/>
        <w:spacing w:line="157" w:lineRule="exact"/>
        <w:rPr>
          <w:sz w:val="13"/>
          <w:szCs w:val="13"/>
        </w:rPr>
      </w:pPr>
    </w:p>
    <w:p>
      <w:pPr>
        <w:widowControl w:val="0"/>
        <w:spacing w:line="1" w:lineRule="exact"/>
        <w:sectPr>
          <w:footnotePr>
            <w:pos w:val="pageBottom"/>
            <w:numFmt w:val="decimal"/>
            <w:numRestart w:val="continuous"/>
          </w:footnotePr>
          <w:type w:val="continuous"/>
          <w:pgSz w:w="11900" w:h="16840"/>
          <w:pgMar w:top="0" w:right="0" w:bottom="1155" w:left="0" w:header="0" w:footer="3" w:gutter="0"/>
          <w:cols w:space="720"/>
          <w:noEndnote/>
          <w:rtlGutter w:val="0"/>
          <w:docGrid w:linePitch="360"/>
        </w:sectPr>
      </w:pPr>
    </w:p>
    <w:tbl>
      <w:tblPr>
        <w:tblOverlap w:val="never"/>
        <w:jc w:val="center"/>
        <w:tblLayout w:type="fixed"/>
      </w:tblPr>
      <w:tblGrid>
        <w:gridCol w:w="326"/>
        <w:gridCol w:w="2534"/>
      </w:tblGrid>
      <w:tr>
        <w:trPr>
          <w:trHeight w:val="672"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380" w:right="0" w:firstLine="0"/>
              <w:jc w:val="left"/>
              <w:rPr>
                <w:sz w:val="24"/>
                <w:szCs w:val="24"/>
              </w:rPr>
            </w:pPr>
            <w:r>
              <w:rPr>
                <w:rStyle w:val="CharStyle13"/>
                <w:sz w:val="24"/>
                <w:szCs w:val="24"/>
              </w:rPr>
              <w:t>Číslo smlouvy Poskytovatele</w:t>
            </w:r>
          </w:p>
        </w:tc>
      </w:tr>
      <w:tr>
        <w:trPr>
          <w:trHeight w:val="600" w:hRule="exact"/>
        </w:trPr>
        <w:tc>
          <w:tcPr>
            <w:gridSpan w:val="2"/>
            <w:tcBorders>
              <w:top w:val="single" w:sz="4"/>
              <w:left w:val="single" w:sz="4"/>
              <w:bottom w:val="single" w:sz="4"/>
              <w:right w:val="single" w:sz="4"/>
            </w:tcBorders>
            <w:shd w:val="clear" w:color="auto" w:fill="auto"/>
            <w:vAlign w:val="top"/>
          </w:tcPr>
          <w:p>
            <w:pPr>
              <w:widowControl w:val="0"/>
              <w:rPr>
                <w:sz w:val="10"/>
                <w:szCs w:val="10"/>
              </w:rPr>
            </w:pPr>
          </w:p>
        </w:tc>
      </w:tr>
    </w:tbl>
    <w:p>
      <w:pPr>
        <w:pStyle w:val="Style15"/>
        <w:keepNext w:val="0"/>
        <w:keepLines w:val="0"/>
        <w:widowControl w:val="0"/>
        <w:pBdr>
          <w:bottom w:val="single" w:sz="4" w:space="0" w:color="auto"/>
        </w:pBdr>
        <w:shd w:val="clear" w:color="auto" w:fill="auto"/>
        <w:bidi w:val="0"/>
        <w:spacing w:before="0" w:after="0" w:line="240" w:lineRule="auto"/>
        <w:ind w:left="0" w:right="0" w:firstLine="0"/>
        <w:jc w:val="left"/>
        <w:rPr>
          <w:sz w:val="24"/>
          <w:szCs w:val="24"/>
        </w:rPr>
        <w:sectPr>
          <w:footnotePr>
            <w:pos w:val="pageBottom"/>
            <w:numFmt w:val="decimal"/>
            <w:numRestart w:val="continuous"/>
          </w:footnotePr>
          <w:type w:val="continuous"/>
          <w:pgSz w:w="11900" w:h="16840"/>
          <w:pgMar w:top="0" w:right="1467" w:bottom="1155" w:left="1376" w:header="0" w:footer="3" w:gutter="0"/>
          <w:cols w:num="2" w:space="3458"/>
          <w:noEndnote/>
          <w:rtlGutter w:val="0"/>
          <w:docGrid w:linePitch="360"/>
        </w:sectPr>
      </w:pPr>
      <w:r>
        <w:rPr>
          <w:rStyle w:val="CharStyle16"/>
          <w:sz w:val="24"/>
          <w:szCs w:val="24"/>
        </w:rPr>
        <w:t>Číslo smlouvy Objednatele</w:t>
      </w:r>
    </w:p>
    <w:p>
      <w:pPr>
        <w:widowControl w:val="0"/>
        <w:spacing w:before="100" w:after="10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0" w:right="0" w:bottom="1155" w:left="0" w:header="0" w:footer="3" w:gutter="0"/>
          <w:cols w:space="720"/>
          <w:noEndnote/>
          <w:rtlGutter w:val="0"/>
          <w:docGrid w:linePitch="360"/>
        </w:sectPr>
      </w:pPr>
    </w:p>
    <w:p>
      <w:pPr>
        <w:pStyle w:val="Style15"/>
        <w:keepNext w:val="0"/>
        <w:keepLines w:val="0"/>
        <w:widowControl w:val="0"/>
        <w:shd w:val="clear" w:color="auto" w:fill="auto"/>
        <w:bidi w:val="0"/>
        <w:spacing w:before="0" w:after="540" w:line="240" w:lineRule="auto"/>
        <w:ind w:left="0" w:right="0" w:firstLine="0"/>
        <w:jc w:val="center"/>
      </w:pPr>
      <w:r>
        <w:rPr>
          <w:rStyle w:val="CharStyle16"/>
          <w:i/>
          <w:iCs/>
          <w:sz w:val="22"/>
          <w:szCs w:val="22"/>
        </w:rPr>
        <w:t>kterou níže uvedeného dne, měsíce a roku ve smyslu ustanovení</w:t>
        <w:br/>
        <w:t>§ 1746 zákona č. 89/2012 Sb. občanský zákoník uzavřeli</w:t>
      </w:r>
    </w:p>
    <w:tbl>
      <w:tblPr>
        <w:tblOverlap w:val="never"/>
        <w:jc w:val="center"/>
        <w:tblLayout w:type="fixed"/>
      </w:tblPr>
      <w:tblGrid>
        <w:gridCol w:w="1598"/>
        <w:gridCol w:w="3024"/>
        <w:gridCol w:w="1526"/>
        <w:gridCol w:w="3082"/>
      </w:tblGrid>
      <w:tr>
        <w:trPr>
          <w:trHeight w:val="341" w:hRule="exact"/>
        </w:trPr>
        <w:tc>
          <w:tcPr>
            <w:gridSpan w:val="2"/>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Poskytovatel:</w:t>
            </w:r>
          </w:p>
        </w:tc>
        <w:tc>
          <w:tcPr>
            <w:gridSpan w:val="2"/>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Objednatel:</w:t>
            </w:r>
          </w:p>
        </w:tc>
      </w:tr>
      <w:tr>
        <w:trPr>
          <w:trHeight w:val="936" w:hRule="exact"/>
        </w:trPr>
        <w:tc>
          <w:tcPr>
            <w:gridSpan w:val="2"/>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260"/>
              <w:jc w:val="both"/>
            </w:pPr>
            <w:r>
              <w:rPr>
                <w:rStyle w:val="CharStyle13"/>
                <w:rFonts w:ascii="Arial" w:eastAsia="Arial" w:hAnsi="Arial" w:cs="Arial"/>
                <w:b/>
                <w:bCs/>
                <w:sz w:val="22"/>
                <w:szCs w:val="22"/>
              </w:rPr>
              <w:t>tl</w:t>
            </w:r>
          </w:p>
          <w:p>
            <w:pPr>
              <w:pStyle w:val="Style12"/>
              <w:keepNext w:val="0"/>
              <w:keepLines w:val="0"/>
              <w:widowControl w:val="0"/>
              <w:shd w:val="clear" w:color="auto" w:fill="auto"/>
              <w:bidi w:val="0"/>
              <w:spacing w:before="0" w:after="180" w:line="180" w:lineRule="auto"/>
              <w:ind w:left="0" w:right="0" w:firstLine="260"/>
              <w:jc w:val="both"/>
            </w:pPr>
            <w:r>
              <w:rPr>
                <w:rStyle w:val="CharStyle13"/>
                <w:rFonts w:ascii="Arial" w:eastAsia="Arial" w:hAnsi="Arial" w:cs="Arial"/>
                <w:b/>
                <w:bCs/>
                <w:sz w:val="22"/>
                <w:szCs w:val="22"/>
              </w:rPr>
              <w:t>Ij</w:t>
            </w:r>
          </w:p>
          <w:p>
            <w:pPr>
              <w:pStyle w:val="Style12"/>
              <w:keepNext w:val="0"/>
              <w:keepLines w:val="0"/>
              <w:widowControl w:val="0"/>
              <w:shd w:val="clear" w:color="auto" w:fill="auto"/>
              <w:bidi w:val="0"/>
              <w:spacing w:before="0" w:after="60" w:line="240" w:lineRule="auto"/>
              <w:ind w:left="0" w:right="0" w:firstLine="0"/>
              <w:jc w:val="left"/>
            </w:pPr>
            <w:r>
              <w:rPr>
                <w:rStyle w:val="CharStyle13"/>
                <w:rFonts w:ascii="Arial" w:eastAsia="Arial" w:hAnsi="Arial" w:cs="Arial"/>
                <w:b/>
                <w:bCs/>
                <w:sz w:val="22"/>
                <w:szCs w:val="22"/>
              </w:rPr>
              <w:t>CJG.C., a.s.</w:t>
            </w:r>
          </w:p>
          <w:p>
            <w:pPr>
              <w:pStyle w:val="Style12"/>
              <w:keepNext w:val="0"/>
              <w:keepLines w:val="0"/>
              <w:widowControl w:val="0"/>
              <w:shd w:val="clear" w:color="auto" w:fill="auto"/>
              <w:bidi w:val="0"/>
              <w:spacing w:before="0" w:after="120" w:line="240" w:lineRule="auto"/>
              <w:ind w:left="0" w:right="0" w:firstLine="260"/>
              <w:jc w:val="left"/>
              <w:rPr>
                <w:sz w:val="24"/>
                <w:szCs w:val="24"/>
              </w:rPr>
            </w:pPr>
            <w:r>
              <w:rPr>
                <w:rStyle w:val="CharStyle13"/>
                <w:sz w:val="24"/>
                <w:szCs w:val="24"/>
              </w:rPr>
              <w:t>i|</w:t>
            </w:r>
          </w:p>
        </w:tc>
        <w:tc>
          <w:tcPr>
            <w:gridSpan w:val="2"/>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sz w:val="22"/>
                <w:szCs w:val="22"/>
              </w:rPr>
              <w:t>Zdravotnická záchranná služba Jihomoravského kraje, příspěvková organizace</w:t>
            </w:r>
          </w:p>
        </w:tc>
      </w:tr>
      <w:tr>
        <w:trPr>
          <w:trHeight w:val="850"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Se sídlem:</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Drobného 27, 841 01 Bratislava, Slovenská Republika</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Se sídlem:</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Kamenice 798/ld, 625 00 Brno</w:t>
            </w:r>
          </w:p>
        </w:tc>
      </w:tr>
      <w:tr>
        <w:trPr>
          <w:trHeight w:val="571"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Zastoupený:</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Ing. Eubomírem Klimkem</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Zastoupený</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MUDr. Hanou Albrechtovou</w:t>
            </w:r>
          </w:p>
        </w:tc>
      </w:tr>
      <w:tr>
        <w:trPr>
          <w:trHeight w:val="566"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Funkce:</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Představenstvo</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Funkce:</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ředitelka</w:t>
            </w:r>
          </w:p>
        </w:tc>
      </w:tr>
      <w:tr>
        <w:trPr>
          <w:trHeight w:val="566"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Kontaktní osloby:</w:t>
            </w: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Kontaktní osoby:</w:t>
            </w:r>
          </w:p>
        </w:tc>
        <w:tc>
          <w:tcPr>
            <w:tcBorders>
              <w:top w:val="single" w:sz="4"/>
              <w:left w:val="single" w:sz="4"/>
              <w:right w:val="single" w:sz="4"/>
            </w:tcBorders>
            <w:shd w:val="clear" w:color="auto" w:fill="auto"/>
            <w:vAlign w:val="top"/>
          </w:tcPr>
          <w:p>
            <w:pPr>
              <w:widowControl w:val="0"/>
              <w:rPr>
                <w:sz w:val="10"/>
                <w:szCs w:val="10"/>
              </w:rPr>
            </w:pPr>
          </w:p>
        </w:tc>
      </w:tr>
      <w:tr>
        <w:trPr>
          <w:trHeight w:val="754"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Funkce:</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Country manager ČR</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Funkce:</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Referent MZT</w:t>
            </w:r>
          </w:p>
        </w:tc>
      </w:tr>
      <w:tr>
        <w:trPr>
          <w:trHeight w:val="350" w:hRule="exact"/>
        </w:trPr>
        <w:tc>
          <w:tcPr>
            <w:gridSpan w:val="4"/>
            <w:tcBorders>
              <w:top w:val="single" w:sz="4"/>
              <w:left w:val="single" w:sz="4"/>
              <w:right w:val="single" w:sz="4"/>
            </w:tcBorders>
            <w:shd w:val="clear" w:color="auto" w:fill="auto"/>
            <w:vAlign w:val="top"/>
          </w:tcPr>
          <w:p>
            <w:pPr>
              <w:widowControl w:val="0"/>
              <w:rPr>
                <w:sz w:val="10"/>
                <w:szCs w:val="10"/>
              </w:rPr>
            </w:pPr>
          </w:p>
        </w:tc>
      </w:tr>
      <w:tr>
        <w:trPr>
          <w:trHeight w:val="288" w:hRule="exact"/>
        </w:trPr>
        <w:tc>
          <w:tcPr>
            <w:tcBorders>
              <w:top w:val="single" w:sz="4"/>
              <w:left w:val="single" w:sz="4"/>
            </w:tcBorders>
            <w:shd w:val="clear" w:color="auto" w:fill="auto"/>
            <w:vAlign w:val="top"/>
          </w:tcPr>
          <w:p>
            <w:pPr>
              <w:widowControl w:val="0"/>
              <w:rPr>
                <w:sz w:val="10"/>
                <w:szCs w:val="10"/>
              </w:rPr>
            </w:pPr>
          </w:p>
        </w:tc>
        <w:tc>
          <w:tcPr>
            <w:tcBorders>
              <w:top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Fax:</w:t>
            </w:r>
          </w:p>
        </w:tc>
        <w:tc>
          <w:tcPr>
            <w:tcBorders>
              <w:top w:val="single" w:sz="4"/>
              <w:left w:val="single" w:sz="4"/>
              <w:right w:val="single" w:sz="4"/>
            </w:tcBorders>
            <w:shd w:val="clear" w:color="auto" w:fill="auto"/>
            <w:vAlign w:val="top"/>
          </w:tcPr>
          <w:p>
            <w:pPr>
              <w:widowControl w:val="0"/>
              <w:rPr>
                <w:sz w:val="10"/>
                <w:szCs w:val="10"/>
              </w:rPr>
            </w:pPr>
          </w:p>
        </w:tc>
      </w:tr>
      <w:tr>
        <w:trPr>
          <w:trHeight w:val="293" w:hRule="exact"/>
        </w:trPr>
        <w:tc>
          <w:tcPr>
            <w:tcBorders>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IC:</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35 747 811</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sz w:val="22"/>
                <w:szCs w:val="22"/>
              </w:rPr>
              <w:t>IČ:</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Pr>
              <w:t>00346292</w:t>
            </w:r>
          </w:p>
        </w:tc>
      </w:tr>
      <w:tr>
        <w:trPr>
          <w:trHeight w:val="581" w:hRule="exact"/>
        </w:trPr>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DIČ:</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IČDPH:</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2020271308</w:t>
            </w:r>
          </w:p>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SK 2020271308</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sz w:val="22"/>
                <w:szCs w:val="22"/>
              </w:rPr>
              <w:t>DIČ:</w:t>
            </w:r>
          </w:p>
          <w:p>
            <w:pPr>
              <w:pStyle w:val="Style12"/>
              <w:keepNext w:val="0"/>
              <w:keepLines w:val="0"/>
              <w:widowControl w:val="0"/>
              <w:shd w:val="clear" w:color="auto" w:fill="auto"/>
              <w:bidi w:val="0"/>
              <w:spacing w:before="0" w:after="0" w:line="240" w:lineRule="auto"/>
              <w:ind w:left="0" w:right="0" w:firstLine="0"/>
              <w:jc w:val="left"/>
            </w:pPr>
            <w:r>
              <w:rPr>
                <w:rStyle w:val="CharStyle13"/>
                <w:rFonts w:ascii="Arial" w:eastAsia="Arial" w:hAnsi="Arial" w:cs="Arial"/>
                <w:b/>
                <w:bCs/>
                <w:sz w:val="22"/>
                <w:szCs w:val="22"/>
              </w:rPr>
              <w:t>IČ DPH:</w:t>
            </w:r>
          </w:p>
        </w:tc>
        <w:tc>
          <w:tcPr>
            <w:tcBorders>
              <w:top w:val="single" w:sz="4"/>
              <w:left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Pr>
              <w:t>CZ00346292</w:t>
            </w:r>
          </w:p>
        </w:tc>
      </w:tr>
      <w:tr>
        <w:trPr>
          <w:trHeight w:val="850"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Zapsaná vOR:</w:t>
            </w: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Městského súdu Bratislava III, vložka č. 1770/B, oddiel Sa</w:t>
            </w: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Zapsaná vOR:</w:t>
            </w:r>
          </w:p>
        </w:tc>
        <w:tc>
          <w:tcPr>
            <w:tcBorders>
              <w:top w:val="single" w:sz="4"/>
              <w:left w:val="single" w:sz="4"/>
              <w:righ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pPr>
            <w:r>
              <w:rPr>
                <w:rStyle w:val="CharStyle13"/>
              </w:rPr>
              <w:t>Krajský soud v Brně sp. zn. Pr 1245</w:t>
            </w:r>
          </w:p>
        </w:tc>
      </w:tr>
      <w:tr>
        <w:trPr>
          <w:trHeight w:val="614" w:hRule="exact"/>
        </w:trPr>
        <w:tc>
          <w:tcPr>
            <w:tcBorders>
              <w:top w:val="single" w:sz="4"/>
              <w:left w:val="single" w:sz="4"/>
              <w:bottom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Bank, spojení:</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Fio banka a.s., číslo účtu 2002129990/2010</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24"/>
                <w:szCs w:val="24"/>
              </w:rPr>
            </w:pPr>
            <w:r>
              <w:rPr>
                <w:rStyle w:val="CharStyle13"/>
                <w:sz w:val="24"/>
                <w:szCs w:val="24"/>
              </w:rPr>
              <w:t>Bank, spojení:</w:t>
            </w:r>
          </w:p>
        </w:tc>
        <w:tc>
          <w:tcPr>
            <w:tcBorders>
              <w:top w:val="single" w:sz="4"/>
              <w:left w:val="single" w:sz="4"/>
              <w:bottom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pPr>
            <w:r>
              <w:rPr>
                <w:rStyle w:val="CharStyle13"/>
              </w:rPr>
              <w:t>MONETA Money Bank, a.s., č. ú. 117203514/0600</w:t>
            </w:r>
          </w:p>
        </w:tc>
      </w:tr>
    </w:tbl>
    <w:p>
      <w:pPr>
        <w:widowControl w:val="0"/>
        <w:spacing w:after="539" w:line="1" w:lineRule="exact"/>
      </w:pPr>
    </w:p>
    <w:p>
      <w:pPr>
        <w:pStyle w:val="Style24"/>
        <w:keepNext/>
        <w:keepLines/>
        <w:widowControl w:val="0"/>
        <w:numPr>
          <w:ilvl w:val="0"/>
          <w:numId w:val="1"/>
        </w:numPr>
        <w:shd w:val="clear" w:color="auto" w:fill="auto"/>
        <w:bidi w:val="0"/>
        <w:spacing w:before="0" w:after="0" w:line="240" w:lineRule="auto"/>
        <w:ind w:left="0" w:right="0" w:firstLine="0"/>
        <w:jc w:val="center"/>
      </w:pPr>
      <w:bookmarkStart w:id="4" w:name="bookmark4"/>
      <w:bookmarkEnd w:id="4"/>
    </w:p>
    <w:p>
      <w:pPr>
        <w:pStyle w:val="Style24"/>
        <w:keepNext/>
        <w:keepLines/>
        <w:widowControl w:val="0"/>
        <w:shd w:val="clear" w:color="auto" w:fill="auto"/>
        <w:bidi w:val="0"/>
        <w:spacing w:before="0" w:after="120" w:line="240" w:lineRule="auto"/>
        <w:ind w:left="0" w:right="0" w:firstLine="0"/>
        <w:jc w:val="center"/>
      </w:pPr>
      <w:r>
        <w:rPr>
          <w:rStyle w:val="CharStyle25"/>
          <w:b/>
          <w:bCs/>
        </w:rPr>
        <w:t>Prohlášení smluvních stran</w:t>
      </w:r>
    </w:p>
    <w:p>
      <w:pPr>
        <w:pStyle w:val="Style15"/>
        <w:keepNext w:val="0"/>
        <w:keepLines w:val="0"/>
        <w:widowControl w:val="0"/>
        <w:numPr>
          <w:ilvl w:val="0"/>
          <w:numId w:val="3"/>
        </w:numPr>
        <w:shd w:val="clear" w:color="auto" w:fill="auto"/>
        <w:tabs>
          <w:tab w:pos="370" w:val="left"/>
        </w:tabs>
        <w:bidi w:val="0"/>
        <w:spacing w:before="0" w:after="120" w:line="240" w:lineRule="auto"/>
        <w:ind w:left="460" w:right="0" w:hanging="460"/>
        <w:jc w:val="left"/>
      </w:pPr>
      <w:r>
        <w:rPr>
          <w:rStyle w:val="CharStyle16"/>
        </w:rPr>
        <w:t>Poskytovatel prohlašuje, zeje společností řádně založenou a existující v souladu s právním řádem Slovenské republiky a předpisy EU a jakožto takový je způsobilý tuto smlouvu uzavřít.</w:t>
      </w:r>
    </w:p>
    <w:p>
      <w:pPr>
        <w:pStyle w:val="Style15"/>
        <w:keepNext w:val="0"/>
        <w:keepLines w:val="0"/>
        <w:widowControl w:val="0"/>
        <w:numPr>
          <w:ilvl w:val="0"/>
          <w:numId w:val="3"/>
        </w:numPr>
        <w:shd w:val="clear" w:color="auto" w:fill="auto"/>
        <w:tabs>
          <w:tab w:pos="370" w:val="left"/>
        </w:tabs>
        <w:bidi w:val="0"/>
        <w:spacing w:before="0" w:after="320" w:line="240" w:lineRule="auto"/>
        <w:ind w:left="460" w:right="0" w:hanging="460"/>
        <w:jc w:val="left"/>
      </w:pPr>
      <w:r>
        <w:rPr>
          <w:rStyle w:val="CharStyle16"/>
        </w:rPr>
        <w:t>Objednatel prohlašuje, že je společností řádně založenou a existující v souladu s právním řádem České republiky a předpisy EU a jakožto takový je způsobilý tuto smlouvu uzavřít.</w:t>
      </w:r>
    </w:p>
    <w:p>
      <w:pPr>
        <w:pStyle w:val="Style15"/>
        <w:keepNext w:val="0"/>
        <w:keepLines w:val="0"/>
        <w:widowControl w:val="0"/>
        <w:numPr>
          <w:ilvl w:val="0"/>
          <w:numId w:val="3"/>
        </w:numPr>
        <w:shd w:val="clear" w:color="auto" w:fill="auto"/>
        <w:tabs>
          <w:tab w:pos="371" w:val="left"/>
        </w:tabs>
        <w:bidi w:val="0"/>
        <w:spacing w:before="0" w:line="240" w:lineRule="auto"/>
        <w:ind w:left="460" w:right="0" w:hanging="460"/>
        <w:jc w:val="both"/>
      </w:pPr>
      <w:r>
        <w:rPr>
          <w:rStyle w:val="CharStyle16"/>
        </w:rPr>
        <w:t>Objednatel prohlašuje, že disponuje nevýhradní licencí k elektronickému řídícímu systému SBI (dále jen „systém SBI“), k aktivovaným modulům: Jádro, Přístupy, PZTS, CCTV, Extemal, Log, EPS, FM, Enviro, Pocket, VP a ke všem způsobům užití, na dobu trvání autorských práv k tomuto dílu a bez územního omezení. Dále je systém SBI tvořen 13 kooperujícími servery SBI Slavě.</w:t>
      </w:r>
    </w:p>
    <w:p>
      <w:pPr>
        <w:pStyle w:val="Style15"/>
        <w:keepNext w:val="0"/>
        <w:keepLines w:val="0"/>
        <w:widowControl w:val="0"/>
        <w:shd w:val="clear" w:color="auto" w:fill="auto"/>
        <w:bidi w:val="0"/>
        <w:spacing w:before="0" w:after="400" w:line="240" w:lineRule="auto"/>
        <w:ind w:left="460" w:right="0" w:firstLine="0"/>
        <w:jc w:val="left"/>
      </w:pPr>
      <w:r>
        <w:rPr>
          <w:rStyle w:val="CharStyle16"/>
        </w:rPr>
        <w:t>Systém SBI zahrnuje software. Software je předmětem ochrany ve smyslu zákona č. 121/2000 Sb., o právu autorském, o právech souvisejících s právem autorským a o změně některých předpisů.</w:t>
      </w:r>
    </w:p>
    <w:p>
      <w:pPr>
        <w:pStyle w:val="Style15"/>
        <w:keepNext w:val="0"/>
        <w:keepLines w:val="0"/>
        <w:widowControl w:val="0"/>
        <w:numPr>
          <w:ilvl w:val="0"/>
          <w:numId w:val="1"/>
        </w:numPr>
        <w:shd w:val="clear" w:color="auto" w:fill="auto"/>
        <w:bidi w:val="0"/>
        <w:spacing w:before="0" w:after="0" w:line="240" w:lineRule="auto"/>
        <w:ind w:left="0" w:right="0" w:firstLine="0"/>
        <w:jc w:val="center"/>
      </w:pPr>
    </w:p>
    <w:p>
      <w:pPr>
        <w:pStyle w:val="Style15"/>
        <w:keepNext w:val="0"/>
        <w:keepLines w:val="0"/>
        <w:widowControl w:val="0"/>
        <w:shd w:val="clear" w:color="auto" w:fill="auto"/>
        <w:bidi w:val="0"/>
        <w:spacing w:before="0" w:line="240" w:lineRule="auto"/>
        <w:ind w:left="0" w:right="0" w:firstLine="0"/>
        <w:jc w:val="center"/>
      </w:pPr>
      <w:r>
        <w:rPr>
          <w:rStyle w:val="CharStyle16"/>
          <w:b/>
          <w:bCs/>
        </w:rPr>
        <w:t>Vymezení pojmů</w:t>
      </w:r>
    </w:p>
    <w:p>
      <w:pPr>
        <w:pStyle w:val="Style15"/>
        <w:keepNext w:val="0"/>
        <w:keepLines w:val="0"/>
        <w:widowControl w:val="0"/>
        <w:numPr>
          <w:ilvl w:val="0"/>
          <w:numId w:val="5"/>
        </w:numPr>
        <w:shd w:val="clear" w:color="auto" w:fill="auto"/>
        <w:tabs>
          <w:tab w:pos="371" w:val="left"/>
        </w:tabs>
        <w:bidi w:val="0"/>
        <w:spacing w:before="0" w:line="240" w:lineRule="auto"/>
        <w:ind w:left="0" w:right="0" w:firstLine="0"/>
        <w:jc w:val="left"/>
      </w:pPr>
      <w:r>
        <w:rPr>
          <w:rStyle w:val="CharStyle16"/>
        </w:rPr>
        <w:t>Níže uvedené výrazy budou mít v této smlouvě následující význam:</w:t>
      </w:r>
    </w:p>
    <w:p>
      <w:pPr>
        <w:pStyle w:val="Style15"/>
        <w:keepNext w:val="0"/>
        <w:keepLines w:val="0"/>
        <w:widowControl w:val="0"/>
        <w:shd w:val="clear" w:color="auto" w:fill="auto"/>
        <w:bidi w:val="0"/>
        <w:spacing w:before="0" w:after="0" w:line="240" w:lineRule="auto"/>
        <w:ind w:left="0" w:right="0" w:firstLine="0"/>
        <w:jc w:val="left"/>
      </w:pPr>
      <w:r>
        <w:rPr>
          <w:rStyle w:val="CharStyle16"/>
          <w:b/>
          <w:bCs/>
        </w:rPr>
        <w:t>“Systém SBI”</w:t>
      </w:r>
    </w:p>
    <w:p>
      <w:pPr>
        <w:pStyle w:val="Style15"/>
        <w:keepNext w:val="0"/>
        <w:keepLines w:val="0"/>
        <w:widowControl w:val="0"/>
        <w:numPr>
          <w:ilvl w:val="0"/>
          <w:numId w:val="7"/>
        </w:numPr>
        <w:shd w:val="clear" w:color="auto" w:fill="auto"/>
        <w:tabs>
          <w:tab w:pos="1203" w:val="left"/>
        </w:tabs>
        <w:bidi w:val="0"/>
        <w:spacing w:before="0" w:after="0" w:line="240" w:lineRule="auto"/>
        <w:ind w:left="1180" w:right="0" w:hanging="320"/>
        <w:jc w:val="both"/>
      </w:pPr>
      <w:r>
        <w:rPr>
          <w:rStyle w:val="CharStyle16"/>
        </w:rPr>
        <w:t>elektronický řídicí systém. Software je předmětem ochrany ve smyslu zákona č. 121/2000 Sb., o právu autorském, o právech souvisejících s právem autorským a o změně některých předpisů,</w:t>
      </w:r>
    </w:p>
    <w:p>
      <w:pPr>
        <w:pStyle w:val="Style15"/>
        <w:keepNext w:val="0"/>
        <w:keepLines w:val="0"/>
        <w:widowControl w:val="0"/>
        <w:numPr>
          <w:ilvl w:val="0"/>
          <w:numId w:val="7"/>
        </w:numPr>
        <w:shd w:val="clear" w:color="auto" w:fill="auto"/>
        <w:tabs>
          <w:tab w:pos="1183" w:val="left"/>
        </w:tabs>
        <w:bidi w:val="0"/>
        <w:spacing w:before="0" w:after="0" w:line="240" w:lineRule="auto"/>
        <w:ind w:left="0" w:right="0" w:firstLine="840"/>
        <w:jc w:val="left"/>
      </w:pPr>
      <w:r>
        <w:rPr>
          <w:rStyle w:val="CharStyle16"/>
        </w:rPr>
        <w:t>systém sestává ze serveru a celkem 110 okruhů včetně 19 okruhu CCTV,</w:t>
      </w:r>
    </w:p>
    <w:p>
      <w:pPr>
        <w:pStyle w:val="Style15"/>
        <w:keepNext w:val="0"/>
        <w:keepLines w:val="0"/>
        <w:widowControl w:val="0"/>
        <w:numPr>
          <w:ilvl w:val="0"/>
          <w:numId w:val="7"/>
        </w:numPr>
        <w:shd w:val="clear" w:color="auto" w:fill="auto"/>
        <w:tabs>
          <w:tab w:pos="1203" w:val="left"/>
        </w:tabs>
        <w:bidi w:val="0"/>
        <w:spacing w:before="0" w:line="240" w:lineRule="auto"/>
        <w:ind w:left="1180" w:right="0" w:hanging="320"/>
        <w:jc w:val="both"/>
      </w:pPr>
      <w:r>
        <w:rPr>
          <w:rStyle w:val="CharStyle16"/>
        </w:rPr>
        <w:t>HW (servery, infrastruktura IT, HW připojených systémů - zejména čtečky, docházkové terminály, PZTS, kamerové systémy apod.) použitý pro provoz systému SBI a jeho podpora nejsou předmětem této smlouvy.</w:t>
      </w:r>
    </w:p>
    <w:p>
      <w:pPr>
        <w:pStyle w:val="Style24"/>
        <w:keepNext/>
        <w:keepLines/>
        <w:widowControl w:val="0"/>
        <w:shd w:val="clear" w:color="auto" w:fill="auto"/>
        <w:bidi w:val="0"/>
        <w:spacing w:before="0" w:after="0" w:line="240" w:lineRule="auto"/>
        <w:ind w:left="0" w:right="0" w:firstLine="0"/>
        <w:jc w:val="left"/>
      </w:pPr>
      <w:bookmarkStart w:id="7" w:name="bookmark7"/>
      <w:r>
        <w:rPr>
          <w:rStyle w:val="CharStyle25"/>
          <w:b/>
          <w:bCs/>
        </w:rPr>
        <w:t>“Pracovní doba”</w:t>
      </w:r>
      <w:bookmarkEnd w:id="7"/>
    </w:p>
    <w:p>
      <w:pPr>
        <w:pStyle w:val="Style15"/>
        <w:keepNext w:val="0"/>
        <w:keepLines w:val="0"/>
        <w:widowControl w:val="0"/>
        <w:numPr>
          <w:ilvl w:val="0"/>
          <w:numId w:val="7"/>
        </w:numPr>
        <w:shd w:val="clear" w:color="auto" w:fill="auto"/>
        <w:tabs>
          <w:tab w:pos="1183" w:val="left"/>
        </w:tabs>
        <w:bidi w:val="0"/>
        <w:spacing w:before="0" w:line="240" w:lineRule="auto"/>
        <w:ind w:left="0" w:right="0" w:firstLine="840"/>
        <w:jc w:val="left"/>
      </w:pPr>
      <w:r>
        <w:rPr>
          <w:rStyle w:val="CharStyle16"/>
        </w:rPr>
        <w:t>v pracovní dny doba od 8:00 hod do 17:00 hod.</w:t>
      </w:r>
    </w:p>
    <w:p>
      <w:pPr>
        <w:pStyle w:val="Style24"/>
        <w:keepNext/>
        <w:keepLines/>
        <w:widowControl w:val="0"/>
        <w:shd w:val="clear" w:color="auto" w:fill="auto"/>
        <w:bidi w:val="0"/>
        <w:spacing w:before="0" w:after="0" w:line="240" w:lineRule="auto"/>
        <w:ind w:left="0" w:right="0" w:firstLine="0"/>
        <w:jc w:val="left"/>
      </w:pPr>
      <w:bookmarkStart w:id="9" w:name="bookmark9"/>
      <w:r>
        <w:rPr>
          <w:rStyle w:val="CharStyle25"/>
          <w:b/>
          <w:bCs/>
        </w:rPr>
        <w:t>“Pracovní hodina”</w:t>
      </w:r>
      <w:bookmarkEnd w:id="9"/>
    </w:p>
    <w:p>
      <w:pPr>
        <w:pStyle w:val="Style15"/>
        <w:keepNext w:val="0"/>
        <w:keepLines w:val="0"/>
        <w:widowControl w:val="0"/>
        <w:numPr>
          <w:ilvl w:val="0"/>
          <w:numId w:val="7"/>
        </w:numPr>
        <w:shd w:val="clear" w:color="auto" w:fill="auto"/>
        <w:tabs>
          <w:tab w:pos="1203" w:val="left"/>
        </w:tabs>
        <w:bidi w:val="0"/>
        <w:spacing w:before="0" w:after="480" w:line="240" w:lineRule="auto"/>
        <w:ind w:left="1180" w:right="0" w:hanging="320"/>
        <w:jc w:val="left"/>
      </w:pPr>
      <w:r>
        <w:rPr>
          <w:rStyle w:val="CharStyle16"/>
        </w:rPr>
        <w:t>každá běžná hodina práce jednoho pracovníka dodavatele včetně práce započaté trvající více než 15 min.</w:t>
      </w:r>
    </w:p>
    <w:p>
      <w:pPr>
        <w:pStyle w:val="Style27"/>
        <w:keepNext/>
        <w:keepLines/>
        <w:widowControl w:val="0"/>
        <w:shd w:val="clear" w:color="auto" w:fill="auto"/>
        <w:bidi w:val="0"/>
        <w:spacing w:before="0" w:after="0" w:line="240" w:lineRule="auto"/>
        <w:ind w:left="0" w:right="0" w:firstLine="0"/>
        <w:jc w:val="center"/>
      </w:pPr>
      <w:bookmarkStart w:id="11" w:name="bookmark11"/>
      <w:r>
        <w:rPr>
          <w:rStyle w:val="CharStyle28"/>
        </w:rPr>
        <w:t>m.</w:t>
      </w:r>
      <w:bookmarkEnd w:id="11"/>
    </w:p>
    <w:p>
      <w:pPr>
        <w:pStyle w:val="Style15"/>
        <w:keepNext w:val="0"/>
        <w:keepLines w:val="0"/>
        <w:widowControl w:val="0"/>
        <w:shd w:val="clear" w:color="auto" w:fill="auto"/>
        <w:bidi w:val="0"/>
        <w:spacing w:before="0" w:line="240" w:lineRule="auto"/>
        <w:ind w:left="0" w:right="0" w:firstLine="0"/>
        <w:jc w:val="center"/>
      </w:pPr>
      <w:r>
        <w:rPr>
          <w:rStyle w:val="CharStyle16"/>
          <w:b/>
          <w:bCs/>
        </w:rPr>
        <w:t>Účel smlouvy</w:t>
      </w:r>
    </w:p>
    <w:p>
      <w:pPr>
        <w:pStyle w:val="Style15"/>
        <w:keepNext w:val="0"/>
        <w:keepLines w:val="0"/>
        <w:widowControl w:val="0"/>
        <w:numPr>
          <w:ilvl w:val="0"/>
          <w:numId w:val="9"/>
        </w:numPr>
        <w:shd w:val="clear" w:color="auto" w:fill="auto"/>
        <w:tabs>
          <w:tab w:pos="371" w:val="left"/>
        </w:tabs>
        <w:bidi w:val="0"/>
        <w:spacing w:before="0" w:after="1040" w:line="240" w:lineRule="auto"/>
        <w:ind w:left="460" w:right="0" w:hanging="460"/>
        <w:jc w:val="both"/>
      </w:pPr>
      <w:r>
        <w:rPr>
          <w:rStyle w:val="CharStyle16"/>
        </w:rPr>
        <w:t>Tato smlouva se uzavírá za účelem poskytnutí služeb Objednateli spočívajících v servisní podpoře Systému SBI dle čl. IV/1 této smlouvy a v rozsahu stanoveném touto smlouvou. Účelem poskytování těchto služeb je zajistit Objednateli optimální funkčnost a provozuschopnost Systému SBI za podmínek touto smlouvou sjednaných.</w:t>
      </w:r>
    </w:p>
    <w:p>
      <w:pPr>
        <w:pStyle w:val="Style15"/>
        <w:keepNext w:val="0"/>
        <w:keepLines w:val="0"/>
        <w:widowControl w:val="0"/>
        <w:shd w:val="clear" w:color="auto" w:fill="auto"/>
        <w:bidi w:val="0"/>
        <w:spacing w:before="0" w:after="0" w:line="240" w:lineRule="auto"/>
        <w:ind w:left="0" w:right="0" w:firstLine="0"/>
        <w:jc w:val="center"/>
      </w:pPr>
      <w:r>
        <w:rPr>
          <w:rStyle w:val="CharStyle16"/>
          <w:b/>
          <w:bCs/>
        </w:rPr>
        <w:t>IV.</w:t>
      </w:r>
    </w:p>
    <w:p>
      <w:pPr>
        <w:pStyle w:val="Style15"/>
        <w:keepNext w:val="0"/>
        <w:keepLines w:val="0"/>
        <w:widowControl w:val="0"/>
        <w:shd w:val="clear" w:color="auto" w:fill="auto"/>
        <w:bidi w:val="0"/>
        <w:spacing w:before="0" w:line="240" w:lineRule="auto"/>
        <w:ind w:left="0" w:right="0" w:firstLine="0"/>
        <w:jc w:val="center"/>
      </w:pPr>
      <w:r>
        <w:rPr>
          <w:rStyle w:val="CharStyle16"/>
          <w:b/>
          <w:bCs/>
        </w:rPr>
        <w:t>Předmět smlouvy</w:t>
      </w:r>
    </w:p>
    <w:p>
      <w:pPr>
        <w:pStyle w:val="Style15"/>
        <w:keepNext w:val="0"/>
        <w:keepLines w:val="0"/>
        <w:widowControl w:val="0"/>
        <w:numPr>
          <w:ilvl w:val="0"/>
          <w:numId w:val="11"/>
        </w:numPr>
        <w:shd w:val="clear" w:color="auto" w:fill="auto"/>
        <w:tabs>
          <w:tab w:pos="371" w:val="left"/>
        </w:tabs>
        <w:bidi w:val="0"/>
        <w:spacing w:before="0" w:line="240" w:lineRule="auto"/>
        <w:ind w:left="460" w:right="0" w:hanging="460"/>
        <w:jc w:val="left"/>
      </w:pPr>
      <w:r>
        <w:rPr>
          <w:rStyle w:val="CharStyle16"/>
        </w:rPr>
        <w:t xml:space="preserve">Poskytovatel se na základě této smlouvy zavazuje poskytovat Objednateli služby servisní podpory Systému SBI (dále jen </w:t>
      </w:r>
      <w:r>
        <w:rPr>
          <w:rStyle w:val="CharStyle16"/>
          <w:b/>
          <w:bCs/>
        </w:rPr>
        <w:t xml:space="preserve">„služby podpory“), </w:t>
      </w:r>
      <w:r>
        <w:rPr>
          <w:rStyle w:val="CharStyle16"/>
        </w:rPr>
        <w:t>které zahrnují tyto služby:</w:t>
      </w:r>
    </w:p>
    <w:p>
      <w:pPr>
        <w:pStyle w:val="Style15"/>
        <w:keepNext w:val="0"/>
        <w:keepLines w:val="0"/>
        <w:widowControl w:val="0"/>
        <w:numPr>
          <w:ilvl w:val="0"/>
          <w:numId w:val="13"/>
        </w:numPr>
        <w:shd w:val="clear" w:color="auto" w:fill="auto"/>
        <w:tabs>
          <w:tab w:pos="1186" w:val="left"/>
        </w:tabs>
        <w:bidi w:val="0"/>
        <w:spacing w:before="0" w:after="40" w:line="240" w:lineRule="auto"/>
        <w:ind w:left="0" w:right="0" w:firstLine="840"/>
        <w:jc w:val="left"/>
      </w:pPr>
      <w:r>
        <w:rPr>
          <w:rStyle w:val="CharStyle16"/>
        </w:rPr>
        <w:t>upgrade systému SBI včetně kooperujících serverů SBI Slavě</w:t>
      </w:r>
    </w:p>
    <w:p>
      <w:pPr>
        <w:pStyle w:val="Style15"/>
        <w:keepNext w:val="0"/>
        <w:keepLines w:val="0"/>
        <w:widowControl w:val="0"/>
        <w:numPr>
          <w:ilvl w:val="0"/>
          <w:numId w:val="13"/>
        </w:numPr>
        <w:shd w:val="clear" w:color="auto" w:fill="auto"/>
        <w:tabs>
          <w:tab w:pos="1205" w:val="left"/>
        </w:tabs>
        <w:bidi w:val="0"/>
        <w:spacing w:before="0" w:after="40" w:line="240" w:lineRule="auto"/>
        <w:ind w:left="0" w:right="0" w:firstLine="840"/>
        <w:jc w:val="left"/>
      </w:pPr>
      <w:r>
        <w:rPr>
          <w:rStyle w:val="CharStyle16"/>
        </w:rPr>
        <w:t>zajištění provozuschopnosti systému SBI;</w:t>
      </w:r>
    </w:p>
    <w:p>
      <w:pPr>
        <w:pStyle w:val="Style15"/>
        <w:keepNext w:val="0"/>
        <w:keepLines w:val="0"/>
        <w:widowControl w:val="0"/>
        <w:numPr>
          <w:ilvl w:val="0"/>
          <w:numId w:val="13"/>
        </w:numPr>
        <w:shd w:val="clear" w:color="auto" w:fill="auto"/>
        <w:tabs>
          <w:tab w:pos="1206" w:val="left"/>
        </w:tabs>
        <w:bidi w:val="0"/>
        <w:spacing w:before="0" w:after="40" w:line="240" w:lineRule="auto"/>
        <w:ind w:left="1180" w:right="0" w:hanging="320"/>
        <w:jc w:val="both"/>
      </w:pPr>
      <w:r>
        <w:rPr>
          <w:rStyle w:val="CharStyle16"/>
        </w:rPr>
        <w:t>řešení provozních problémů vzniklých při užívání Systému SBI u Zákazníka nebo Objednatele, včetně odstraňování závad software (dále jen „řešení provozních problémů“);</w:t>
      </w:r>
    </w:p>
    <w:p>
      <w:pPr>
        <w:pStyle w:val="Style15"/>
        <w:keepNext w:val="0"/>
        <w:keepLines w:val="0"/>
        <w:widowControl w:val="0"/>
        <w:numPr>
          <w:ilvl w:val="0"/>
          <w:numId w:val="13"/>
        </w:numPr>
        <w:shd w:val="clear" w:color="auto" w:fill="auto"/>
        <w:tabs>
          <w:tab w:pos="1216" w:val="left"/>
        </w:tabs>
        <w:bidi w:val="0"/>
        <w:spacing w:before="0" w:line="240" w:lineRule="auto"/>
        <w:ind w:left="1180" w:right="0" w:hanging="320"/>
        <w:jc w:val="both"/>
      </w:pPr>
      <w:r>
        <w:rPr>
          <w:rStyle w:val="CharStyle16"/>
        </w:rPr>
        <w:t>služby Hot-line pro řešení technických problémů dle přílohy č. 1 - Podmínky poskytování služby Hot line a Help desk;</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vzdálený přístup pro správu, analýzu a servisní zákrok (tento vzdálený přístup smí být Objednatelem plně monitorován jakýmikoliv SW nástroji);</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zajištění Help-desku, tj. pracoviště Poskytovatele, které bude poskytovat Objednateli Kot</w:t>
        <w:softHyphen/>
        <w:t>lině služby, jiné informace vztahující se k řešení provozních problémů Objednatele vzniklých mu při užívám Systému SBI, včetně přijímání reklamací Objednatele, zajišťování řešení problémů, informování Objednatele o způsobu řešení, případně o způsobu vyřešení problémů. Podrobněji je činnost pracoviště Poskytovatele uvedena v příloze č. 1 - Podmínky poskytování služby Hot line a Help desk;</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poskytování rad a konzultací pracovníkům Objednatele při řešení provozních problémů vzniklých při užívání software Systému SBI prostřednictvím telefonu, e-mailu, modemu a faxu, což představuje:</w:t>
      </w:r>
    </w:p>
    <w:p>
      <w:pPr>
        <w:pStyle w:val="Style15"/>
        <w:keepNext w:val="0"/>
        <w:keepLines w:val="0"/>
        <w:widowControl w:val="0"/>
        <w:numPr>
          <w:ilvl w:val="0"/>
          <w:numId w:val="15"/>
        </w:numPr>
        <w:shd w:val="clear" w:color="auto" w:fill="auto"/>
        <w:tabs>
          <w:tab w:pos="2158" w:val="left"/>
        </w:tabs>
        <w:bidi w:val="0"/>
        <w:spacing w:before="0" w:after="40" w:line="240" w:lineRule="auto"/>
        <w:ind w:left="1880" w:right="0" w:firstLine="0"/>
        <w:jc w:val="left"/>
      </w:pPr>
      <w:r>
        <w:rPr>
          <w:rStyle w:val="CharStyle16"/>
        </w:rPr>
        <w:t>služby Hot-line v případě řešení technických potíží;</w:t>
      </w:r>
    </w:p>
    <w:p>
      <w:pPr>
        <w:pStyle w:val="Style15"/>
        <w:keepNext w:val="0"/>
        <w:keepLines w:val="0"/>
        <w:widowControl w:val="0"/>
        <w:numPr>
          <w:ilvl w:val="0"/>
          <w:numId w:val="15"/>
        </w:numPr>
        <w:shd w:val="clear" w:color="auto" w:fill="auto"/>
        <w:tabs>
          <w:tab w:pos="364" w:val="left"/>
        </w:tabs>
        <w:bidi w:val="0"/>
        <w:spacing w:before="0" w:after="40" w:line="240" w:lineRule="auto"/>
        <w:ind w:left="0" w:right="0" w:firstLine="0"/>
        <w:jc w:val="center"/>
      </w:pPr>
      <w:r>
        <w:rPr>
          <w:rStyle w:val="CharStyle16"/>
        </w:rPr>
        <w:t>vyžádané telefonické konzultace nad rámec služby Hot-line;</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poskytování rad a konzultací pracovníkům Objednatele pro správné efektivní užívání software Systému SBI formou osobní konzultace/návštěvy;</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zajišťování školení pracovníků Objednatele - tj. uživatelů a dalších osob určených Objednatelem, pracovníků podpory a administrátorů Systému (dále jen „školenci“) pro práci se Systémem, pokud o to Objednatel požádá, a to v rozsahu, úrovni a termínu požadovaném Objednatelem. Objednatel si na základě nabídky Poskytovatele může objednat školení jeho pracovníků u Poskytovatele písemně s předstihem minimálně 1 (slovy jednoho) týdne od požadovaného data školení,</w:t>
      </w:r>
    </w:p>
    <w:p>
      <w:pPr>
        <w:pStyle w:val="Style15"/>
        <w:keepNext w:val="0"/>
        <w:keepLines w:val="0"/>
        <w:widowControl w:val="0"/>
        <w:numPr>
          <w:ilvl w:val="0"/>
          <w:numId w:val="13"/>
        </w:numPr>
        <w:shd w:val="clear" w:color="auto" w:fill="auto"/>
        <w:tabs>
          <w:tab w:pos="1166" w:val="left"/>
        </w:tabs>
        <w:bidi w:val="0"/>
        <w:spacing w:before="0" w:after="40" w:line="240" w:lineRule="auto"/>
        <w:ind w:left="1160" w:right="0" w:hanging="340"/>
        <w:jc w:val="both"/>
      </w:pPr>
      <w:r>
        <w:rPr>
          <w:rStyle w:val="CharStyle16"/>
        </w:rPr>
        <w:t>spolupráci s Objednatelem na dalším rozvoji software Systému SBI, na provádění profylaxí a jiných služeb. Předmět tohoto plnění bude přesně specifikován v samostatných objednávkách nebo smlouvách, které smluvní strany k tomuto plnění mezi sebou uzavřou na základě nabídek Poskytovatele a požadavků Objednatele v termínech definovaných Objednatelem.</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left"/>
      </w:pPr>
      <w:r>
        <w:rPr>
          <w:rStyle w:val="CharStyle16"/>
        </w:rPr>
        <w:t>Služby ve smyslu bodu 1. písm. a) až g) budou poskytovány Poskytovatelem průběžně po dobu účinnosti této smlouvy v dohodnutých termínech a rozsahu funkcionalit Systému SBI a na základě plánů vývoje Poskytovatele.</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left"/>
      </w:pPr>
      <w:r>
        <w:rPr>
          <w:rStyle w:val="CharStyle16"/>
        </w:rPr>
        <w:t>Služby ve smyslu bodu 1. písm. h) až j) budou poskytovány na základě písemné Objednávky Objednatele a potvrzené Poskytovatelem.</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left"/>
      </w:pPr>
      <w:r>
        <w:rPr>
          <w:rStyle w:val="CharStyle16"/>
        </w:rPr>
        <w:t>Objednatel se zavazuje platit Poskytovateli za řádné provedené služby a za podmínek stanovených v této smlouvě sjednanou cenu.</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left"/>
      </w:pPr>
      <w:r>
        <w:rPr>
          <w:rStyle w:val="CharStyle16"/>
        </w:rPr>
        <w:t>Servisní podpora Poskytovatele Objednateli nezahrnuje HW (servery, infrastruktura IT, HW připojených systémů - zejména čtečky, docházkové terminály, PZTS, kamerové systémy apod.) použitý pro provoz systému SBI a jeho podpora nejsou předmětem této smlouvy.</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left"/>
      </w:pPr>
      <w:r>
        <w:rPr>
          <w:rStyle w:val="CharStyle16"/>
        </w:rPr>
        <w:t>Objednatel se zavazuje zajistit Poskytovateli nezbytnou součinnost k plnění předmětu smlouvy v rozsahu uvedeném touto smlouvou a za poskytnuté služby řádně uhradit níže uvedenou cenu.</w:t>
      </w:r>
    </w:p>
    <w:p>
      <w:pPr>
        <w:pStyle w:val="Style15"/>
        <w:keepNext w:val="0"/>
        <w:keepLines w:val="0"/>
        <w:widowControl w:val="0"/>
        <w:numPr>
          <w:ilvl w:val="0"/>
          <w:numId w:val="11"/>
        </w:numPr>
        <w:shd w:val="clear" w:color="auto" w:fill="auto"/>
        <w:tabs>
          <w:tab w:pos="364" w:val="left"/>
        </w:tabs>
        <w:bidi w:val="0"/>
        <w:spacing w:before="0" w:line="240" w:lineRule="auto"/>
        <w:ind w:left="0" w:right="0" w:firstLine="0"/>
        <w:jc w:val="left"/>
      </w:pPr>
      <w:r>
        <w:rPr>
          <w:rStyle w:val="CharStyle16"/>
        </w:rPr>
        <w:t>Poskytovatel se zavazuje plnit tuto smlouvu s odbornou péčí.</w:t>
      </w:r>
    </w:p>
    <w:p>
      <w:pPr>
        <w:pStyle w:val="Style15"/>
        <w:keepNext w:val="0"/>
        <w:keepLines w:val="0"/>
        <w:widowControl w:val="0"/>
        <w:numPr>
          <w:ilvl w:val="0"/>
          <w:numId w:val="11"/>
        </w:numPr>
        <w:shd w:val="clear" w:color="auto" w:fill="auto"/>
        <w:tabs>
          <w:tab w:pos="364" w:val="left"/>
        </w:tabs>
        <w:bidi w:val="0"/>
        <w:spacing w:before="0" w:line="240" w:lineRule="auto"/>
        <w:ind w:left="440" w:right="0" w:hanging="440"/>
        <w:jc w:val="both"/>
      </w:pPr>
      <w:r>
        <w:rPr>
          <w:rStyle w:val="CharStyle16"/>
        </w:rPr>
        <w:t>Poskytovatel odpovídá Objednateli za škodu způsobenou porušením povinností Poskytovatele stanovených touto smlouvou. Objednatel odpovídá Poskytovateli za škodu způsobenou porušením povinností Objednatele stanovených touto smlouvou.</w:t>
      </w:r>
    </w:p>
    <w:p>
      <w:pPr>
        <w:pStyle w:val="Style15"/>
        <w:keepNext w:val="0"/>
        <w:keepLines w:val="0"/>
        <w:widowControl w:val="0"/>
        <w:numPr>
          <w:ilvl w:val="0"/>
          <w:numId w:val="11"/>
        </w:numPr>
        <w:shd w:val="clear" w:color="auto" w:fill="auto"/>
        <w:tabs>
          <w:tab w:pos="364" w:val="left"/>
        </w:tabs>
        <w:bidi w:val="0"/>
        <w:spacing w:before="0" w:after="80" w:line="240" w:lineRule="auto"/>
        <w:ind w:left="440" w:right="0" w:hanging="440"/>
        <w:jc w:val="both"/>
      </w:pPr>
      <w:r>
        <w:rPr>
          <w:rStyle w:val="CharStyle16"/>
        </w:rPr>
        <w:t>Poskytovatel se zavazuje plnit svoje povinnosti podle tohoto článku této smlouvy ve lhůtách podle přílohy č. 1 k této smlouvě. Pro případ prodlení s plněním povinností zhotovitele v těchto lhůtách se zhotovitel zavazuje platit objednateli smluvní pokutu ve výši 1 000,-Kč za každý započatý den tohoto prodlení. Toto ujednání má přednost před čl. 5 přílohy č. 1 k této smlouvy.</w:t>
      </w:r>
    </w:p>
    <w:p>
      <w:pPr>
        <w:pStyle w:val="Style27"/>
        <w:keepNext/>
        <w:keepLines/>
        <w:widowControl w:val="0"/>
        <w:shd w:val="clear" w:color="auto" w:fill="auto"/>
        <w:bidi w:val="0"/>
        <w:spacing w:before="0" w:after="0" w:line="240" w:lineRule="auto"/>
        <w:ind w:left="0" w:right="0" w:firstLine="0"/>
        <w:jc w:val="center"/>
      </w:pPr>
      <w:bookmarkStart w:id="13" w:name="bookmark13"/>
      <w:r>
        <w:rPr>
          <w:rStyle w:val="CharStyle28"/>
        </w:rPr>
        <w:t>v.</w:t>
      </w:r>
      <w:bookmarkEnd w:id="13"/>
    </w:p>
    <w:p>
      <w:pPr>
        <w:pStyle w:val="Style15"/>
        <w:keepNext w:val="0"/>
        <w:keepLines w:val="0"/>
        <w:widowControl w:val="0"/>
        <w:shd w:val="clear" w:color="auto" w:fill="auto"/>
        <w:bidi w:val="0"/>
        <w:spacing w:before="0" w:line="240" w:lineRule="auto"/>
        <w:ind w:left="0" w:right="0" w:firstLine="0"/>
        <w:jc w:val="center"/>
      </w:pPr>
      <w:r>
        <w:rPr>
          <w:rStyle w:val="CharStyle16"/>
          <w:b/>
          <w:bCs/>
        </w:rPr>
        <w:t>Zjištění provedeného plnění</w:t>
      </w:r>
    </w:p>
    <w:p>
      <w:pPr>
        <w:pStyle w:val="Style15"/>
        <w:keepNext w:val="0"/>
        <w:keepLines w:val="0"/>
        <w:widowControl w:val="0"/>
        <w:numPr>
          <w:ilvl w:val="0"/>
          <w:numId w:val="17"/>
        </w:numPr>
        <w:shd w:val="clear" w:color="auto" w:fill="auto"/>
        <w:tabs>
          <w:tab w:pos="385" w:val="left"/>
        </w:tabs>
        <w:bidi w:val="0"/>
        <w:spacing w:before="0" w:line="240" w:lineRule="auto"/>
        <w:ind w:left="460" w:right="0" w:hanging="460"/>
        <w:jc w:val="both"/>
      </w:pPr>
      <w:r>
        <w:rPr>
          <w:rStyle w:val="CharStyle16"/>
        </w:rPr>
        <w:t>Veškerá plnění poskytnutá pověřenými zaměstnanci Poskytovatele v rámci ěinností ve smyslu bodu IV. 1 písmena h) až j) této smlouvy budou evidována v písemném hlášení, z něhož bude zřejmé, kterého pracovníka Poskytovatele se záznam týká, stručný popis činnosti, počet časových jednotek provedené práce a sazba předmětného pracovníka, v případě školení bude obsahovat též seznam skutečných účastníků školení ze strany Objednatele.</w:t>
      </w:r>
    </w:p>
    <w:p>
      <w:pPr>
        <w:pStyle w:val="Style15"/>
        <w:keepNext w:val="0"/>
        <w:keepLines w:val="0"/>
        <w:widowControl w:val="0"/>
        <w:numPr>
          <w:ilvl w:val="0"/>
          <w:numId w:val="17"/>
        </w:numPr>
        <w:shd w:val="clear" w:color="auto" w:fill="auto"/>
        <w:tabs>
          <w:tab w:pos="385" w:val="left"/>
        </w:tabs>
        <w:bidi w:val="0"/>
        <w:spacing w:before="0" w:line="240" w:lineRule="auto"/>
        <w:ind w:left="460" w:right="0" w:hanging="460"/>
        <w:jc w:val="both"/>
      </w:pPr>
      <w:r>
        <w:rPr>
          <w:rStyle w:val="CharStyle16"/>
        </w:rPr>
        <w:t>Rádně vyplněná hlášení ve smyslu bodu V.l této smlouvy budou potvrzována Objednatelem a Poskytovatelem. Na formuláři, který po potvrzení Objednatelem slouží jako doklad o převzetí zpracovaného požadavku.</w:t>
      </w:r>
    </w:p>
    <w:p>
      <w:pPr>
        <w:pStyle w:val="Style15"/>
        <w:keepNext w:val="0"/>
        <w:keepLines w:val="0"/>
        <w:widowControl w:val="0"/>
        <w:numPr>
          <w:ilvl w:val="0"/>
          <w:numId w:val="17"/>
        </w:numPr>
        <w:shd w:val="clear" w:color="auto" w:fill="auto"/>
        <w:tabs>
          <w:tab w:pos="385" w:val="left"/>
        </w:tabs>
        <w:bidi w:val="0"/>
        <w:spacing w:before="0" w:line="240" w:lineRule="auto"/>
        <w:ind w:left="460" w:right="0" w:hanging="460"/>
        <w:jc w:val="both"/>
      </w:pPr>
      <w:r>
        <w:rPr>
          <w:rStyle w:val="CharStyle16"/>
        </w:rPr>
        <w:t>Rádně vyplněná hlášení ve smyslu bodu V.l této smlouvy odsouhlasené a potvrzené oprávněnou osobou ze strany Objednatele podle bodu V.l a 2. této smlouvy jsou závazným podkladem Poskytovatele pro vystavení daňového dokladu.</w:t>
      </w:r>
    </w:p>
    <w:p>
      <w:pPr>
        <w:pStyle w:val="Style15"/>
        <w:keepNext w:val="0"/>
        <w:keepLines w:val="0"/>
        <w:widowControl w:val="0"/>
        <w:numPr>
          <w:ilvl w:val="0"/>
          <w:numId w:val="17"/>
        </w:numPr>
        <w:shd w:val="clear" w:color="auto" w:fill="auto"/>
        <w:tabs>
          <w:tab w:pos="385" w:val="left"/>
        </w:tabs>
        <w:bidi w:val="0"/>
        <w:spacing w:before="0" w:after="660" w:line="240" w:lineRule="auto"/>
        <w:ind w:left="460" w:right="0" w:hanging="460"/>
        <w:jc w:val="both"/>
      </w:pPr>
      <w:r>
        <w:rPr>
          <w:rStyle w:val="CharStyle16"/>
        </w:rPr>
        <w:t>Den podpisu řádně vyplněného hlášení ze strany Objednatele se považuje za den splnění závazku Poskytovatele k příslušné činnosti.</w:t>
      </w:r>
    </w:p>
    <w:p>
      <w:pPr>
        <w:pStyle w:val="Style15"/>
        <w:keepNext w:val="0"/>
        <w:keepLines w:val="0"/>
        <w:widowControl w:val="0"/>
        <w:shd w:val="clear" w:color="auto" w:fill="auto"/>
        <w:bidi w:val="0"/>
        <w:spacing w:before="0" w:after="0" w:line="240" w:lineRule="auto"/>
        <w:ind w:left="0" w:right="0" w:firstLine="0"/>
        <w:jc w:val="center"/>
      </w:pPr>
      <w:r>
        <w:rPr>
          <w:rStyle w:val="CharStyle16"/>
          <w:b/>
          <w:bCs/>
        </w:rPr>
        <w:t>VI.</w:t>
      </w:r>
    </w:p>
    <w:p>
      <w:pPr>
        <w:pStyle w:val="Style15"/>
        <w:keepNext w:val="0"/>
        <w:keepLines w:val="0"/>
        <w:widowControl w:val="0"/>
        <w:shd w:val="clear" w:color="auto" w:fill="auto"/>
        <w:bidi w:val="0"/>
        <w:spacing w:before="0" w:line="240" w:lineRule="auto"/>
        <w:ind w:left="0" w:right="0" w:firstLine="0"/>
        <w:jc w:val="center"/>
      </w:pPr>
      <w:r>
        <w:rPr>
          <w:rStyle w:val="CharStyle16"/>
          <w:b/>
          <w:bCs/>
        </w:rPr>
        <w:t>Cena za služby poskytovatele a platební podmínky</w:t>
      </w:r>
    </w:p>
    <w:p>
      <w:pPr>
        <w:pStyle w:val="Style15"/>
        <w:keepNext w:val="0"/>
        <w:keepLines w:val="0"/>
        <w:widowControl w:val="0"/>
        <w:numPr>
          <w:ilvl w:val="0"/>
          <w:numId w:val="19"/>
        </w:numPr>
        <w:shd w:val="clear" w:color="auto" w:fill="auto"/>
        <w:tabs>
          <w:tab w:pos="385" w:val="left"/>
        </w:tabs>
        <w:bidi w:val="0"/>
        <w:spacing w:before="0" w:line="240" w:lineRule="auto"/>
        <w:ind w:left="460" w:right="0" w:hanging="460"/>
        <w:jc w:val="both"/>
      </w:pPr>
      <w:r>
        <w:rPr>
          <w:rStyle w:val="CharStyle16"/>
        </w:rPr>
        <w:t xml:space="preserve">Objednatel a Poskytovatel stanovují dohodou cenu za poskytování služeb podpory Systému SBI dle čl. IV. odst. 1. písm. a) až g) této smlouvy v paušální výši </w:t>
      </w:r>
      <w:r>
        <w:rPr>
          <w:rStyle w:val="CharStyle16"/>
          <w:b/>
          <w:bCs/>
        </w:rPr>
        <w:t xml:space="preserve">69883,- Kč </w:t>
      </w:r>
      <w:r>
        <w:rPr>
          <w:rStyle w:val="CharStyle16"/>
        </w:rPr>
        <w:t>(slovy: : šedesátdevěttisícosmsetosmdesáttři korun českých) bez DPH měsíčně (dále jen „poplatek za upgrade, údržbu a servis“). Tento paušální měsíční poplatek sestává z:</w:t>
      </w:r>
    </w:p>
    <w:p>
      <w:pPr>
        <w:pStyle w:val="Style15"/>
        <w:keepNext w:val="0"/>
        <w:keepLines w:val="0"/>
        <w:widowControl w:val="0"/>
        <w:shd w:val="clear" w:color="auto" w:fill="auto"/>
        <w:tabs>
          <w:tab w:leader="dot" w:pos="8089" w:val="left"/>
        </w:tabs>
        <w:bidi w:val="0"/>
        <w:spacing w:before="0" w:after="40" w:line="240" w:lineRule="auto"/>
        <w:ind w:left="0" w:right="0" w:firstLine="860"/>
        <w:jc w:val="both"/>
      </w:pPr>
      <w:r>
        <w:rPr>
          <w:rStyle w:val="CharStyle16"/>
        </w:rPr>
        <w:t xml:space="preserve">- ceny za upgrade systému </w:t>
        <w:tab/>
      </w:r>
      <w:r>
        <w:rPr>
          <w:rStyle w:val="CharStyle16"/>
          <w:b/>
          <w:bCs/>
        </w:rPr>
        <w:t xml:space="preserve">60883,- </w:t>
      </w:r>
      <w:r>
        <w:rPr>
          <w:rStyle w:val="CharStyle16"/>
        </w:rPr>
        <w:t>Kč</w:t>
      </w:r>
    </w:p>
    <w:p>
      <w:pPr>
        <w:pStyle w:val="Style15"/>
        <w:keepNext w:val="0"/>
        <w:keepLines w:val="0"/>
        <w:widowControl w:val="0"/>
        <w:shd w:val="clear" w:color="auto" w:fill="auto"/>
        <w:tabs>
          <w:tab w:leader="dot" w:pos="8089" w:val="left"/>
        </w:tabs>
        <w:bidi w:val="0"/>
        <w:spacing w:before="0" w:after="40" w:line="240" w:lineRule="auto"/>
        <w:ind w:left="0" w:right="0" w:firstLine="860"/>
        <w:jc w:val="both"/>
      </w:pPr>
      <w:r>
        <w:rPr>
          <w:rStyle w:val="CharStyle16"/>
        </w:rPr>
        <w:t>- ceny za údržbu a servis aplikace SBI</w:t>
        <w:tab/>
      </w:r>
      <w:r>
        <w:rPr>
          <w:rStyle w:val="CharStyle16"/>
          <w:b/>
          <w:bCs/>
        </w:rPr>
        <w:t xml:space="preserve">9000,- </w:t>
      </w:r>
      <w:r>
        <w:rPr>
          <w:rStyle w:val="CharStyle16"/>
        </w:rPr>
        <w:t>Kč</w:t>
      </w:r>
    </w:p>
    <w:p>
      <w:pPr>
        <w:pStyle w:val="Style15"/>
        <w:keepNext w:val="0"/>
        <w:keepLines w:val="0"/>
        <w:widowControl w:val="0"/>
        <w:numPr>
          <w:ilvl w:val="0"/>
          <w:numId w:val="19"/>
        </w:numPr>
        <w:shd w:val="clear" w:color="auto" w:fill="auto"/>
        <w:tabs>
          <w:tab w:pos="385" w:val="left"/>
        </w:tabs>
        <w:bidi w:val="0"/>
        <w:spacing w:before="0" w:line="240" w:lineRule="auto"/>
        <w:ind w:left="460" w:right="0" w:hanging="460"/>
        <w:jc w:val="both"/>
      </w:pPr>
      <w:r>
        <w:rPr>
          <w:rStyle w:val="CharStyle16"/>
        </w:rPr>
        <w:t>Objednatel a Poskytovatel stanoví cenu za realizaci služeb podpory podle čl. IV. odst. 1. písm. h) - j) této smlouvy a tvorbu nabídek Poskytovatele sjednávají smluvní strany následující ceny prací konzultantů Poskytovatele:</w:t>
      </w:r>
    </w:p>
    <w:p>
      <w:pPr>
        <w:pStyle w:val="Style15"/>
        <w:keepNext w:val="0"/>
        <w:keepLines w:val="0"/>
        <w:widowControl w:val="0"/>
        <w:numPr>
          <w:ilvl w:val="0"/>
          <w:numId w:val="21"/>
        </w:numPr>
        <w:shd w:val="clear" w:color="auto" w:fill="auto"/>
        <w:tabs>
          <w:tab w:pos="1176" w:val="left"/>
          <w:tab w:leader="dot" w:pos="9109" w:val="right"/>
          <w:tab w:pos="9289" w:val="right"/>
        </w:tabs>
        <w:bidi w:val="0"/>
        <w:spacing w:before="0" w:after="40" w:line="240" w:lineRule="auto"/>
        <w:ind w:left="0" w:right="0" w:firstLine="860"/>
        <w:jc w:val="both"/>
      </w:pPr>
      <w:r>
        <w:rPr>
          <w:rStyle w:val="CharStyle16"/>
        </w:rPr>
        <w:t>Programátor pro systém SBI, programování</w:t>
        <w:tab/>
      </w:r>
      <w:r>
        <w:rPr>
          <w:rStyle w:val="CharStyle16"/>
          <w:b/>
          <w:bCs/>
        </w:rPr>
        <w:t>1600,-</w:t>
        <w:tab/>
      </w:r>
      <w:r>
        <w:rPr>
          <w:rStyle w:val="CharStyle16"/>
        </w:rPr>
        <w:t>Kč/člověkohodina</w:t>
      </w:r>
    </w:p>
    <w:p>
      <w:pPr>
        <w:pStyle w:val="Style15"/>
        <w:keepNext w:val="0"/>
        <w:keepLines w:val="0"/>
        <w:widowControl w:val="0"/>
        <w:numPr>
          <w:ilvl w:val="0"/>
          <w:numId w:val="21"/>
        </w:numPr>
        <w:shd w:val="clear" w:color="auto" w:fill="auto"/>
        <w:tabs>
          <w:tab w:pos="1176" w:val="left"/>
          <w:tab w:leader="dot" w:pos="9109" w:val="right"/>
          <w:tab w:pos="9289" w:val="right"/>
        </w:tabs>
        <w:bidi w:val="0"/>
        <w:spacing w:before="0" w:after="40" w:line="240" w:lineRule="auto"/>
        <w:ind w:left="0" w:right="0" w:firstLine="860"/>
        <w:jc w:val="both"/>
      </w:pPr>
      <w:r>
        <w:rPr>
          <w:rStyle w:val="CharStyle16"/>
        </w:rPr>
        <w:t>Školitel pro systém SBI</w:t>
        <w:tab/>
      </w:r>
      <w:r>
        <w:rPr>
          <w:rStyle w:val="CharStyle16"/>
          <w:b/>
          <w:bCs/>
        </w:rPr>
        <w:t>1000,-</w:t>
        <w:tab/>
      </w:r>
      <w:r>
        <w:rPr>
          <w:rStyle w:val="CharStyle16"/>
        </w:rPr>
        <w:t>Kč/člověkohodina</w:t>
      </w:r>
    </w:p>
    <w:p>
      <w:pPr>
        <w:pStyle w:val="Style15"/>
        <w:keepNext w:val="0"/>
        <w:keepLines w:val="0"/>
        <w:widowControl w:val="0"/>
        <w:numPr>
          <w:ilvl w:val="0"/>
          <w:numId w:val="21"/>
        </w:numPr>
        <w:shd w:val="clear" w:color="auto" w:fill="auto"/>
        <w:tabs>
          <w:tab w:pos="1176" w:val="left"/>
          <w:tab w:leader="dot" w:pos="9109" w:val="right"/>
          <w:tab w:pos="9284" w:val="right"/>
        </w:tabs>
        <w:bidi w:val="0"/>
        <w:spacing w:before="0" w:after="40" w:line="240" w:lineRule="auto"/>
        <w:ind w:left="0" w:right="0" w:firstLine="860"/>
        <w:jc w:val="both"/>
      </w:pPr>
      <w:r>
        <w:rPr>
          <w:rStyle w:val="CharStyle16"/>
        </w:rPr>
        <w:t>Implementátor systému SBI</w:t>
        <w:tab/>
      </w:r>
      <w:r>
        <w:rPr>
          <w:rStyle w:val="CharStyle16"/>
          <w:b/>
          <w:bCs/>
        </w:rPr>
        <w:t>1485,-</w:t>
        <w:tab/>
      </w:r>
      <w:r>
        <w:rPr>
          <w:rStyle w:val="CharStyle16"/>
        </w:rPr>
        <w:t>Kč/člověkohodina</w:t>
      </w:r>
    </w:p>
    <w:p>
      <w:pPr>
        <w:pStyle w:val="Style15"/>
        <w:keepNext w:val="0"/>
        <w:keepLines w:val="0"/>
        <w:widowControl w:val="0"/>
        <w:numPr>
          <w:ilvl w:val="0"/>
          <w:numId w:val="21"/>
        </w:numPr>
        <w:shd w:val="clear" w:color="auto" w:fill="auto"/>
        <w:tabs>
          <w:tab w:pos="1176" w:val="left"/>
          <w:tab w:leader="dot" w:pos="9109" w:val="right"/>
          <w:tab w:pos="9284" w:val="right"/>
        </w:tabs>
        <w:bidi w:val="0"/>
        <w:spacing w:before="0" w:after="40" w:line="240" w:lineRule="auto"/>
        <w:ind w:left="0" w:right="0" w:firstLine="860"/>
        <w:jc w:val="both"/>
      </w:pPr>
      <w:r>
        <w:rPr>
          <w:rStyle w:val="CharStyle16"/>
        </w:rPr>
        <w:t>Konzultace</w:t>
        <w:tab/>
      </w:r>
      <w:r>
        <w:rPr>
          <w:rStyle w:val="CharStyle16"/>
          <w:b/>
          <w:bCs/>
        </w:rPr>
        <w:t>980,-</w:t>
        <w:tab/>
      </w:r>
      <w:r>
        <w:rPr>
          <w:rStyle w:val="CharStyle16"/>
        </w:rPr>
        <w:t>Kč/člověkohodina</w:t>
      </w:r>
    </w:p>
    <w:p>
      <w:pPr>
        <w:pStyle w:val="Style15"/>
        <w:keepNext w:val="0"/>
        <w:keepLines w:val="0"/>
        <w:widowControl w:val="0"/>
        <w:numPr>
          <w:ilvl w:val="0"/>
          <w:numId w:val="21"/>
        </w:numPr>
        <w:shd w:val="clear" w:color="auto" w:fill="auto"/>
        <w:tabs>
          <w:tab w:pos="1176" w:val="left"/>
          <w:tab w:leader="dot" w:pos="9109" w:val="right"/>
          <w:tab w:pos="9284" w:val="right"/>
        </w:tabs>
        <w:bidi w:val="0"/>
        <w:spacing w:before="0" w:after="40" w:line="240" w:lineRule="auto"/>
        <w:ind w:left="0" w:right="0" w:firstLine="860"/>
        <w:jc w:val="both"/>
      </w:pPr>
      <w:r>
        <w:rPr>
          <w:rStyle w:val="CharStyle16"/>
        </w:rPr>
        <w:t>Hot line</w:t>
        <w:tab/>
      </w:r>
      <w:r>
        <w:rPr>
          <w:rStyle w:val="CharStyle16"/>
          <w:b/>
          <w:bCs/>
        </w:rPr>
        <w:t>980,-</w:t>
        <w:tab/>
      </w:r>
      <w:r>
        <w:rPr>
          <w:rStyle w:val="CharStyle16"/>
        </w:rPr>
        <w:t>Kč/člověkohodina</w:t>
      </w:r>
    </w:p>
    <w:p>
      <w:pPr>
        <w:pStyle w:val="Style15"/>
        <w:keepNext w:val="0"/>
        <w:keepLines w:val="0"/>
        <w:widowControl w:val="0"/>
        <w:numPr>
          <w:ilvl w:val="0"/>
          <w:numId w:val="21"/>
        </w:numPr>
        <w:shd w:val="clear" w:color="auto" w:fill="auto"/>
        <w:tabs>
          <w:tab w:pos="1176" w:val="left"/>
          <w:tab w:leader="dot" w:pos="7689" w:val="left"/>
        </w:tabs>
        <w:bidi w:val="0"/>
        <w:spacing w:before="0" w:after="40" w:line="240" w:lineRule="auto"/>
        <w:ind w:left="0" w:right="0" w:firstLine="860"/>
        <w:jc w:val="both"/>
      </w:pPr>
      <w:r>
        <w:rPr>
          <w:rStyle w:val="CharStyle16"/>
        </w:rPr>
        <w:t>Hodina práce nad rámec pracovní doby</w:t>
        <w:tab/>
      </w:r>
      <w:r>
        <w:rPr>
          <w:rStyle w:val="CharStyle16"/>
          <w:b/>
          <w:bCs/>
        </w:rPr>
        <w:t xml:space="preserve">25 % </w:t>
      </w:r>
      <w:r>
        <w:rPr>
          <w:rStyle w:val="CharStyle16"/>
        </w:rPr>
        <w:t>přirážka</w:t>
      </w:r>
    </w:p>
    <w:p>
      <w:pPr>
        <w:pStyle w:val="Style15"/>
        <w:keepNext w:val="0"/>
        <w:keepLines w:val="0"/>
        <w:widowControl w:val="0"/>
        <w:numPr>
          <w:ilvl w:val="0"/>
          <w:numId w:val="21"/>
        </w:numPr>
        <w:shd w:val="clear" w:color="auto" w:fill="auto"/>
        <w:tabs>
          <w:tab w:pos="1176" w:val="left"/>
          <w:tab w:leader="dot" w:pos="7689" w:val="left"/>
        </w:tabs>
        <w:bidi w:val="0"/>
        <w:spacing w:before="0" w:after="40" w:line="240" w:lineRule="auto"/>
        <w:ind w:left="0" w:right="0" w:firstLine="860"/>
        <w:jc w:val="both"/>
      </w:pPr>
      <w:r>
        <w:rPr>
          <w:rStyle w:val="CharStyle16"/>
        </w:rPr>
        <w:t>Hodina práce prováděná v sobotu, neděli a o svátcích</w:t>
        <w:tab/>
      </w:r>
      <w:r>
        <w:rPr>
          <w:rStyle w:val="CharStyle16"/>
          <w:b/>
          <w:bCs/>
        </w:rPr>
        <w:t xml:space="preserve">100 % </w:t>
      </w:r>
      <w:r>
        <w:rPr>
          <w:rStyle w:val="CharStyle16"/>
        </w:rPr>
        <w:t>přirážka</w:t>
      </w:r>
    </w:p>
    <w:p>
      <w:pPr>
        <w:pStyle w:val="Style15"/>
        <w:keepNext w:val="0"/>
        <w:keepLines w:val="0"/>
        <w:widowControl w:val="0"/>
        <w:numPr>
          <w:ilvl w:val="0"/>
          <w:numId w:val="21"/>
        </w:numPr>
        <w:shd w:val="clear" w:color="auto" w:fill="auto"/>
        <w:tabs>
          <w:tab w:pos="1176" w:val="left"/>
          <w:tab w:leader="dot" w:pos="7689" w:val="left"/>
        </w:tabs>
        <w:bidi w:val="0"/>
        <w:spacing w:before="0" w:after="40" w:line="240" w:lineRule="auto"/>
        <w:ind w:left="0" w:right="0" w:firstLine="860"/>
        <w:jc w:val="left"/>
      </w:pPr>
      <w:r>
        <w:rPr>
          <w:rStyle w:val="CharStyle16"/>
        </w:rPr>
        <w:t>Náklady spojené s přepravou (cena za 1 km)</w:t>
        <w:tab/>
      </w:r>
      <w:r>
        <w:rPr>
          <w:rStyle w:val="CharStyle16"/>
          <w:b/>
          <w:bCs/>
        </w:rPr>
        <w:t xml:space="preserve">14,- </w:t>
      </w:r>
      <w:r>
        <w:rPr>
          <w:rStyle w:val="CharStyle16"/>
        </w:rPr>
        <w:t>Kč/km</w:t>
      </w:r>
    </w:p>
    <w:p>
      <w:pPr>
        <w:pStyle w:val="Style15"/>
        <w:keepNext w:val="0"/>
        <w:keepLines w:val="0"/>
        <w:widowControl w:val="0"/>
        <w:numPr>
          <w:ilvl w:val="0"/>
          <w:numId w:val="19"/>
        </w:numPr>
        <w:shd w:val="clear" w:color="auto" w:fill="auto"/>
        <w:tabs>
          <w:tab w:pos="385" w:val="left"/>
        </w:tabs>
        <w:bidi w:val="0"/>
        <w:spacing w:before="0" w:line="240" w:lineRule="auto"/>
        <w:ind w:left="460" w:right="0" w:hanging="460"/>
        <w:jc w:val="both"/>
      </w:pPr>
      <w:r>
        <w:rPr>
          <w:rStyle w:val="CharStyle16"/>
        </w:rPr>
        <w:t>Službu Hot line se Dodavatel zavazuje poskytovat Objednateli i v mimopracovní dobu, kde bude účtovaná přirážka ve výši 50% za práci v mimopracovní čas.</w:t>
      </w:r>
    </w:p>
    <w:p>
      <w:pPr>
        <w:pStyle w:val="Style15"/>
        <w:keepNext w:val="0"/>
        <w:keepLines w:val="0"/>
        <w:widowControl w:val="0"/>
        <w:numPr>
          <w:ilvl w:val="0"/>
          <w:numId w:val="19"/>
        </w:numPr>
        <w:shd w:val="clear" w:color="auto" w:fill="auto"/>
        <w:tabs>
          <w:tab w:pos="385" w:val="left"/>
        </w:tabs>
        <w:bidi w:val="0"/>
        <w:spacing w:before="0" w:line="240" w:lineRule="auto"/>
        <w:ind w:left="460" w:right="0" w:hanging="460"/>
        <w:jc w:val="both"/>
      </w:pPr>
      <w:r>
        <w:rPr>
          <w:rStyle w:val="CharStyle16"/>
        </w:rPr>
        <w:t>Službu Hot line se Dodavatel zavazuje poskytovat Objednateli i v dnech pracovního volna a pracovního pokoje, kde bude účtovaná přirážka ve výši 100% za práci v dnech pracovního volna a pracovního pokoje.</w:t>
      </w:r>
    </w:p>
    <w:p>
      <w:pPr>
        <w:pStyle w:val="Style15"/>
        <w:keepNext w:val="0"/>
        <w:keepLines w:val="0"/>
        <w:widowControl w:val="0"/>
        <w:numPr>
          <w:ilvl w:val="0"/>
          <w:numId w:val="19"/>
        </w:numPr>
        <w:shd w:val="clear" w:color="auto" w:fill="auto"/>
        <w:tabs>
          <w:tab w:pos="385" w:val="left"/>
        </w:tabs>
        <w:bidi w:val="0"/>
        <w:spacing w:before="0" w:after="80" w:line="240" w:lineRule="auto"/>
        <w:ind w:left="460" w:right="0" w:hanging="460"/>
        <w:jc w:val="both"/>
      </w:pPr>
      <w:r>
        <w:rPr>
          <w:rStyle w:val="CharStyle16"/>
        </w:rPr>
        <w:t>Úhrady za konzultace poskytnuté prostřednictvím Hot-line jsou do rozsahu 6 hod. měsíčně součástí základního servisu dle odst. 1 a nad 4 hod. jsou hrazeny sazbou dle odst. 2 článku VI. této Smlouvy. Poskytnuté konzultace je povinen Poskytovatel evidovat v systému CGC Helios a umožnit Objednateli přístup k této evidenci.</w:t>
      </w:r>
    </w:p>
    <w:p>
      <w:pPr>
        <w:pStyle w:val="Style15"/>
        <w:keepNext w:val="0"/>
        <w:keepLines w:val="0"/>
        <w:widowControl w:val="0"/>
        <w:numPr>
          <w:ilvl w:val="0"/>
          <w:numId w:val="19"/>
        </w:numPr>
        <w:shd w:val="clear" w:color="auto" w:fill="auto"/>
        <w:tabs>
          <w:tab w:pos="364" w:val="left"/>
        </w:tabs>
        <w:bidi w:val="0"/>
        <w:spacing w:before="0" w:line="240" w:lineRule="auto"/>
        <w:ind w:left="420" w:right="0" w:hanging="420"/>
        <w:jc w:val="both"/>
      </w:pPr>
      <w:r>
        <w:rPr>
          <w:rStyle w:val="CharStyle16"/>
        </w:rPr>
        <w:t>Cena za služby uvedené v odstavcích 1 až 5 bude fakturována Poskytovatelem v měsíčních splátkách, po akceptaci protokolu (kontaktní osobou Objednatele) o provedení podpory v příslušném měsíci formou daňového dokladu, jehož přílohou bude vždy kontaktní osobou Objednatele podepsaný výše uvedený protokol. První daňový doklad v této souvislosti Zhotovitel vystaví k dalšímu měsíci po podpisu této smlouvy, a to případně i za období předcházející uzavření smlouvy. Za uskutečnění zdanitelného plnění bude považován poslední den příslušného měsíce. Nesplnění podmínky o přiložení protokoluje důvodem pro vrácení daňového dokladu.</w:t>
      </w:r>
    </w:p>
    <w:p>
      <w:pPr>
        <w:pStyle w:val="Style15"/>
        <w:keepNext w:val="0"/>
        <w:keepLines w:val="0"/>
        <w:widowControl w:val="0"/>
        <w:numPr>
          <w:ilvl w:val="0"/>
          <w:numId w:val="19"/>
        </w:numPr>
        <w:shd w:val="clear" w:color="auto" w:fill="auto"/>
        <w:tabs>
          <w:tab w:pos="364" w:val="left"/>
        </w:tabs>
        <w:bidi w:val="0"/>
        <w:spacing w:before="0" w:line="240" w:lineRule="auto"/>
        <w:ind w:left="0" w:right="0" w:firstLine="0"/>
        <w:jc w:val="both"/>
      </w:pPr>
      <w:r>
        <w:rPr>
          <w:rStyle w:val="CharStyle16"/>
        </w:rPr>
        <w:t>Faktury budou obsahovat:</w:t>
      </w:r>
    </w:p>
    <w:p>
      <w:pPr>
        <w:pStyle w:val="Style15"/>
        <w:keepNext w:val="0"/>
        <w:keepLines w:val="0"/>
        <w:widowControl w:val="0"/>
        <w:numPr>
          <w:ilvl w:val="0"/>
          <w:numId w:val="23"/>
        </w:numPr>
        <w:shd w:val="clear" w:color="auto" w:fill="auto"/>
        <w:tabs>
          <w:tab w:pos="1161" w:val="left"/>
        </w:tabs>
        <w:bidi w:val="0"/>
        <w:spacing w:before="0" w:after="40" w:line="252" w:lineRule="auto"/>
        <w:ind w:left="1180" w:right="0" w:hanging="360"/>
        <w:jc w:val="both"/>
      </w:pPr>
      <w:r>
        <w:rPr>
          <w:rStyle w:val="CharStyle16"/>
        </w:rPr>
        <w:t xml:space="preserve">paušální cenu </w:t>
      </w:r>
      <w:r>
        <w:rPr>
          <w:rStyle w:val="CharStyle16"/>
          <w:b/>
          <w:bCs/>
        </w:rPr>
        <w:t xml:space="preserve">69883 </w:t>
      </w:r>
      <w:r>
        <w:rPr>
          <w:rStyle w:val="CharStyle16"/>
        </w:rPr>
        <w:t>- Kč za služby podpory dle čl. IV. odst. 1. písm. a) až g) pro měsíce leden až prosinec</w:t>
      </w:r>
    </w:p>
    <w:p>
      <w:pPr>
        <w:pStyle w:val="Style15"/>
        <w:keepNext w:val="0"/>
        <w:keepLines w:val="0"/>
        <w:widowControl w:val="0"/>
        <w:numPr>
          <w:ilvl w:val="0"/>
          <w:numId w:val="23"/>
        </w:numPr>
        <w:shd w:val="clear" w:color="auto" w:fill="auto"/>
        <w:tabs>
          <w:tab w:pos="1161" w:val="left"/>
        </w:tabs>
        <w:bidi w:val="0"/>
        <w:spacing w:before="0" w:after="40" w:line="240" w:lineRule="auto"/>
        <w:ind w:left="0" w:right="0" w:firstLine="820"/>
        <w:jc w:val="left"/>
      </w:pPr>
      <w:r>
        <w:rPr>
          <w:rStyle w:val="CharStyle16"/>
        </w:rPr>
        <w:t>cenu za realizované služby podpory v daném měsíci dle čl. IV. odst. 1. písm. h) až j);</w:t>
      </w:r>
    </w:p>
    <w:p>
      <w:pPr>
        <w:pStyle w:val="Style15"/>
        <w:keepNext w:val="0"/>
        <w:keepLines w:val="0"/>
        <w:widowControl w:val="0"/>
        <w:numPr>
          <w:ilvl w:val="0"/>
          <w:numId w:val="23"/>
        </w:numPr>
        <w:shd w:val="clear" w:color="auto" w:fill="auto"/>
        <w:tabs>
          <w:tab w:pos="1161" w:val="left"/>
        </w:tabs>
        <w:bidi w:val="0"/>
        <w:spacing w:before="0" w:after="40" w:line="240" w:lineRule="auto"/>
        <w:ind w:left="1180" w:right="0" w:hanging="360"/>
        <w:jc w:val="both"/>
      </w:pPr>
      <w:r>
        <w:rPr>
          <w:rStyle w:val="CharStyle16"/>
        </w:rPr>
        <w:t>vyúčtovaní ceny za služby podpory aplikace SBI v rozsahu nad 72 hodin roku dle čl. VI. Odst. 3 za období od 1. 1. do 31.12 daného roku;</w:t>
      </w:r>
    </w:p>
    <w:p>
      <w:pPr>
        <w:pStyle w:val="Style15"/>
        <w:keepNext w:val="0"/>
        <w:keepLines w:val="0"/>
        <w:widowControl w:val="0"/>
        <w:numPr>
          <w:ilvl w:val="0"/>
          <w:numId w:val="23"/>
        </w:numPr>
        <w:shd w:val="clear" w:color="auto" w:fill="auto"/>
        <w:tabs>
          <w:tab w:pos="1161" w:val="left"/>
        </w:tabs>
        <w:bidi w:val="0"/>
        <w:spacing w:before="0" w:after="300" w:line="240" w:lineRule="auto"/>
        <w:ind w:left="0" w:right="0" w:firstLine="820"/>
        <w:jc w:val="left"/>
      </w:pPr>
      <w:r>
        <w:rPr>
          <w:rStyle w:val="CharStyle16"/>
        </w:rPr>
        <w:t xml:space="preserve">číslo veřejné zakázky, ke které se faktura vztahuje, a to: </w:t>
      </w:r>
      <w:r>
        <w:rPr>
          <w:rStyle w:val="CharStyle16"/>
          <w:b/>
          <w:bCs/>
        </w:rPr>
        <w:t>P24V00000006.</w:t>
      </w:r>
    </w:p>
    <w:p>
      <w:pPr>
        <w:pStyle w:val="Style15"/>
        <w:keepNext w:val="0"/>
        <w:keepLines w:val="0"/>
        <w:widowControl w:val="0"/>
        <w:numPr>
          <w:ilvl w:val="0"/>
          <w:numId w:val="19"/>
        </w:numPr>
        <w:shd w:val="clear" w:color="auto" w:fill="auto"/>
        <w:tabs>
          <w:tab w:pos="364" w:val="left"/>
        </w:tabs>
        <w:bidi w:val="0"/>
        <w:spacing w:before="0" w:line="240" w:lineRule="auto"/>
        <w:ind w:left="420" w:right="0" w:hanging="420"/>
        <w:jc w:val="both"/>
      </w:pPr>
      <w:r>
        <w:rPr>
          <w:rStyle w:val="CharStyle16"/>
        </w:rPr>
        <w:t>Jednotlivé položky musí být ve faktuře uvedeny odděleně. Daňový doklad je splatný do 30 dnů ode dne doručení Objednateli. Určujícím okamžikem je den jeho prokazatelného přijetí Objednatelem. Dny splatnosti se rozumí kalendářní dny. První den lhůty je den následující po dni doručení daňového dokladu. Pokud připadne poslední den splatnosti na sobotu, neděli nebo svátek, je dnem splatnosti nejbližší následující pracovní den. Dnem zaplacení ceny je datum odepsání ceny z účtu Objednatele ve prospěch účtu Poskytovatele, jehož číslo je uvedeno v záhlaví této smlouvy.</w:t>
      </w:r>
    </w:p>
    <w:p>
      <w:pPr>
        <w:pStyle w:val="Style15"/>
        <w:keepNext w:val="0"/>
        <w:keepLines w:val="0"/>
        <w:widowControl w:val="0"/>
        <w:numPr>
          <w:ilvl w:val="0"/>
          <w:numId w:val="19"/>
        </w:numPr>
        <w:shd w:val="clear" w:color="auto" w:fill="auto"/>
        <w:tabs>
          <w:tab w:pos="364" w:val="left"/>
        </w:tabs>
        <w:bidi w:val="0"/>
        <w:spacing w:before="0" w:line="240" w:lineRule="auto"/>
        <w:ind w:left="420" w:right="0" w:hanging="420"/>
        <w:jc w:val="both"/>
      </w:pPr>
      <w:r>
        <w:rPr>
          <w:rStyle w:val="CharStyle16"/>
        </w:rPr>
        <w:t>Nebude-li daňový doklad obsahovat stanovené náležitosti nebo v něm nebudou správně uvedené údaje, je Objednatel oprávněn vrátit jej ve lhůtě pěti (5) dnů od jeho obdržení Poskytovateli s uvedením chybějících náležitostí nebo nesprávných údajů. Důvodem vrácení daňového dokladuje také skutečnost, že k daňovému dokladu nebyl v příloze přiložen předvídaný dokument dle článku VI., odst. 4. této smlouvy. V takovém případě se přeruší běh lhůty splatnosti daňového dokladu a nová lhůta splatnosti počne běžet doručením doplněného či opraveného daňového dokladu.</w:t>
      </w:r>
    </w:p>
    <w:p>
      <w:pPr>
        <w:pStyle w:val="Style15"/>
        <w:keepNext w:val="0"/>
        <w:keepLines w:val="0"/>
        <w:widowControl w:val="0"/>
        <w:numPr>
          <w:ilvl w:val="0"/>
          <w:numId w:val="19"/>
        </w:numPr>
        <w:shd w:val="clear" w:color="auto" w:fill="auto"/>
        <w:tabs>
          <w:tab w:pos="380" w:val="left"/>
        </w:tabs>
        <w:bidi w:val="0"/>
        <w:spacing w:before="0" w:line="240" w:lineRule="auto"/>
        <w:ind w:left="420" w:right="0" w:hanging="420"/>
        <w:jc w:val="both"/>
      </w:pPr>
      <w:r>
        <w:rPr>
          <w:rStyle w:val="CharStyle16"/>
        </w:rPr>
        <w:t>Všechny daňové doklady musí obsahovat náležitosti daňových dokladů stanovené právními předpisy ke dni vystavení daňového dokladu (ke dni podpisu této smlouvy se jedná o zákon č. 235/2004 Sb., ve znění pozdějších předpisů, registrační číslo smlouvy Objednatele a číslo nákupního dokladu, které je uvedeno na objednávce, razítko a podpis oprávněné osoby za Poskytovatele.</w:t>
      </w:r>
    </w:p>
    <w:p>
      <w:pPr>
        <w:pStyle w:val="Style15"/>
        <w:keepNext w:val="0"/>
        <w:keepLines w:val="0"/>
        <w:widowControl w:val="0"/>
        <w:numPr>
          <w:ilvl w:val="0"/>
          <w:numId w:val="19"/>
        </w:numPr>
        <w:shd w:val="clear" w:color="auto" w:fill="auto"/>
        <w:tabs>
          <w:tab w:pos="375" w:val="left"/>
        </w:tabs>
        <w:bidi w:val="0"/>
        <w:spacing w:before="0" w:line="240" w:lineRule="auto"/>
        <w:ind w:left="420" w:right="0" w:hanging="420"/>
        <w:jc w:val="both"/>
      </w:pPr>
      <w:r>
        <w:rPr>
          <w:rStyle w:val="CharStyle16"/>
        </w:rPr>
        <w:t>Daňový doklad/faktura musí být vyhotoven výhradně ve formátu A4, na standardním kance lářském papíru gramáže 80g/m2, s jednostranným tiskem textu v černé barvě a doručen v jednom originálu.</w:t>
      </w:r>
    </w:p>
    <w:p>
      <w:pPr>
        <w:pStyle w:val="Style15"/>
        <w:keepNext w:val="0"/>
        <w:keepLines w:val="0"/>
        <w:widowControl w:val="0"/>
        <w:numPr>
          <w:ilvl w:val="0"/>
          <w:numId w:val="19"/>
        </w:numPr>
        <w:shd w:val="clear" w:color="auto" w:fill="auto"/>
        <w:tabs>
          <w:tab w:pos="380" w:val="left"/>
        </w:tabs>
        <w:bidi w:val="0"/>
        <w:spacing w:before="0" w:after="600" w:line="240" w:lineRule="auto"/>
        <w:ind w:left="420" w:right="0" w:hanging="420"/>
        <w:jc w:val="both"/>
      </w:pPr>
      <w:r>
        <w:rPr>
          <w:rStyle w:val="CharStyle16"/>
        </w:rPr>
        <w:t>V případě prodlení Objednatele s úhradou faktur dle této smlouvy je Objednatel povinen platit Poskytovateli úrok z prodlení ve výšce 0.5% z dlužné částky za každý den prodlení.</w:t>
      </w:r>
    </w:p>
    <w:p>
      <w:pPr>
        <w:pStyle w:val="Style27"/>
        <w:keepNext/>
        <w:keepLines/>
        <w:widowControl w:val="0"/>
        <w:shd w:val="clear" w:color="auto" w:fill="auto"/>
        <w:bidi w:val="0"/>
        <w:spacing w:before="0" w:after="0" w:line="240" w:lineRule="auto"/>
        <w:ind w:left="0" w:right="0" w:firstLine="0"/>
        <w:jc w:val="center"/>
      </w:pPr>
      <w:bookmarkStart w:id="15" w:name="bookmark15"/>
      <w:r>
        <w:rPr>
          <w:rStyle w:val="CharStyle28"/>
        </w:rPr>
        <w:t>vn.</w:t>
      </w:r>
      <w:bookmarkEnd w:id="15"/>
    </w:p>
    <w:p>
      <w:pPr>
        <w:pStyle w:val="Style15"/>
        <w:keepNext w:val="0"/>
        <w:keepLines w:val="0"/>
        <w:widowControl w:val="0"/>
        <w:shd w:val="clear" w:color="auto" w:fill="auto"/>
        <w:bidi w:val="0"/>
        <w:spacing w:before="0" w:line="240" w:lineRule="auto"/>
        <w:ind w:left="0" w:right="0" w:firstLine="0"/>
        <w:jc w:val="center"/>
      </w:pPr>
      <w:r>
        <w:rPr>
          <w:rStyle w:val="CharStyle16"/>
          <w:b/>
          <w:bCs/>
        </w:rPr>
        <w:t>Další práva a povinnosti smluvních stran</w:t>
      </w:r>
    </w:p>
    <w:p>
      <w:pPr>
        <w:pStyle w:val="Style15"/>
        <w:keepNext w:val="0"/>
        <w:keepLines w:val="0"/>
        <w:widowControl w:val="0"/>
        <w:numPr>
          <w:ilvl w:val="0"/>
          <w:numId w:val="25"/>
        </w:numPr>
        <w:shd w:val="clear" w:color="auto" w:fill="auto"/>
        <w:tabs>
          <w:tab w:pos="364" w:val="left"/>
        </w:tabs>
        <w:bidi w:val="0"/>
        <w:spacing w:before="0" w:line="240" w:lineRule="auto"/>
        <w:ind w:left="420" w:right="0" w:hanging="420"/>
        <w:jc w:val="both"/>
      </w:pPr>
      <w:r>
        <w:rPr>
          <w:rStyle w:val="CharStyle16"/>
        </w:rPr>
        <w:t>Objednatel se zavazuje poskytnout Poskytovateli po předchozí dohodě na svůj náklad nezbytnou součinnost při plnění této smlouvy, a to v nezbytném rozsahu a v přiměřené míře.</w:t>
      </w:r>
    </w:p>
    <w:p>
      <w:pPr>
        <w:pStyle w:val="Style15"/>
        <w:keepNext w:val="0"/>
        <w:keepLines w:val="0"/>
        <w:widowControl w:val="0"/>
        <w:numPr>
          <w:ilvl w:val="0"/>
          <w:numId w:val="25"/>
        </w:numPr>
        <w:shd w:val="clear" w:color="auto" w:fill="auto"/>
        <w:tabs>
          <w:tab w:pos="364" w:val="left"/>
        </w:tabs>
        <w:bidi w:val="0"/>
        <w:spacing w:before="0" w:line="240" w:lineRule="auto"/>
        <w:ind w:left="420" w:right="0" w:hanging="420"/>
        <w:jc w:val="both"/>
      </w:pPr>
      <w:r>
        <w:rPr>
          <w:rStyle w:val="CharStyle16"/>
        </w:rPr>
        <w:t>Za účelem provádění služeb podpory je Poskytovatel oprávněn užívat vyhrazené prostředky Objednatele, na nichž se smluvní strany dohodnou, nebo které jsou pro zabezpečení servisního zásahu nezbytné. Poskytovatel je však povinen zajistit bezpečnost dat a údajů při provádění zásahu.</w:t>
      </w:r>
    </w:p>
    <w:p>
      <w:pPr>
        <w:pStyle w:val="Style15"/>
        <w:keepNext w:val="0"/>
        <w:keepLines w:val="0"/>
        <w:widowControl w:val="0"/>
        <w:numPr>
          <w:ilvl w:val="0"/>
          <w:numId w:val="25"/>
        </w:numPr>
        <w:shd w:val="clear" w:color="auto" w:fill="auto"/>
        <w:tabs>
          <w:tab w:pos="364" w:val="left"/>
        </w:tabs>
        <w:bidi w:val="0"/>
        <w:spacing w:before="0" w:line="240" w:lineRule="auto"/>
        <w:ind w:left="0" w:right="0" w:firstLine="0"/>
        <w:jc w:val="both"/>
      </w:pPr>
      <w:r>
        <w:rPr>
          <w:rStyle w:val="CharStyle16"/>
        </w:rPr>
        <w:t>Objednatel zajistí pro Poskytovatele dálkový přístup k provádění služeb podpory.</w:t>
      </w:r>
    </w:p>
    <w:p>
      <w:pPr>
        <w:pStyle w:val="Style15"/>
        <w:keepNext w:val="0"/>
        <w:keepLines w:val="0"/>
        <w:widowControl w:val="0"/>
        <w:numPr>
          <w:ilvl w:val="0"/>
          <w:numId w:val="25"/>
        </w:numPr>
        <w:shd w:val="clear" w:color="auto" w:fill="auto"/>
        <w:tabs>
          <w:tab w:pos="341" w:val="left"/>
        </w:tabs>
        <w:bidi w:val="0"/>
        <w:spacing w:before="0" w:after="120" w:line="240" w:lineRule="auto"/>
        <w:ind w:left="0" w:right="0" w:firstLine="0"/>
        <w:jc w:val="left"/>
      </w:pPr>
      <w:r>
        <w:rPr>
          <w:rStyle w:val="CharStyle16"/>
        </w:rPr>
        <w:t>Poskytovatel se zejména zavazuje:</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při poskytování plnění dle této smlouvy postupovat s odbornou péčí, tak aby bylo dosaženo účelu této smlouvy,</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zajistit pro plnění této smlouvy dostatečný počet pracovníků tak, aby předmět smlouvy byl naplněn v odpovídající kvalitě a ve stanovených termínech,</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při poskytování služeb podpory brát zřetel na provozní potřeby Objednatele, postupovat podle nařízení a předpisů Objednatele týkajících se zejména jeho podnikání, chování, bezpečnosti,</w:t>
      </w:r>
    </w:p>
    <w:p>
      <w:pPr>
        <w:pStyle w:val="Style15"/>
        <w:keepNext w:val="0"/>
        <w:keepLines w:val="0"/>
        <w:widowControl w:val="0"/>
        <w:numPr>
          <w:ilvl w:val="0"/>
          <w:numId w:val="27"/>
        </w:numPr>
        <w:shd w:val="clear" w:color="auto" w:fill="auto"/>
        <w:tabs>
          <w:tab w:pos="1191" w:val="left"/>
        </w:tabs>
        <w:bidi w:val="0"/>
        <w:spacing w:before="0" w:after="40" w:line="240" w:lineRule="auto"/>
        <w:ind w:left="0" w:right="0" w:firstLine="860"/>
        <w:jc w:val="left"/>
      </w:pPr>
      <w:r>
        <w:rPr>
          <w:rStyle w:val="CharStyle16"/>
        </w:rPr>
        <w:t>při poskytování služeb podpory postupovat podle pravidel obvyklých pro zpracování dat,</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během poskytování plnění dle této smlouvy umožnit Objednateli potřebnou kontrolu prováděných činností a jejich výstupů, pokud tato kontrola je možná,</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informovat bezodkladně Objednatele o jakýchkoliv zjištěných překážkách plnění, byť za ně nebude odpovídat a o uplatněných nárocích třetích osob, které by mohly plnění této smlouvy ovlivnit,</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i bez pokynů Objednatele provádět nutné úkony, které ač nejsou předmětem této smlouvy, budou s ohledem na nepředvídatelné okolnosti pro splnění smlouvy nezbytné nebo jsou nezbytné pro zamezení vzniku škody; v takovém případě má Zhotovitel právo na náhradu nezbytných a účelně vynaložených nákladů podle zásad stanovených v této smlouvě,</w:t>
      </w:r>
    </w:p>
    <w:p>
      <w:pPr>
        <w:pStyle w:val="Style15"/>
        <w:keepNext w:val="0"/>
        <w:keepLines w:val="0"/>
        <w:widowControl w:val="0"/>
        <w:numPr>
          <w:ilvl w:val="0"/>
          <w:numId w:val="27"/>
        </w:numPr>
        <w:shd w:val="clear" w:color="auto" w:fill="auto"/>
        <w:tabs>
          <w:tab w:pos="1191" w:val="left"/>
        </w:tabs>
        <w:bidi w:val="0"/>
        <w:spacing w:before="0" w:after="40" w:line="240" w:lineRule="auto"/>
        <w:ind w:left="1200" w:right="0" w:hanging="340"/>
        <w:jc w:val="both"/>
      </w:pPr>
      <w:r>
        <w:rPr>
          <w:rStyle w:val="CharStyle16"/>
        </w:rPr>
        <w:t>dodržovat při plnění této smlouvy obecně závazné právní předpisy k zajištění bezpečnosti a ochrany zdraví při práci, požární předpisy a ostatní předpisy platné pro pracoviště, kde bude provádět činnosti na základě této smlouvy.</w:t>
      </w:r>
    </w:p>
    <w:p>
      <w:pPr>
        <w:pStyle w:val="Style15"/>
        <w:keepNext w:val="0"/>
        <w:keepLines w:val="0"/>
        <w:widowControl w:val="0"/>
        <w:numPr>
          <w:ilvl w:val="0"/>
          <w:numId w:val="25"/>
        </w:numPr>
        <w:shd w:val="clear" w:color="auto" w:fill="auto"/>
        <w:tabs>
          <w:tab w:pos="341" w:val="left"/>
        </w:tabs>
        <w:bidi w:val="0"/>
        <w:spacing w:before="0" w:after="120" w:line="240" w:lineRule="auto"/>
        <w:ind w:left="460" w:right="0" w:hanging="460"/>
        <w:jc w:val="both"/>
      </w:pPr>
      <w:r>
        <w:rPr>
          <w:rStyle w:val="CharStyle16"/>
        </w:rPr>
        <w:t>Za účelem provádění služeb podpory bude po předchozím povolení Objednatele umožněn vstup Poskytovateli do objektů Objednatele. Požadavek na vstup do určených objektů je Poskytovatel povinen oznámit Objednateli nejméně 1 den před vstupem telefonicky na číslech: +420 ■■■■ nebo e-mailem:^H^HHHB^H^^H Objednatel je povinen řádně oznámený vstup Poskytovateli zajistit a umožnit. Při vstupu do objektů Objednatele bude vždy servisnímu zásahu přítomen zaměstnanec Objednatele</w:t>
      </w:r>
    </w:p>
    <w:p>
      <w:pPr>
        <w:pStyle w:val="Style15"/>
        <w:keepNext w:val="0"/>
        <w:keepLines w:val="0"/>
        <w:widowControl w:val="0"/>
        <w:numPr>
          <w:ilvl w:val="0"/>
          <w:numId w:val="25"/>
        </w:numPr>
        <w:shd w:val="clear" w:color="auto" w:fill="auto"/>
        <w:tabs>
          <w:tab w:pos="341" w:val="left"/>
        </w:tabs>
        <w:bidi w:val="0"/>
        <w:spacing w:before="0" w:after="120" w:line="240" w:lineRule="auto"/>
        <w:ind w:left="460" w:right="0" w:hanging="460"/>
        <w:jc w:val="both"/>
      </w:pPr>
      <w:r>
        <w:rPr>
          <w:rStyle w:val="CharStyle16"/>
        </w:rPr>
        <w:t>Smluvní strany jsou povinny informovat se předem navzájem o veškerých skutečnostech důležitých pro plnění této smlouvy.</w:t>
      </w:r>
    </w:p>
    <w:p>
      <w:pPr>
        <w:pStyle w:val="Style15"/>
        <w:keepNext w:val="0"/>
        <w:keepLines w:val="0"/>
        <w:widowControl w:val="0"/>
        <w:numPr>
          <w:ilvl w:val="0"/>
          <w:numId w:val="25"/>
        </w:numPr>
        <w:shd w:val="clear" w:color="auto" w:fill="auto"/>
        <w:tabs>
          <w:tab w:pos="341" w:val="left"/>
        </w:tabs>
        <w:bidi w:val="0"/>
        <w:spacing w:before="0" w:after="680" w:line="240" w:lineRule="auto"/>
        <w:ind w:left="460" w:right="0" w:hanging="460"/>
        <w:jc w:val="both"/>
      </w:pPr>
      <w:r>
        <w:rPr>
          <w:rStyle w:val="CharStyle16"/>
        </w:rPr>
        <w:t>Poskytovatel tímto poskytuje Objednateli záruku za jakost svého plnění podle této smlouvy. V tomto smyslu se Poskytovatel zavazuje bezplatně odstraňovat reklamované vady tohoto plnění, a to celou dobu, po kterou to bude mít pro Objednatele nějaký praktický význam.</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17" w:name="bookmark17"/>
      <w:bookmarkEnd w:id="17"/>
    </w:p>
    <w:p>
      <w:pPr>
        <w:pStyle w:val="Style24"/>
        <w:keepNext/>
        <w:keepLines/>
        <w:widowControl w:val="0"/>
        <w:shd w:val="clear" w:color="auto" w:fill="auto"/>
        <w:bidi w:val="0"/>
        <w:spacing w:before="0" w:after="120" w:line="230" w:lineRule="auto"/>
        <w:ind w:left="0" w:right="0" w:firstLine="0"/>
        <w:jc w:val="center"/>
      </w:pPr>
      <w:bookmarkStart w:id="19" w:name="bookmark19"/>
      <w:r>
        <w:rPr>
          <w:rStyle w:val="CharStyle25"/>
          <w:b/>
          <w:bCs/>
        </w:rPr>
        <w:t>Kontaktní osoby</w:t>
      </w:r>
      <w:bookmarkEnd w:id="19"/>
    </w:p>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rFonts w:ascii="Times New Roman" w:eastAsia="Times New Roman" w:hAnsi="Times New Roman" w:cs="Times New Roman"/>
          <w:sz w:val="22"/>
          <w:szCs w:val="22"/>
        </w:rPr>
        <w:t>1. Kontaktní osoby - Objednatel:</w:t>
      </w:r>
    </w:p>
    <w:p>
      <w:pPr>
        <w:widowControl w:val="0"/>
        <w:jc w:val="left"/>
        <w:rPr>
          <w:sz w:val="2"/>
          <w:szCs w:val="2"/>
        </w:rPr>
      </w:pPr>
      <w:r>
        <w:drawing>
          <wp:inline>
            <wp:extent cx="4304030" cy="125603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pic:blipFill>
                  <pic:spPr>
                    <a:xfrm>
                      <a:ext cx="4304030" cy="1256030"/>
                    </a:xfrm>
                    <a:prstGeom prst="rect"/>
                  </pic:spPr>
                </pic:pic>
              </a:graphicData>
            </a:graphic>
          </wp:inline>
        </w:drawing>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21" w:name="bookmark21"/>
      <w:bookmarkEnd w:id="21"/>
    </w:p>
    <w:p>
      <w:pPr>
        <w:pStyle w:val="Style24"/>
        <w:keepNext/>
        <w:keepLines/>
        <w:widowControl w:val="0"/>
        <w:shd w:val="clear" w:color="auto" w:fill="auto"/>
        <w:bidi w:val="0"/>
        <w:spacing w:before="0" w:after="100" w:line="240" w:lineRule="auto"/>
        <w:ind w:left="0" w:right="0" w:firstLine="0"/>
        <w:jc w:val="center"/>
      </w:pPr>
      <w:bookmarkStart w:id="23" w:name="bookmark23"/>
      <w:r>
        <w:rPr>
          <w:rStyle w:val="CharStyle25"/>
          <w:b/>
          <w:bCs/>
        </w:rPr>
        <w:t>Povinnost mlčenlivosti</w:t>
      </w:r>
      <w:bookmarkEnd w:id="23"/>
    </w:p>
    <w:p>
      <w:pPr>
        <w:pStyle w:val="Style15"/>
        <w:keepNext w:val="0"/>
        <w:keepLines w:val="0"/>
        <w:widowControl w:val="0"/>
        <w:numPr>
          <w:ilvl w:val="0"/>
          <w:numId w:val="31"/>
        </w:numPr>
        <w:shd w:val="clear" w:color="auto" w:fill="auto"/>
        <w:tabs>
          <w:tab w:pos="527" w:val="left"/>
        </w:tabs>
        <w:bidi w:val="0"/>
        <w:spacing w:before="0" w:line="240" w:lineRule="auto"/>
        <w:ind w:left="520" w:right="0" w:hanging="360"/>
        <w:jc w:val="both"/>
      </w:pPr>
      <w:r>
        <w:rPr>
          <w:rStyle w:val="CharStyle16"/>
        </w:rPr>
        <w:t>Smluvní strany se zavazují zachovat naprostou mlčenlivost o veškerých údajích a informacích, které se vzájemně dozvěděly nebo dozví, a které jim budou zpřístupněny v souvislosti s plněním této smlouvy, přičemž tyto informace nebudou mít povahu běžně veřejně přístupných informací. Strany jsou si plně vědomy, že veškeré tyto skutečnosti jsou považovány za důvěrné informace nebo za předmět obchodního tajemství s veškerými právními důsledky s tím spojenými a plnou právní ochranou, kterou tyto údaje požívají. Obchodní tajemství, se kterým budou smluvní strany seznámeny, nejsou zejména oprávněny sdělit, zpřístupnit, využít pro sebe nebo pro jiný subjekt, ať již půjde o subjekt v konkurenčním postavení k druhému účastníku či jinou osobu, a to jak v průběhu trvání Smlouvy, tak i po dobu 5ti let po ukončení platnosti této smlouvy.</w:t>
      </w:r>
    </w:p>
    <w:p>
      <w:pPr>
        <w:pStyle w:val="Style15"/>
        <w:keepNext w:val="0"/>
        <w:keepLines w:val="0"/>
        <w:widowControl w:val="0"/>
        <w:numPr>
          <w:ilvl w:val="0"/>
          <w:numId w:val="31"/>
        </w:numPr>
        <w:shd w:val="clear" w:color="auto" w:fill="auto"/>
        <w:tabs>
          <w:tab w:pos="527" w:val="left"/>
        </w:tabs>
        <w:bidi w:val="0"/>
        <w:spacing w:before="0" w:line="240" w:lineRule="auto"/>
        <w:ind w:left="520" w:right="0" w:hanging="360"/>
        <w:jc w:val="both"/>
      </w:pPr>
      <w:r>
        <w:rPr>
          <w:rStyle w:val="CharStyle16"/>
        </w:rPr>
        <w:t>Smluvní strany jsou povinny zavázat k utajování informací všechny zaměstnance a osoby, které pověří úkoly v souvislosti s realizací činnosti dle této smlouvy a případně pozdější realizaci dodávek tak, aby i tito byli plnohodnotně zavázáni ve smyslu tohoto ustanovení. Pro případ porušení povinnosti mlčenlivosti těmito osobami přebírá příslušná smluvní strana plně odpovědnost za tyto osoby a případnou škodu způsobenou těmito osobami sám poškozené straně nahradí.</w:t>
      </w:r>
    </w:p>
    <w:p>
      <w:pPr>
        <w:pStyle w:val="Style15"/>
        <w:keepNext w:val="0"/>
        <w:keepLines w:val="0"/>
        <w:widowControl w:val="0"/>
        <w:numPr>
          <w:ilvl w:val="0"/>
          <w:numId w:val="31"/>
        </w:numPr>
        <w:shd w:val="clear" w:color="auto" w:fill="auto"/>
        <w:tabs>
          <w:tab w:pos="527" w:val="left"/>
        </w:tabs>
        <w:bidi w:val="0"/>
        <w:spacing w:before="0" w:line="240" w:lineRule="auto"/>
        <w:ind w:left="520" w:right="0" w:hanging="360"/>
        <w:jc w:val="both"/>
      </w:pPr>
      <w:r>
        <w:rPr>
          <w:rStyle w:val="CharStyle16"/>
        </w:rPr>
        <w:t>Poskytovatel je povinen zachovat mlčenlivost o technickém vybavení a osobních údajích osob činných u Objednatele bez ohledu na dobu trvání této smlouvy.</w:t>
      </w:r>
    </w:p>
    <w:p>
      <w:pPr>
        <w:pStyle w:val="Style15"/>
        <w:keepNext w:val="0"/>
        <w:keepLines w:val="0"/>
        <w:widowControl w:val="0"/>
        <w:numPr>
          <w:ilvl w:val="0"/>
          <w:numId w:val="31"/>
        </w:numPr>
        <w:shd w:val="clear" w:color="auto" w:fill="auto"/>
        <w:tabs>
          <w:tab w:pos="527" w:val="left"/>
        </w:tabs>
        <w:bidi w:val="0"/>
        <w:spacing w:before="0" w:line="240" w:lineRule="auto"/>
        <w:ind w:left="520" w:right="0" w:hanging="360"/>
        <w:jc w:val="both"/>
      </w:pPr>
      <w:r>
        <w:rPr>
          <w:rStyle w:val="CharStyle16"/>
        </w:rPr>
        <w:t>Povinnost mlčenlivosti založená touto smlouvou je podle dohody obou stran účinná i po dobu pěti let od ukončení platnosti této smlouvy.</w:t>
      </w:r>
    </w:p>
    <w:p>
      <w:pPr>
        <w:pStyle w:val="Style15"/>
        <w:keepNext w:val="0"/>
        <w:keepLines w:val="0"/>
        <w:widowControl w:val="0"/>
        <w:numPr>
          <w:ilvl w:val="0"/>
          <w:numId w:val="31"/>
        </w:numPr>
        <w:shd w:val="clear" w:color="auto" w:fill="auto"/>
        <w:tabs>
          <w:tab w:pos="527" w:val="left"/>
        </w:tabs>
        <w:bidi w:val="0"/>
        <w:spacing w:before="0" w:after="660" w:line="252" w:lineRule="auto"/>
        <w:ind w:left="520" w:right="0" w:hanging="360"/>
        <w:jc w:val="both"/>
      </w:pPr>
      <w:r>
        <w:rPr>
          <w:rStyle w:val="CharStyle16"/>
        </w:rPr>
        <w:t>Za porušení povinnosti mlčenlivosti se nepovažuje, je-li smluvní strana povinna příslušnou informaci sdělit na základě zákonem stanovené povinnosti.</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25" w:name="bookmark25"/>
      <w:bookmarkEnd w:id="25"/>
    </w:p>
    <w:p>
      <w:pPr>
        <w:pStyle w:val="Style24"/>
        <w:keepNext/>
        <w:keepLines/>
        <w:widowControl w:val="0"/>
        <w:shd w:val="clear" w:color="auto" w:fill="auto"/>
        <w:bidi w:val="0"/>
        <w:spacing w:before="0" w:after="100" w:line="240" w:lineRule="auto"/>
        <w:ind w:left="0" w:right="0" w:firstLine="0"/>
        <w:jc w:val="center"/>
      </w:pPr>
      <w:r>
        <w:rPr>
          <w:rStyle w:val="CharStyle25"/>
          <w:b/>
          <w:bCs/>
        </w:rPr>
        <w:t>Práva k nehmotným statkům</w:t>
      </w:r>
    </w:p>
    <w:p>
      <w:pPr>
        <w:pStyle w:val="Style15"/>
        <w:keepNext w:val="0"/>
        <w:keepLines w:val="0"/>
        <w:widowControl w:val="0"/>
        <w:numPr>
          <w:ilvl w:val="0"/>
          <w:numId w:val="33"/>
        </w:numPr>
        <w:shd w:val="clear" w:color="auto" w:fill="auto"/>
        <w:tabs>
          <w:tab w:pos="398" w:val="left"/>
        </w:tabs>
        <w:bidi w:val="0"/>
        <w:spacing w:before="0" w:line="240" w:lineRule="auto"/>
        <w:ind w:left="0" w:right="0" w:firstLine="140"/>
        <w:jc w:val="left"/>
      </w:pPr>
      <w:r>
        <w:rPr>
          <w:rStyle w:val="CharStyle16"/>
        </w:rPr>
        <w:t>Poskytovatel prohlašuje, že plněním závazků podle této smlouvy neporušuje práva třetích osob.</w:t>
      </w:r>
    </w:p>
    <w:p>
      <w:pPr>
        <w:pStyle w:val="Style15"/>
        <w:keepNext w:val="0"/>
        <w:keepLines w:val="0"/>
        <w:widowControl w:val="0"/>
        <w:numPr>
          <w:ilvl w:val="0"/>
          <w:numId w:val="33"/>
        </w:numPr>
        <w:shd w:val="clear" w:color="auto" w:fill="auto"/>
        <w:tabs>
          <w:tab w:pos="527" w:val="left"/>
        </w:tabs>
        <w:bidi w:val="0"/>
        <w:spacing w:before="0" w:after="1040" w:line="240" w:lineRule="auto"/>
        <w:ind w:left="520" w:right="0" w:hanging="360"/>
        <w:jc w:val="both"/>
      </w:pPr>
      <w:r>
        <w:rPr>
          <w:rStyle w:val="CharStyle16"/>
        </w:rPr>
        <w:t>V případě zániku, nebo rozdělení Poskytovatele na vícero právních subjektů, je možná převoditelnost licencí na jiný právní subjekt a to pouze na základě písemného souhlasu Poskytovatele</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28" w:name="bookmark28"/>
      <w:bookmarkEnd w:id="28"/>
    </w:p>
    <w:p>
      <w:pPr>
        <w:pStyle w:val="Style24"/>
        <w:keepNext/>
        <w:keepLines/>
        <w:widowControl w:val="0"/>
        <w:shd w:val="clear" w:color="auto" w:fill="auto"/>
        <w:bidi w:val="0"/>
        <w:spacing w:before="0" w:after="100" w:line="240" w:lineRule="auto"/>
        <w:ind w:left="0" w:right="0" w:firstLine="0"/>
        <w:jc w:val="center"/>
      </w:pPr>
      <w:bookmarkStart w:id="30" w:name="bookmark30"/>
      <w:r>
        <w:rPr>
          <w:rStyle w:val="CharStyle25"/>
          <w:b/>
          <w:bCs/>
        </w:rPr>
        <w:t>Doba trvání smlouvy a její ukončení</w:t>
      </w:r>
      <w:bookmarkEnd w:id="30"/>
    </w:p>
    <w:p>
      <w:pPr>
        <w:pStyle w:val="Style15"/>
        <w:keepNext w:val="0"/>
        <w:keepLines w:val="0"/>
        <w:widowControl w:val="0"/>
        <w:numPr>
          <w:ilvl w:val="0"/>
          <w:numId w:val="35"/>
        </w:numPr>
        <w:shd w:val="clear" w:color="auto" w:fill="auto"/>
        <w:tabs>
          <w:tab w:pos="527" w:val="left"/>
        </w:tabs>
        <w:bidi w:val="0"/>
        <w:spacing w:before="0" w:line="240" w:lineRule="auto"/>
        <w:ind w:left="520" w:right="0" w:hanging="360"/>
        <w:jc w:val="both"/>
      </w:pPr>
      <w:r>
        <w:rPr>
          <w:rStyle w:val="CharStyle16"/>
        </w:rPr>
        <w:t>Tato smlouva nabývá účinnosti po jejím podpisu oběma smluvními stranami dnem jejího uveřejnění v Registru smluv</w:t>
      </w:r>
    </w:p>
    <w:p>
      <w:pPr>
        <w:pStyle w:val="Style15"/>
        <w:keepNext w:val="0"/>
        <w:keepLines w:val="0"/>
        <w:widowControl w:val="0"/>
        <w:numPr>
          <w:ilvl w:val="0"/>
          <w:numId w:val="35"/>
        </w:numPr>
        <w:shd w:val="clear" w:color="auto" w:fill="auto"/>
        <w:tabs>
          <w:tab w:pos="427" w:val="left"/>
        </w:tabs>
        <w:bidi w:val="0"/>
        <w:spacing w:before="0" w:line="240" w:lineRule="auto"/>
        <w:ind w:left="0" w:right="0" w:firstLine="140"/>
        <w:jc w:val="left"/>
      </w:pPr>
      <w:r>
        <w:rPr>
          <w:rStyle w:val="CharStyle16"/>
        </w:rPr>
        <w:t>Tato smlouva se uzavírá na dobu určitou, a to na dobu 1 roku od účinnosti smlouvy.</w:t>
      </w:r>
    </w:p>
    <w:p>
      <w:pPr>
        <w:pStyle w:val="Style15"/>
        <w:keepNext w:val="0"/>
        <w:keepLines w:val="0"/>
        <w:widowControl w:val="0"/>
        <w:numPr>
          <w:ilvl w:val="0"/>
          <w:numId w:val="35"/>
        </w:numPr>
        <w:shd w:val="clear" w:color="auto" w:fill="auto"/>
        <w:tabs>
          <w:tab w:pos="527" w:val="left"/>
        </w:tabs>
        <w:bidi w:val="0"/>
        <w:spacing w:before="0" w:line="240" w:lineRule="auto"/>
        <w:ind w:left="520" w:right="0" w:hanging="360"/>
        <w:jc w:val="both"/>
      </w:pPr>
      <w:r>
        <w:rPr>
          <w:rStyle w:val="CharStyle16"/>
        </w:rPr>
        <w:t>Smlouva může být vypovězena s tříměsíční výpovědní lhůtou. Výpověď je možné podat bez udání důvodu nejdříve po uplynutí tří měsíců od nabytí účinnosti smlouvy.</w:t>
      </w:r>
    </w:p>
    <w:p>
      <w:pPr>
        <w:pStyle w:val="Style15"/>
        <w:keepNext w:val="0"/>
        <w:keepLines w:val="0"/>
        <w:widowControl w:val="0"/>
        <w:numPr>
          <w:ilvl w:val="0"/>
          <w:numId w:val="35"/>
        </w:numPr>
        <w:shd w:val="clear" w:color="auto" w:fill="auto"/>
        <w:tabs>
          <w:tab w:pos="527" w:val="left"/>
        </w:tabs>
        <w:bidi w:val="0"/>
        <w:spacing w:before="0" w:line="240" w:lineRule="auto"/>
        <w:ind w:left="520" w:right="0" w:hanging="360"/>
        <w:jc w:val="both"/>
      </w:pPr>
      <w:r>
        <w:rPr>
          <w:rStyle w:val="CharStyle16"/>
        </w:rPr>
        <w:t xml:space="preserve">Od této smlouvy lze odstoupit za podmínek stanovených zákonem a pro podstatné porušení smluvních povinností. Za podstatné porušení smluvních povinností Poskytovatelem se považuje </w:t>
      </w:r>
      <w:r>
        <w:rPr>
          <w:rStyle w:val="CharStyle16"/>
        </w:rPr>
        <w:t>zejména prodlení Poskytovatele splněním dle této smlouvy delší než 60 dnů. Za podstatné porušení smlouvy ze strany Objednatele se považuje zejména prodlení Objednatele s placením ceny delším než 60 dnů. Odstoupení je účinné dnem doručení písemného oznámení o odstoupení druhé smluvní straně, pokud v oznámení není uvedena lhůta pozdější.</w:t>
      </w:r>
    </w:p>
    <w:p>
      <w:pPr>
        <w:pStyle w:val="Style15"/>
        <w:keepNext w:val="0"/>
        <w:keepLines w:val="0"/>
        <w:widowControl w:val="0"/>
        <w:numPr>
          <w:ilvl w:val="0"/>
          <w:numId w:val="35"/>
        </w:numPr>
        <w:shd w:val="clear" w:color="auto" w:fill="auto"/>
        <w:tabs>
          <w:tab w:pos="449" w:val="left"/>
        </w:tabs>
        <w:bidi w:val="0"/>
        <w:spacing w:before="0" w:after="660" w:line="240" w:lineRule="auto"/>
        <w:ind w:left="480" w:right="0" w:hanging="340"/>
        <w:jc w:val="both"/>
      </w:pPr>
      <w:r>
        <w:rPr>
          <w:rStyle w:val="CharStyle16"/>
        </w:rPr>
        <w:t>Odstoupením od této smlouvy nebo její výpovědí není dotčena platnost ani účinnost ustanovení této smlouvy, která se týkají záruk, autorských práv, povinnosti mlčenlivosti, nároku na náhradu škody vzniklé porušením smlouvy, nároku na zaplacení smluvní pokuty a řešení sporů.</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32" w:name="bookmark32"/>
      <w:bookmarkEnd w:id="32"/>
    </w:p>
    <w:p>
      <w:pPr>
        <w:pStyle w:val="Style24"/>
        <w:keepNext/>
        <w:keepLines/>
        <w:widowControl w:val="0"/>
        <w:shd w:val="clear" w:color="auto" w:fill="auto"/>
        <w:bidi w:val="0"/>
        <w:spacing w:before="0" w:after="100" w:line="240" w:lineRule="auto"/>
        <w:ind w:left="0" w:right="0" w:firstLine="0"/>
        <w:jc w:val="center"/>
      </w:pPr>
      <w:bookmarkStart w:id="34" w:name="bookmark34"/>
      <w:r>
        <w:rPr>
          <w:rStyle w:val="CharStyle25"/>
          <w:b/>
          <w:bCs/>
        </w:rPr>
        <w:t>Oddělitelnost ujednání</w:t>
      </w:r>
      <w:bookmarkEnd w:id="34"/>
    </w:p>
    <w:p>
      <w:pPr>
        <w:pStyle w:val="Style15"/>
        <w:keepNext w:val="0"/>
        <w:keepLines w:val="0"/>
        <w:widowControl w:val="0"/>
        <w:numPr>
          <w:ilvl w:val="0"/>
          <w:numId w:val="37"/>
        </w:numPr>
        <w:shd w:val="clear" w:color="auto" w:fill="auto"/>
        <w:tabs>
          <w:tab w:pos="449" w:val="left"/>
        </w:tabs>
        <w:bidi w:val="0"/>
        <w:spacing w:before="0" w:after="660" w:line="240" w:lineRule="auto"/>
        <w:ind w:left="480" w:right="0" w:hanging="340"/>
        <w:jc w:val="both"/>
      </w:pPr>
      <w:r>
        <w:rPr>
          <w:rStyle w:val="CharStyle16"/>
        </w:rPr>
        <w:t>V případě, že některé ustanovení této smlouvy je nebo se stane neúčinné, zůstávají ostatní ustanovení této smlouvy účinná. Strany se zavazují nahradit neúčinné ustanovení této smlouvy ustanovením jiným, účinným, které svým obsahem a smyslem odpovídá nejlépe obsahu a smyslu ustanovení původního, neúčinného.</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36" w:name="bookmark36"/>
      <w:bookmarkEnd w:id="36"/>
    </w:p>
    <w:p>
      <w:pPr>
        <w:pStyle w:val="Style24"/>
        <w:keepNext/>
        <w:keepLines/>
        <w:widowControl w:val="0"/>
        <w:shd w:val="clear" w:color="auto" w:fill="auto"/>
        <w:bidi w:val="0"/>
        <w:spacing w:before="0" w:after="100" w:line="240" w:lineRule="auto"/>
        <w:ind w:left="0" w:right="0" w:firstLine="0"/>
        <w:jc w:val="center"/>
      </w:pPr>
      <w:bookmarkStart w:id="38" w:name="bookmark38"/>
      <w:r>
        <w:rPr>
          <w:rStyle w:val="CharStyle25"/>
          <w:b/>
          <w:bCs/>
        </w:rPr>
        <w:t>Doručování</w:t>
      </w:r>
      <w:bookmarkEnd w:id="38"/>
    </w:p>
    <w:p>
      <w:pPr>
        <w:pStyle w:val="Style15"/>
        <w:keepNext w:val="0"/>
        <w:keepLines w:val="0"/>
        <w:widowControl w:val="0"/>
        <w:numPr>
          <w:ilvl w:val="0"/>
          <w:numId w:val="39"/>
        </w:numPr>
        <w:shd w:val="clear" w:color="auto" w:fill="auto"/>
        <w:tabs>
          <w:tab w:pos="449" w:val="left"/>
        </w:tabs>
        <w:bidi w:val="0"/>
        <w:spacing w:before="0" w:line="240" w:lineRule="auto"/>
        <w:ind w:left="480" w:right="0" w:hanging="340"/>
        <w:jc w:val="both"/>
      </w:pPr>
      <w:r>
        <w:rPr>
          <w:rStyle w:val="CharStyle16"/>
        </w:rPr>
        <w:t>Není-li dohodnuto jinak, doručování písemností podle této smlouvy bude uskutečňováno na adresu smluvní strany uvedenou v záhlaví v této smlouvě, případně na adresu, kterou smluvní strana písemně druhé smluvní straně oznámí, případně faxem nebo e-mailem. V případě doručování faxem nebo e-mailem je doručení účinné pouze v případě, že druhá strana přijetí zprávy následně potvrdí. Za řádně doručenou se považuje též písemnost, kterou adresát odmítne převzít nebo se jako nedoručená vrátí zpět z adresy uvedené v záhlaví této smlouvy nebo adresy později oznámené.</w:t>
      </w:r>
    </w:p>
    <w:p>
      <w:pPr>
        <w:pStyle w:val="Style15"/>
        <w:keepNext w:val="0"/>
        <w:keepLines w:val="0"/>
        <w:widowControl w:val="0"/>
        <w:numPr>
          <w:ilvl w:val="0"/>
          <w:numId w:val="39"/>
        </w:numPr>
        <w:shd w:val="clear" w:color="auto" w:fill="auto"/>
        <w:tabs>
          <w:tab w:pos="449" w:val="left"/>
        </w:tabs>
        <w:bidi w:val="0"/>
        <w:spacing w:before="0" w:line="240" w:lineRule="auto"/>
        <w:ind w:left="0" w:right="0" w:firstLine="0"/>
        <w:jc w:val="left"/>
      </w:pPr>
      <w:r>
        <w:rPr>
          <w:rStyle w:val="CharStyle16"/>
        </w:rPr>
        <w:t>Kontakt pro doručování Poskytovateli:</w:t>
      </w:r>
    </w:p>
    <w:p>
      <w:pPr>
        <w:pStyle w:val="Style15"/>
        <w:keepNext w:val="0"/>
        <w:keepLines w:val="0"/>
        <w:widowControl w:val="0"/>
        <w:shd w:val="clear" w:color="auto" w:fill="auto"/>
        <w:bidi w:val="0"/>
        <w:spacing w:before="0" w:after="240" w:line="240" w:lineRule="auto"/>
        <w:ind w:left="1260" w:right="0" w:firstLine="0"/>
        <w:jc w:val="left"/>
      </w:pPr>
      <w:r>
        <w:rPr>
          <w:rStyle w:val="CharStyle16"/>
        </w:rPr>
        <w:t>Adresa: Drobného 27, 841 01 Bratislava, Slovenská Republika</w:t>
      </w:r>
    </w:p>
    <w:p>
      <w:pPr>
        <w:pStyle w:val="Style15"/>
        <w:keepNext w:val="0"/>
        <w:keepLines w:val="0"/>
        <w:widowControl w:val="0"/>
        <w:numPr>
          <w:ilvl w:val="0"/>
          <w:numId w:val="39"/>
        </w:numPr>
        <w:shd w:val="clear" w:color="auto" w:fill="auto"/>
        <w:tabs>
          <w:tab w:pos="449" w:val="left"/>
        </w:tabs>
        <w:bidi w:val="0"/>
        <w:spacing w:before="0" w:line="240" w:lineRule="auto"/>
        <w:ind w:left="0" w:right="0" w:firstLine="0"/>
        <w:jc w:val="left"/>
      </w:pPr>
      <w:r>
        <w:rPr>
          <w:rStyle w:val="CharStyle16"/>
        </w:rPr>
        <w:t>Kontakt pro doručování Objednateli:</w:t>
      </w:r>
    </w:p>
    <w:p>
      <w:pPr>
        <w:pStyle w:val="Style15"/>
        <w:keepNext w:val="0"/>
        <w:keepLines w:val="0"/>
        <w:widowControl w:val="0"/>
        <w:shd w:val="clear" w:color="auto" w:fill="auto"/>
        <w:bidi w:val="0"/>
        <w:spacing w:before="0" w:after="0" w:line="240" w:lineRule="auto"/>
        <w:ind w:left="1260" w:right="0" w:firstLine="0"/>
        <w:jc w:val="left"/>
      </w:pPr>
      <w:r>
        <w:rPr>
          <w:rStyle w:val="CharStyle16"/>
        </w:rPr>
        <w:t>Adresa: Kamenice 798/ld, 625 00 Brno</w:t>
      </w:r>
    </w:p>
    <w:p>
      <w:pPr>
        <w:pStyle w:val="Style15"/>
        <w:keepNext w:val="0"/>
        <w:keepLines w:val="0"/>
        <w:widowControl w:val="0"/>
        <w:numPr>
          <w:ilvl w:val="0"/>
          <w:numId w:val="39"/>
        </w:numPr>
        <w:shd w:val="clear" w:color="auto" w:fill="auto"/>
        <w:tabs>
          <w:tab w:pos="449" w:val="left"/>
        </w:tabs>
        <w:bidi w:val="0"/>
        <w:spacing w:before="0" w:after="660" w:line="240" w:lineRule="auto"/>
        <w:ind w:left="480" w:right="0" w:hanging="340"/>
        <w:jc w:val="both"/>
      </w:pPr>
      <w:r>
        <w:rPr>
          <w:rStyle w:val="CharStyle16"/>
        </w:rPr>
        <w:t>Kontaktní informace uvedené výše v této smlouvě (tel. čísla, adresy atd.) mohou být smluvními stranami jednostranně písemně měněny s účinností ode dne doručení druhé smluvní straně, pokud v oznámení není uvedeno datum pozdější. Na adresu sídla smluvní strany je možné doručovat vždy.</w:t>
      </w:r>
    </w:p>
    <w:p>
      <w:pPr>
        <w:pStyle w:val="Style24"/>
        <w:keepNext/>
        <w:keepLines/>
        <w:widowControl w:val="0"/>
        <w:numPr>
          <w:ilvl w:val="0"/>
          <w:numId w:val="29"/>
        </w:numPr>
        <w:shd w:val="clear" w:color="auto" w:fill="auto"/>
        <w:bidi w:val="0"/>
        <w:spacing w:before="0" w:after="0" w:line="240" w:lineRule="auto"/>
        <w:ind w:left="0" w:right="0" w:firstLine="0"/>
        <w:jc w:val="center"/>
      </w:pPr>
      <w:bookmarkStart w:id="40" w:name="bookmark40"/>
      <w:bookmarkEnd w:id="40"/>
    </w:p>
    <w:p>
      <w:pPr>
        <w:pStyle w:val="Style24"/>
        <w:keepNext/>
        <w:keepLines/>
        <w:widowControl w:val="0"/>
        <w:shd w:val="clear" w:color="auto" w:fill="auto"/>
        <w:bidi w:val="0"/>
        <w:spacing w:before="0" w:after="100" w:line="240" w:lineRule="auto"/>
        <w:ind w:left="0" w:right="0" w:firstLine="0"/>
        <w:jc w:val="center"/>
      </w:pPr>
      <w:bookmarkStart w:id="42" w:name="bookmark42"/>
      <w:r>
        <w:rPr>
          <w:rStyle w:val="CharStyle25"/>
          <w:b/>
          <w:bCs/>
        </w:rPr>
        <w:t>Závěrečná ujednání</w:t>
      </w:r>
      <w:bookmarkEnd w:id="42"/>
    </w:p>
    <w:p>
      <w:pPr>
        <w:pStyle w:val="Style15"/>
        <w:keepNext w:val="0"/>
        <w:keepLines w:val="0"/>
        <w:widowControl w:val="0"/>
        <w:numPr>
          <w:ilvl w:val="0"/>
          <w:numId w:val="41"/>
        </w:numPr>
        <w:shd w:val="clear" w:color="auto" w:fill="auto"/>
        <w:tabs>
          <w:tab w:pos="449" w:val="left"/>
        </w:tabs>
        <w:bidi w:val="0"/>
        <w:spacing w:before="0" w:line="240" w:lineRule="auto"/>
        <w:ind w:left="480" w:right="0" w:hanging="340"/>
        <w:jc w:val="both"/>
      </w:pPr>
      <w:r>
        <w:rPr>
          <w:rStyle w:val="CharStyle16"/>
        </w:rPr>
        <w:t>Poskytovatel odpovídá Objednateli za škodu způsobenou porušením povinností Poskytovatele stanovených touto smlouvou.</w:t>
      </w:r>
    </w:p>
    <w:p>
      <w:pPr>
        <w:pStyle w:val="Style15"/>
        <w:keepNext w:val="0"/>
        <w:keepLines w:val="0"/>
        <w:widowControl w:val="0"/>
        <w:numPr>
          <w:ilvl w:val="0"/>
          <w:numId w:val="41"/>
        </w:numPr>
        <w:shd w:val="clear" w:color="auto" w:fill="auto"/>
        <w:tabs>
          <w:tab w:pos="449" w:val="left"/>
        </w:tabs>
        <w:bidi w:val="0"/>
        <w:spacing w:before="0" w:line="240" w:lineRule="auto"/>
        <w:ind w:left="0" w:right="0" w:firstLine="140"/>
        <w:jc w:val="both"/>
      </w:pPr>
      <w:r>
        <w:rPr>
          <w:rStyle w:val="CharStyle16"/>
        </w:rPr>
        <w:t>Tato smlouva se řídí právním řádem České republiky. Všechny spory mezi smluvními stranami vzniklé z právních vztahů založených touto smlouvou nebo v souvislosti s ní, budou řešeny jednáním při vynaložení veškerého úsilí ke smírnému řešení, případně bude řešení sporů podléhat jurisdikci soudů České republiky.</w:t>
      </w:r>
    </w:p>
    <w:p>
      <w:pPr>
        <w:pStyle w:val="Style15"/>
        <w:keepNext w:val="0"/>
        <w:keepLines w:val="0"/>
        <w:widowControl w:val="0"/>
        <w:numPr>
          <w:ilvl w:val="0"/>
          <w:numId w:val="41"/>
        </w:numPr>
        <w:shd w:val="clear" w:color="auto" w:fill="auto"/>
        <w:tabs>
          <w:tab w:pos="449" w:val="left"/>
        </w:tabs>
        <w:bidi w:val="0"/>
        <w:spacing w:before="0" w:line="240" w:lineRule="auto"/>
        <w:ind w:left="480" w:right="0" w:hanging="340"/>
        <w:jc w:val="left"/>
      </w:pPr>
      <w:r>
        <w:rPr>
          <w:rStyle w:val="CharStyle16"/>
        </w:rPr>
        <w:t>Žádná ze smluvních stran není odpovědná za prodlení způsobené okolnostmi vylučujícími odpovědnost. Za okolnosti vylučující odpovědnost se považuje překážka, jež nastala nezávisle na vůli povinné strany a brání jí ve splnění její povinnosti, jestliže nelze rozumně předpokládat, že by povinná strana tuto překážku nebo její následky odvrátila nebo překonala a dále, že by v době</w:t>
        <w:br w:type="page"/>
      </w:r>
      <w:r>
        <w:rPr>
          <w:rStyle w:val="CharStyle16"/>
        </w:rPr>
        <w:t>vzniku překážku předvídala. Odpovědnost nevylučuje překážka, která vznikla teprve v době, kdy povinná strana byla v prodlení s plněním své povinnosti nebo vznikla z jejích hospodářských poměrů. Účinky vylučující odpovědnost jsou omezeny pouze na dobu, dokud trvá překážka, s níž jsou tyto povinnosti spojeny.</w:t>
      </w:r>
    </w:p>
    <w:p>
      <w:pPr>
        <w:pStyle w:val="Style15"/>
        <w:keepNext w:val="0"/>
        <w:keepLines w:val="0"/>
        <w:widowControl w:val="0"/>
        <w:numPr>
          <w:ilvl w:val="0"/>
          <w:numId w:val="41"/>
        </w:numPr>
        <w:shd w:val="clear" w:color="auto" w:fill="auto"/>
        <w:tabs>
          <w:tab w:pos="536" w:val="left"/>
        </w:tabs>
        <w:bidi w:val="0"/>
        <w:spacing w:before="0" w:line="240" w:lineRule="auto"/>
        <w:ind w:left="520" w:right="0" w:hanging="320"/>
        <w:jc w:val="both"/>
      </w:pPr>
      <w:r>
        <w:rPr>
          <w:rStyle w:val="CharStyle16"/>
        </w:rPr>
        <w:t>Není-li v této smlouvě stanoveno jinak, tuto smlouvu lze měnit nebo doplňovat pouze písemnými dodatky podepsanými oběma smluvními stranami. Adresy, jména pracovníků smluvních stran, telefonní a faxová čísla lze měnit i jednostranným písemným oznámením; smluvní strany se zavazují změny uvedených údajů neprodleně oznamovat druhé smluvní straně.</w:t>
      </w:r>
    </w:p>
    <w:p>
      <w:pPr>
        <w:pStyle w:val="Style15"/>
        <w:keepNext w:val="0"/>
        <w:keepLines w:val="0"/>
        <w:widowControl w:val="0"/>
        <w:numPr>
          <w:ilvl w:val="0"/>
          <w:numId w:val="41"/>
        </w:numPr>
        <w:shd w:val="clear" w:color="auto" w:fill="auto"/>
        <w:tabs>
          <w:tab w:pos="536" w:val="left"/>
        </w:tabs>
        <w:bidi w:val="0"/>
        <w:spacing w:before="0" w:line="240" w:lineRule="auto"/>
        <w:ind w:left="520" w:right="0" w:hanging="320"/>
        <w:jc w:val="both"/>
      </w:pPr>
      <w:r>
        <w:rPr>
          <w:rStyle w:val="CharStyle16"/>
        </w:rPr>
        <w:t>Smluvní strany souhlasí se zveřejněním smlouvy v úplném znění, stejně jako s uveřejněním úplného znění případných dohod (dodatků), kterými se smlouva doplňuje, mění, nahrazuje nebo ruší, a to zejména prostřednictvím Registru smluv v souladu se zákonem č. 340/2015 Sb., o registru smluv, ve znění pozdějších předpisů. Smluvní strany se dohodly, že uveřejnění smlouvy zajistí kupující.</w:t>
      </w:r>
    </w:p>
    <w:p>
      <w:pPr>
        <w:pStyle w:val="Style15"/>
        <w:keepNext w:val="0"/>
        <w:keepLines w:val="0"/>
        <w:widowControl w:val="0"/>
        <w:numPr>
          <w:ilvl w:val="0"/>
          <w:numId w:val="41"/>
        </w:numPr>
        <w:shd w:val="clear" w:color="auto" w:fill="auto"/>
        <w:tabs>
          <w:tab w:pos="536" w:val="left"/>
        </w:tabs>
        <w:bidi w:val="0"/>
        <w:spacing w:before="0" w:line="252" w:lineRule="auto"/>
        <w:ind w:left="520" w:right="0" w:hanging="320"/>
        <w:jc w:val="both"/>
      </w:pPr>
      <w:r>
        <w:rPr>
          <w:rStyle w:val="CharStyle16"/>
        </w:rPr>
        <w:t>Tato smlouva je sepsána ve dvojím vyhotovení, z nichž každá ze smluvních stran obdrží po jednom.</w:t>
      </w:r>
    </w:p>
    <w:p>
      <w:pPr>
        <w:pStyle w:val="Style15"/>
        <w:keepNext w:val="0"/>
        <w:keepLines w:val="0"/>
        <w:widowControl w:val="0"/>
        <w:numPr>
          <w:ilvl w:val="0"/>
          <w:numId w:val="41"/>
        </w:numPr>
        <w:shd w:val="clear" w:color="auto" w:fill="auto"/>
        <w:tabs>
          <w:tab w:pos="536" w:val="left"/>
        </w:tabs>
        <w:bidi w:val="0"/>
        <w:spacing w:before="0" w:after="380" w:line="240" w:lineRule="auto"/>
        <w:ind w:left="520" w:right="0" w:hanging="320"/>
        <w:jc w:val="both"/>
      </w:pPr>
      <w:r>
        <w:rPr>
          <w:rStyle w:val="CharStyle16"/>
        </w:rPr>
        <w:t>Smluvní strany prohlašují, že tato smlouva je projevem jejich pravé a svobodné vůle a na důkaz dohody o všech článcích této smlouvy připojují své podpisy.</w:t>
      </w:r>
    </w:p>
    <w:p>
      <w:pPr>
        <w:pStyle w:val="Style15"/>
        <w:keepNext w:val="0"/>
        <w:keepLines w:val="0"/>
        <w:widowControl w:val="0"/>
        <w:shd w:val="clear" w:color="auto" w:fill="auto"/>
        <w:bidi w:val="0"/>
        <w:spacing w:before="0" w:after="260" w:line="240" w:lineRule="auto"/>
        <w:ind w:left="0" w:right="0" w:firstLine="180"/>
        <w:jc w:val="left"/>
      </w:pPr>
      <w:r>
        <w:rPr>
          <w:rStyle w:val="CharStyle16"/>
        </w:rPr>
        <w:t>Příloha č. 1 Podmínky pro poskytování služby Hot line a Help desk</w:t>
      </w:r>
    </w:p>
    <w:p>
      <w:pPr>
        <w:pStyle w:val="Style15"/>
        <w:keepNext w:val="0"/>
        <w:keepLines w:val="0"/>
        <w:widowControl w:val="0"/>
        <w:shd w:val="clear" w:color="auto" w:fill="auto"/>
        <w:tabs>
          <w:tab w:leader="dot" w:pos="6637" w:val="left"/>
        </w:tabs>
        <w:bidi w:val="0"/>
        <w:spacing w:before="0" w:line="240" w:lineRule="auto"/>
        <w:ind w:left="4400" w:right="0" w:firstLine="0"/>
        <w:jc w:val="left"/>
        <w:sectPr>
          <w:footnotePr>
            <w:pos w:val="pageBottom"/>
            <w:numFmt w:val="decimal"/>
            <w:numRestart w:val="continuous"/>
          </w:footnotePr>
          <w:type w:val="continuous"/>
          <w:pgSz w:w="11900" w:h="16840"/>
          <w:pgMar w:top="0" w:right="1040" w:bottom="1155" w:left="1351" w:header="0" w:footer="3"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986155</wp:posOffset>
                </wp:positionH>
                <wp:positionV relativeFrom="paragraph">
                  <wp:posOffset>12700</wp:posOffset>
                </wp:positionV>
                <wp:extent cx="676910" cy="173990"/>
                <wp:wrapSquare wrapText="right"/>
                <wp:docPr id="4" name="Shape 4"/>
                <a:graphic xmlns:a="http://schemas.openxmlformats.org/drawingml/2006/main">
                  <a:graphicData uri="http://schemas.microsoft.com/office/word/2010/wordprocessingShape">
                    <wps:wsp>
                      <wps:cNvSpPr txBox="1"/>
                      <wps:spPr>
                        <a:xfrm>
                          <a:ext cx="676910" cy="173990"/>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V Brně dne</w:t>
                            </w:r>
                          </w:p>
                        </w:txbxContent>
                      </wps:txbx>
                      <wps:bodyPr wrap="none" lIns="0" tIns="0" rIns="0" bIns="0">
                        <a:noAutoFit/>
                      </wps:bodyPr>
                    </wps:wsp>
                  </a:graphicData>
                </a:graphic>
              </wp:anchor>
            </w:drawing>
          </mc:Choice>
          <mc:Fallback>
            <w:pict>
              <v:shape id="_x0000_s1030" type="#_x0000_t202" style="position:absolute;margin-left:77.650000000000006pt;margin-top:1.pt;width:53.300000000000004pt;height:13.700000000000001pt;z-index:-125829375;mso-wrap-distance-left:9.pt;mso-wrap-distance-right:9.pt;mso-position-horizontal-relative:page" filled="f" stroked="f">
                <v:textbox inset="0,0,0,0">
                  <w:txbxContent>
                    <w:p>
                      <w:pPr>
                        <w:pStyle w:val="Style15"/>
                        <w:keepNext w:val="0"/>
                        <w:keepLines w:val="0"/>
                        <w:widowControl w:val="0"/>
                        <w:shd w:val="clear" w:color="auto" w:fill="auto"/>
                        <w:bidi w:val="0"/>
                        <w:spacing w:before="0" w:after="0" w:line="240" w:lineRule="auto"/>
                        <w:ind w:left="0" w:right="0" w:firstLine="0"/>
                        <w:jc w:val="left"/>
                      </w:pPr>
                      <w:r>
                        <w:rPr>
                          <w:rStyle w:val="CharStyle16"/>
                        </w:rPr>
                        <w:t>V Brně dne</w:t>
                      </w:r>
                    </w:p>
                  </w:txbxContent>
                </v:textbox>
                <w10:wrap type="square" side="right" anchorx="page"/>
              </v:shape>
            </w:pict>
          </mc:Fallback>
        </mc:AlternateContent>
      </w:r>
      <w:r>
        <w:drawing>
          <wp:anchor distT="433070" distB="207645" distL="114300" distR="3268980" simplePos="0" relativeHeight="125829380" behindDoc="0" locked="0" layoutInCell="1" allowOverlap="1">
            <wp:simplePos x="0" y="0"/>
            <wp:positionH relativeFrom="page">
              <wp:posOffset>1001395</wp:posOffset>
            </wp:positionH>
            <wp:positionV relativeFrom="margin">
              <wp:posOffset>5257800</wp:posOffset>
            </wp:positionV>
            <wp:extent cx="2609215" cy="1060450"/>
            <wp:wrapTopAndBottom/>
            <wp:docPr id="6" name="Shape 6"/>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8"/>
                    <a:stretch/>
                  </pic:blipFill>
                  <pic:spPr>
                    <a:xfrm>
                      <a:ext cx="2609215" cy="10604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2178050</wp:posOffset>
                </wp:positionH>
                <wp:positionV relativeFrom="margin">
                  <wp:posOffset>6346190</wp:posOffset>
                </wp:positionV>
                <wp:extent cx="521335" cy="173990"/>
                <wp:wrapNone/>
                <wp:docPr id="8" name="Shape 8"/>
                <a:graphic xmlns:a="http://schemas.openxmlformats.org/drawingml/2006/main">
                  <a:graphicData uri="http://schemas.microsoft.com/office/word/2010/wordprocessingShape">
                    <wps:wsp>
                      <wps:cNvSpPr txBox="1"/>
                      <wps:spPr>
                        <a:xfrm>
                          <a:ext cx="521335" cy="17399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rFonts w:ascii="Times New Roman" w:eastAsia="Times New Roman" w:hAnsi="Times New Roman" w:cs="Times New Roman"/>
                                <w:sz w:val="22"/>
                                <w:szCs w:val="22"/>
                              </w:rPr>
                              <w:t>ředitelka</w:t>
                            </w:r>
                          </w:p>
                        </w:txbxContent>
                      </wps:txbx>
                      <wps:bodyPr lIns="0" tIns="0" rIns="0" bIns="0">
                        <a:noAutoFit/>
                      </wps:bodyPr>
                    </wps:wsp>
                  </a:graphicData>
                </a:graphic>
              </wp:anchor>
            </w:drawing>
          </mc:Choice>
          <mc:Fallback>
            <w:pict>
              <v:shape id="_x0000_s1034" type="#_x0000_t202" style="position:absolute;margin-left:171.5pt;margin-top:499.69999999999999pt;width:41.050000000000004pt;height:13.700000000000001pt;z-index:251657729;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rFonts w:ascii="Times New Roman" w:eastAsia="Times New Roman" w:hAnsi="Times New Roman" w:cs="Times New Roman"/>
                          <w:sz w:val="22"/>
                          <w:szCs w:val="22"/>
                        </w:rPr>
                        <w:t>ředitelka</w:t>
                      </w:r>
                    </w:p>
                  </w:txbxContent>
                </v:textbox>
                <w10:wrap anchorx="page" anchory="margin"/>
              </v:shape>
            </w:pict>
          </mc:Fallback>
        </mc:AlternateContent>
      </w:r>
      <w:r>
        <w:drawing>
          <wp:anchor distT="554990" distB="356870" distL="3125470" distR="114935" simplePos="0" relativeHeight="125829381" behindDoc="0" locked="0" layoutInCell="1" allowOverlap="1">
            <wp:simplePos x="0" y="0"/>
            <wp:positionH relativeFrom="page">
              <wp:posOffset>4012565</wp:posOffset>
            </wp:positionH>
            <wp:positionV relativeFrom="margin">
              <wp:posOffset>5379720</wp:posOffset>
            </wp:positionV>
            <wp:extent cx="2755265" cy="786130"/>
            <wp:wrapTopAndBottom/>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0"/>
                    <a:stretch/>
                  </pic:blipFill>
                  <pic:spPr>
                    <a:xfrm>
                      <a:ext cx="2755265" cy="78613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4567555</wp:posOffset>
                </wp:positionH>
                <wp:positionV relativeFrom="margin">
                  <wp:posOffset>5218430</wp:posOffset>
                </wp:positionV>
                <wp:extent cx="1066800" cy="179705"/>
                <wp:wrapNone/>
                <wp:docPr id="12" name="Shape 12"/>
                <a:graphic xmlns:a="http://schemas.openxmlformats.org/drawingml/2006/main">
                  <a:graphicData uri="http://schemas.microsoft.com/office/word/2010/wordprocessingShape">
                    <wps:wsp>
                      <wps:cNvSpPr txBox="1"/>
                      <wps:spPr>
                        <a:xfrm>
                          <a:ext cx="1066800" cy="179705"/>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rFonts w:ascii="Times New Roman" w:eastAsia="Times New Roman" w:hAnsi="Times New Roman" w:cs="Times New Roman"/>
                                <w:b/>
                                <w:bCs/>
                                <w:sz w:val="22"/>
                                <w:szCs w:val="22"/>
                              </w:rPr>
                              <w:t>za Poskytovatele:</w:t>
                            </w:r>
                          </w:p>
                        </w:txbxContent>
                      </wps:txbx>
                      <wps:bodyPr lIns="0" tIns="0" rIns="0" bIns="0">
                        <a:noAutoFit/>
                      </wps:bodyPr>
                    </wps:wsp>
                  </a:graphicData>
                </a:graphic>
              </wp:anchor>
            </w:drawing>
          </mc:Choice>
          <mc:Fallback>
            <w:pict>
              <v:shape id="_x0000_s1038" type="#_x0000_t202" style="position:absolute;margin-left:359.65000000000003pt;margin-top:410.90000000000003pt;width:84.pt;height:14.15pt;z-index:251657731;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left"/>
                        <w:rPr>
                          <w:sz w:val="22"/>
                          <w:szCs w:val="22"/>
                        </w:rPr>
                      </w:pPr>
                      <w:r>
                        <w:rPr>
                          <w:rStyle w:val="CharStyle19"/>
                          <w:rFonts w:ascii="Times New Roman" w:eastAsia="Times New Roman" w:hAnsi="Times New Roman" w:cs="Times New Roman"/>
                          <w:b/>
                          <w:bCs/>
                          <w:sz w:val="22"/>
                          <w:szCs w:val="22"/>
                        </w:rPr>
                        <w:t>za Poskytovatele:</w:t>
                      </w:r>
                    </w:p>
                  </w:txbxContent>
                </v:textbox>
                <w10:wrap anchorx="page" anchory="margin"/>
              </v:shape>
            </w:pict>
          </mc:Fallback>
        </mc:AlternateContent>
      </w:r>
      <w:r>
        <mc:AlternateContent>
          <mc:Choice Requires="wps">
            <w:drawing>
              <wp:anchor distT="0" distB="0" distL="0" distR="0" simplePos="0" relativeHeight="503316486" behindDoc="0" locked="0" layoutInCell="1" allowOverlap="1">
                <wp:simplePos x="0" y="0"/>
                <wp:positionH relativeFrom="page">
                  <wp:posOffset>4695190</wp:posOffset>
                </wp:positionH>
                <wp:positionV relativeFrom="margin">
                  <wp:posOffset>6181090</wp:posOffset>
                </wp:positionV>
                <wp:extent cx="1234440" cy="341630"/>
                <wp:wrapNone/>
                <wp:docPr id="14" name="Shape 14"/>
                <a:graphic xmlns:a="http://schemas.openxmlformats.org/drawingml/2006/main">
                  <a:graphicData uri="http://schemas.microsoft.com/office/word/2010/wordprocessingShape">
                    <wps:wsp>
                      <wps:cNvSpPr txBox="1"/>
                      <wps:spPr>
                        <a:xfrm>
                          <a:ext cx="1234440" cy="341630"/>
                        </a:xfrm>
                        <a:prstGeom prst="rect"/>
                        <a:noFill/>
                      </wps:spPr>
                      <wps:txbx>
                        <w:txbxContent>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rFonts w:ascii="Times New Roman" w:eastAsia="Times New Roman" w:hAnsi="Times New Roman" w:cs="Times New Roman"/>
                                <w:sz w:val="22"/>
                                <w:szCs w:val="22"/>
                              </w:rPr>
                              <w:t>Ing. Lubomír Klimek představenstvo</w:t>
                            </w:r>
                          </w:p>
                        </w:txbxContent>
                      </wps:txbx>
                      <wps:bodyPr lIns="0" tIns="0" rIns="0" bIns="0">
                        <a:noAutoFit/>
                      </wps:bodyPr>
                    </wps:wsp>
                  </a:graphicData>
                </a:graphic>
              </wp:anchor>
            </w:drawing>
          </mc:Choice>
          <mc:Fallback>
            <w:pict>
              <v:shape id="_x0000_s1040" type="#_x0000_t202" style="position:absolute;margin-left:369.69999999999999pt;margin-top:486.69999999999999pt;width:97.200000000000003pt;height:26.900000000000002pt;z-index:251657733;mso-wrap-distance-left:0;mso-wrap-distance-right:0;mso-position-horizontal-relative:page;mso-position-vertical-relative:margin" filled="f" stroked="f">
                <v:textbox inset="0,0,0,0">
                  <w:txbxContent>
                    <w:p>
                      <w:pPr>
                        <w:pStyle w:val="Style18"/>
                        <w:keepNext w:val="0"/>
                        <w:keepLines w:val="0"/>
                        <w:widowControl w:val="0"/>
                        <w:shd w:val="clear" w:color="auto" w:fill="auto"/>
                        <w:bidi w:val="0"/>
                        <w:spacing w:before="0" w:after="0" w:line="240" w:lineRule="auto"/>
                        <w:ind w:left="0" w:right="0" w:firstLine="0"/>
                        <w:jc w:val="center"/>
                        <w:rPr>
                          <w:sz w:val="22"/>
                          <w:szCs w:val="22"/>
                        </w:rPr>
                      </w:pPr>
                      <w:r>
                        <w:rPr>
                          <w:rStyle w:val="CharStyle19"/>
                          <w:rFonts w:ascii="Times New Roman" w:eastAsia="Times New Roman" w:hAnsi="Times New Roman" w:cs="Times New Roman"/>
                          <w:sz w:val="22"/>
                          <w:szCs w:val="22"/>
                        </w:rPr>
                        <w:t>Ing. Lubomír Klimek představenstvo</w:t>
                      </w:r>
                    </w:p>
                  </w:txbxContent>
                </v:textbox>
                <w10:wrap anchorx="page" anchory="margin"/>
              </v:shape>
            </w:pict>
          </mc:Fallback>
        </mc:AlternateContent>
      </w:r>
      <w:r>
        <w:rPr>
          <w:rStyle w:val="CharStyle16"/>
        </w:rPr>
        <w:t>V Bratislavě dne</w:t>
        <w:tab/>
      </w:r>
    </w:p>
    <w:p>
      <w:pPr>
        <w:widowControl w:val="0"/>
        <w:spacing w:line="1" w:lineRule="exact"/>
      </w:pPr>
      <w:r>
        <w:drawing>
          <wp:anchor distT="341630" distB="0" distL="187325" distR="120650" simplePos="0" relativeHeight="125829382" behindDoc="0" locked="0" layoutInCell="1" allowOverlap="1">
            <wp:simplePos x="0" y="0"/>
            <wp:positionH relativeFrom="page">
              <wp:posOffset>1393190</wp:posOffset>
            </wp:positionH>
            <wp:positionV relativeFrom="paragraph">
              <wp:posOffset>5770245</wp:posOffset>
            </wp:positionV>
            <wp:extent cx="5334000" cy="1938655"/>
            <wp:wrapSquare wrapText="bothSides"/>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12"/>
                    <a:stretch/>
                  </pic:blipFill>
                  <pic:spPr>
                    <a:xfrm>
                      <a:ext cx="5334000" cy="1938655"/>
                    </a:xfrm>
                    <a:prstGeom prst="rect"/>
                  </pic:spPr>
                </pic:pic>
              </a:graphicData>
            </a:graphic>
          </wp:anchor>
        </w:drawing>
      </w:r>
      <w:r>
        <mc:AlternateContent>
          <mc:Choice Requires="wps">
            <w:drawing>
              <wp:anchor distT="0" distB="0" distL="0" distR="0" simplePos="0" relativeHeight="503316488" behindDoc="0" locked="0" layoutInCell="1" allowOverlap="1">
                <wp:simplePos x="0" y="0"/>
                <wp:positionH relativeFrom="page">
                  <wp:posOffset>1320165</wp:posOffset>
                </wp:positionH>
                <wp:positionV relativeFrom="paragraph">
                  <wp:posOffset>5428615</wp:posOffset>
                </wp:positionV>
                <wp:extent cx="5410200" cy="313690"/>
                <wp:wrapNone/>
                <wp:docPr id="18" name="Shape 18"/>
                <a:graphic xmlns:a="http://schemas.openxmlformats.org/drawingml/2006/main">
                  <a:graphicData uri="http://schemas.microsoft.com/office/word/2010/wordprocessingShape">
                    <wps:wsp>
                      <wps:cNvSpPr txBox="1"/>
                      <wps:spPr>
                        <a:xfrm>
                          <a:ext cx="5410200" cy="313690"/>
                        </a:xfrm>
                        <a:prstGeom prst="rect"/>
                        <a:noFill/>
                      </wps:spPr>
                      <wps:txbx>
                        <w:txbxContent>
                          <w:p>
                            <w:pPr>
                              <w:pStyle w:val="Style18"/>
                              <w:keepNext w:val="0"/>
                              <w:keepLines w:val="0"/>
                              <w:widowControl w:val="0"/>
                              <w:shd w:val="clear" w:color="auto" w:fill="auto"/>
                              <w:bidi w:val="0"/>
                              <w:spacing w:before="0" w:after="0" w:line="266" w:lineRule="auto"/>
                              <w:ind w:left="0" w:right="0" w:firstLine="0"/>
                              <w:jc w:val="left"/>
                            </w:pPr>
                            <w:r>
                              <w:rPr>
                                <w:rStyle w:val="CharStyle19"/>
                              </w:rPr>
                              <w:t>Pro komunikaci mezi Objednatelem a Poskytovatelem byly stanoveny následující kontaktní údaje Poskytovatele:</w:t>
                            </w:r>
                          </w:p>
                        </w:txbxContent>
                      </wps:txbx>
                      <wps:bodyPr lIns="0" tIns="0" rIns="0" bIns="0">
                        <a:noAutoFit/>
                      </wps:bodyPr>
                    </wps:wsp>
                  </a:graphicData>
                </a:graphic>
              </wp:anchor>
            </w:drawing>
          </mc:Choice>
          <mc:Fallback>
            <w:pict>
              <v:shape id="_x0000_s1044" type="#_x0000_t202" style="position:absolute;margin-left:103.95pt;margin-top:427.44999999999999pt;width:426.pt;height:24.699999999999999pt;z-index:251657735;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66" w:lineRule="auto"/>
                        <w:ind w:left="0" w:right="0" w:firstLine="0"/>
                        <w:jc w:val="left"/>
                      </w:pPr>
                      <w:r>
                        <w:rPr>
                          <w:rStyle w:val="CharStyle19"/>
                        </w:rPr>
                        <w:t>Pro komunikaci mezi Objednatelem a Poskytovatelem byly stanoveny následující kontaktní údaje Poskytovatele:</w:t>
                      </w:r>
                    </w:p>
                  </w:txbxContent>
                </v:textbox>
                <w10:wrap anchorx="page"/>
              </v:shape>
            </w:pict>
          </mc:Fallback>
        </mc:AlternateContent>
      </w:r>
    </w:p>
    <w:p>
      <w:pPr>
        <w:pStyle w:val="Style15"/>
        <w:keepNext w:val="0"/>
        <w:keepLines w:val="0"/>
        <w:widowControl w:val="0"/>
        <w:shd w:val="clear" w:color="auto" w:fill="auto"/>
        <w:tabs>
          <w:tab w:leader="dot" w:pos="3514" w:val="left"/>
        </w:tabs>
        <w:bidi w:val="0"/>
        <w:spacing w:before="0" w:after="0" w:line="240" w:lineRule="auto"/>
        <w:ind w:left="0" w:right="0" w:firstLine="0"/>
        <w:jc w:val="center"/>
      </w:pPr>
      <w:r>
        <w:rPr>
          <w:rStyle w:val="CharStyle16"/>
          <w:b/>
          <w:bCs/>
        </w:rPr>
        <w:t>Příloha č. 1 ke Smlouvě č</w:t>
        <w:tab/>
      </w:r>
    </w:p>
    <w:p>
      <w:pPr>
        <w:pStyle w:val="Style15"/>
        <w:keepNext w:val="0"/>
        <w:keepLines w:val="0"/>
        <w:widowControl w:val="0"/>
        <w:shd w:val="clear" w:color="auto" w:fill="auto"/>
        <w:bidi w:val="0"/>
        <w:spacing w:before="0" w:after="340" w:line="288" w:lineRule="auto"/>
        <w:ind w:left="0" w:right="0" w:firstLine="0"/>
        <w:jc w:val="center"/>
      </w:pPr>
      <w:r>
        <w:rPr>
          <w:rStyle w:val="CharStyle16"/>
          <w:b/>
          <w:bCs/>
        </w:rPr>
        <w:t>O SLUŽBÁCH SERVISNÍ PODPORY</w:t>
        <w:br/>
        <w:t>ELEKTRONICKÉHO ŘÍDÍCÍHO SYSTÉMU SBI</w:t>
      </w:r>
    </w:p>
    <w:p>
      <w:pPr>
        <w:pStyle w:val="Style32"/>
        <w:keepNext w:val="0"/>
        <w:keepLines w:val="0"/>
        <w:widowControl w:val="0"/>
        <w:shd w:val="clear" w:color="auto" w:fill="auto"/>
        <w:bidi w:val="0"/>
        <w:spacing w:before="0" w:line="240" w:lineRule="auto"/>
        <w:ind w:left="0" w:right="0" w:firstLine="0"/>
        <w:jc w:val="center"/>
      </w:pPr>
      <w:r>
        <w:rPr>
          <w:rStyle w:val="CharStyle33"/>
          <w:b/>
          <w:bCs/>
        </w:rPr>
        <w:t>Podmínky poskytování služby Hot líne a Help desk</w:t>
      </w:r>
    </w:p>
    <w:p>
      <w:pPr>
        <w:pStyle w:val="Style29"/>
        <w:keepNext w:val="0"/>
        <w:keepLines w:val="0"/>
        <w:widowControl w:val="0"/>
        <w:numPr>
          <w:ilvl w:val="0"/>
          <w:numId w:val="43"/>
        </w:numPr>
        <w:shd w:val="clear" w:color="auto" w:fill="auto"/>
        <w:tabs>
          <w:tab w:pos="341" w:val="left"/>
        </w:tabs>
        <w:bidi w:val="0"/>
        <w:spacing w:before="0" w:after="180" w:line="259" w:lineRule="auto"/>
        <w:ind w:left="0" w:right="0" w:firstLine="0"/>
        <w:jc w:val="both"/>
      </w:pPr>
      <w:r>
        <w:rPr>
          <w:rStyle w:val="CharStyle30"/>
          <w:b/>
          <w:bCs/>
        </w:rPr>
        <w:t>HOT LINE</w:t>
      </w:r>
    </w:p>
    <w:p>
      <w:pPr>
        <w:pStyle w:val="Style29"/>
        <w:keepNext w:val="0"/>
        <w:keepLines w:val="0"/>
        <w:widowControl w:val="0"/>
        <w:numPr>
          <w:ilvl w:val="1"/>
          <w:numId w:val="43"/>
        </w:numPr>
        <w:shd w:val="clear" w:color="auto" w:fill="auto"/>
        <w:tabs>
          <w:tab w:pos="658" w:val="left"/>
        </w:tabs>
        <w:bidi w:val="0"/>
        <w:spacing w:before="0" w:line="262" w:lineRule="auto"/>
        <w:ind w:right="0"/>
        <w:jc w:val="both"/>
      </w:pPr>
      <w:r>
        <w:rPr>
          <w:rStyle w:val="CharStyle30"/>
        </w:rPr>
        <w:t>V rámci služby Hotline se Dodavatel zavazuje poskytovat Objednateli opakovaně v čase od 8:00 do 17:00 v pracovní dny podporu telefonickou nebo prostřednictvím e-mailu (dále jen „telefonická podpora“), vztahující se k systému SBI v následujícím rozsahu:</w:t>
      </w:r>
    </w:p>
    <w:p>
      <w:pPr>
        <w:pStyle w:val="Style29"/>
        <w:keepNext w:val="0"/>
        <w:keepLines w:val="0"/>
        <w:widowControl w:val="0"/>
        <w:numPr>
          <w:ilvl w:val="0"/>
          <w:numId w:val="45"/>
        </w:numPr>
        <w:shd w:val="clear" w:color="auto" w:fill="auto"/>
        <w:tabs>
          <w:tab w:pos="1063" w:val="left"/>
        </w:tabs>
        <w:bidi w:val="0"/>
        <w:spacing w:before="0" w:line="259" w:lineRule="auto"/>
        <w:ind w:left="0" w:right="0" w:firstLine="660"/>
        <w:jc w:val="both"/>
      </w:pPr>
      <w:r>
        <w:rPr>
          <w:rStyle w:val="CharStyle30"/>
        </w:rPr>
        <w:t>Obecné konzultace</w:t>
      </w:r>
    </w:p>
    <w:p>
      <w:pPr>
        <w:pStyle w:val="Style29"/>
        <w:keepNext w:val="0"/>
        <w:keepLines w:val="0"/>
        <w:widowControl w:val="0"/>
        <w:numPr>
          <w:ilvl w:val="0"/>
          <w:numId w:val="45"/>
        </w:numPr>
        <w:shd w:val="clear" w:color="auto" w:fill="auto"/>
        <w:tabs>
          <w:tab w:pos="1063" w:val="left"/>
        </w:tabs>
        <w:bidi w:val="0"/>
        <w:spacing w:before="0" w:line="259" w:lineRule="auto"/>
        <w:ind w:left="0" w:right="0" w:firstLine="660"/>
        <w:jc w:val="both"/>
      </w:pPr>
      <w:r>
        <w:rPr>
          <w:rStyle w:val="CharStyle30"/>
        </w:rPr>
        <w:t>Konkrétní konzultace postupu nebo použití Aplikace</w:t>
      </w:r>
    </w:p>
    <w:p>
      <w:pPr>
        <w:pStyle w:val="Style29"/>
        <w:keepNext w:val="0"/>
        <w:keepLines w:val="0"/>
        <w:widowControl w:val="0"/>
        <w:numPr>
          <w:ilvl w:val="0"/>
          <w:numId w:val="45"/>
        </w:numPr>
        <w:shd w:val="clear" w:color="auto" w:fill="auto"/>
        <w:tabs>
          <w:tab w:pos="1063" w:val="left"/>
        </w:tabs>
        <w:bidi w:val="0"/>
        <w:spacing w:before="0" w:line="259" w:lineRule="auto"/>
        <w:ind w:left="0" w:right="0" w:firstLine="660"/>
        <w:jc w:val="both"/>
      </w:pPr>
      <w:r>
        <w:rPr>
          <w:rStyle w:val="CharStyle30"/>
        </w:rPr>
        <w:t>Konkrétní konzultace související s nastavením Aplikace (oprávnění, alternativy, styly)</w:t>
      </w:r>
    </w:p>
    <w:p>
      <w:pPr>
        <w:pStyle w:val="Style29"/>
        <w:keepNext w:val="0"/>
        <w:keepLines w:val="0"/>
        <w:widowControl w:val="0"/>
        <w:numPr>
          <w:ilvl w:val="1"/>
          <w:numId w:val="43"/>
        </w:numPr>
        <w:shd w:val="clear" w:color="auto" w:fill="auto"/>
        <w:tabs>
          <w:tab w:pos="658" w:val="left"/>
        </w:tabs>
        <w:bidi w:val="0"/>
        <w:spacing w:before="0" w:line="262" w:lineRule="auto"/>
        <w:ind w:right="0"/>
        <w:jc w:val="both"/>
      </w:pPr>
      <w:r>
        <w:rPr>
          <w:rStyle w:val="CharStyle30"/>
        </w:rPr>
        <w:t>Službu Hotline se Dodavatel zavazuje poskytovat Objednateli i v mimopracovní dobu, kdy bude účtovaná přirážka ve výši 50% za práci v mimopracovní čas.</w:t>
      </w:r>
    </w:p>
    <w:p>
      <w:pPr>
        <w:pStyle w:val="Style29"/>
        <w:keepNext w:val="0"/>
        <w:keepLines w:val="0"/>
        <w:widowControl w:val="0"/>
        <w:numPr>
          <w:ilvl w:val="1"/>
          <w:numId w:val="43"/>
        </w:numPr>
        <w:shd w:val="clear" w:color="auto" w:fill="auto"/>
        <w:tabs>
          <w:tab w:pos="658" w:val="left"/>
        </w:tabs>
        <w:bidi w:val="0"/>
        <w:spacing w:before="0"/>
        <w:ind w:right="0"/>
        <w:jc w:val="both"/>
      </w:pPr>
      <w:r>
        <w:rPr>
          <w:rStyle w:val="CharStyle30"/>
        </w:rPr>
        <w:t>Službu Hotline se Dodavatel zavazuje poskytovat Objednateli i v dnech pracovního volna a pracovního klidu, kdy bude účtovaná přirážka ve výši 100% za práci v dnech pracovního volna a pracovního klidu.</w:t>
      </w:r>
    </w:p>
    <w:p>
      <w:pPr>
        <w:pStyle w:val="Style29"/>
        <w:keepNext w:val="0"/>
        <w:keepLines w:val="0"/>
        <w:widowControl w:val="0"/>
        <w:numPr>
          <w:ilvl w:val="1"/>
          <w:numId w:val="43"/>
        </w:numPr>
        <w:shd w:val="clear" w:color="auto" w:fill="auto"/>
        <w:tabs>
          <w:tab w:pos="658" w:val="left"/>
        </w:tabs>
        <w:bidi w:val="0"/>
        <w:spacing w:before="0" w:line="259" w:lineRule="auto"/>
        <w:ind w:right="0"/>
        <w:jc w:val="both"/>
      </w:pPr>
      <w:r>
        <w:rPr>
          <w:rStyle w:val="CharStyle30"/>
          <w:b/>
          <w:bCs/>
        </w:rPr>
        <w:t xml:space="preserve">„Telefonická podpora“ </w:t>
      </w:r>
      <w:r>
        <w:rPr>
          <w:rStyle w:val="CharStyle30"/>
        </w:rPr>
        <w:t>zahrnuje poskytnutí poradenských služeb uvedených v článku 1.1, tj. řešení menších problémů, u kterých doba řešení nepřesáhne 15 minut. Poskytnutí této služby musí být ze strany Dodavatele provedeno nejpozději do 1 (slovy: jedné) hodiny od jejího vyžádání.</w:t>
      </w:r>
    </w:p>
    <w:p>
      <w:pPr>
        <w:pStyle w:val="Style29"/>
        <w:keepNext w:val="0"/>
        <w:keepLines w:val="0"/>
        <w:widowControl w:val="0"/>
        <w:numPr>
          <w:ilvl w:val="1"/>
          <w:numId w:val="43"/>
        </w:numPr>
        <w:shd w:val="clear" w:color="auto" w:fill="auto"/>
        <w:tabs>
          <w:tab w:pos="658" w:val="left"/>
        </w:tabs>
        <w:bidi w:val="0"/>
        <w:spacing w:before="0" w:after="300"/>
        <w:ind w:right="0"/>
        <w:jc w:val="both"/>
      </w:pPr>
      <w:r>
        <w:rPr>
          <w:rStyle w:val="CharStyle30"/>
        </w:rPr>
        <w:t>Službu Hot-line mohou využívat oprávněné osoby Objednatele, jejichž kontaktní údaje zašle Objednatel Poskytovateli do 14 dnů od podpisu smlouvy. Pro komunikaci mezi Objednatelem a Poskytovatelem byly stanoveny kontaktní údaje za Poskytovatele dle tabulky uvedené v bodě 2.2.</w:t>
      </w:r>
    </w:p>
    <w:p>
      <w:pPr>
        <w:pStyle w:val="Style29"/>
        <w:keepNext w:val="0"/>
        <w:keepLines w:val="0"/>
        <w:widowControl w:val="0"/>
        <w:numPr>
          <w:ilvl w:val="0"/>
          <w:numId w:val="43"/>
        </w:numPr>
        <w:shd w:val="clear" w:color="auto" w:fill="auto"/>
        <w:tabs>
          <w:tab w:pos="341" w:val="left"/>
        </w:tabs>
        <w:bidi w:val="0"/>
        <w:spacing w:before="0" w:after="180" w:line="240" w:lineRule="auto"/>
        <w:ind w:left="0" w:right="0" w:firstLine="0"/>
        <w:jc w:val="both"/>
      </w:pPr>
      <w:r>
        <w:rPr>
          <w:rStyle w:val="CharStyle30"/>
          <w:b/>
          <w:bCs/>
        </w:rPr>
        <w:t>HELP DESK</w:t>
      </w:r>
    </w:p>
    <w:p>
      <w:pPr>
        <w:pStyle w:val="Style29"/>
        <w:keepNext w:val="0"/>
        <w:keepLines w:val="0"/>
        <w:widowControl w:val="0"/>
        <w:shd w:val="clear" w:color="auto" w:fill="auto"/>
        <w:bidi w:val="0"/>
        <w:spacing w:before="0"/>
        <w:ind w:left="200" w:right="0" w:firstLine="0"/>
        <w:jc w:val="both"/>
      </w:pPr>
      <w:r>
        <mc:AlternateContent>
          <mc:Choice Requires="wps">
            <w:drawing>
              <wp:anchor distT="0" distB="0" distL="114300" distR="114300" simplePos="0" relativeHeight="125829383" behindDoc="0" locked="0" layoutInCell="1" allowOverlap="1">
                <wp:simplePos x="0" y="0"/>
                <wp:positionH relativeFrom="page">
                  <wp:posOffset>887095</wp:posOffset>
                </wp:positionH>
                <wp:positionV relativeFrom="paragraph">
                  <wp:posOffset>12700</wp:posOffset>
                </wp:positionV>
                <wp:extent cx="179705" cy="143510"/>
                <wp:wrapSquare wrapText="right"/>
                <wp:docPr id="20" name="Shape 20"/>
                <a:graphic xmlns:a="http://schemas.openxmlformats.org/drawingml/2006/main">
                  <a:graphicData uri="http://schemas.microsoft.com/office/word/2010/wordprocessingShape">
                    <wps:wsp>
                      <wps:cNvSpPr txBox="1"/>
                      <wps:spPr>
                        <a:xfrm>
                          <a:ext cx="179705" cy="14351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2.1</w:t>
                            </w:r>
                          </w:p>
                        </w:txbxContent>
                      </wps:txbx>
                      <wps:bodyPr wrap="none" lIns="0" tIns="0" rIns="0" bIns="0">
                        <a:noAutoFit/>
                      </wps:bodyPr>
                    </wps:wsp>
                  </a:graphicData>
                </a:graphic>
              </wp:anchor>
            </w:drawing>
          </mc:Choice>
          <mc:Fallback>
            <w:pict>
              <v:shape id="_x0000_s1046" type="#_x0000_t202" style="position:absolute;margin-left:69.850000000000009pt;margin-top:1.pt;width:14.15pt;height:11.300000000000001pt;z-index:-125829370;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2.1</w:t>
                      </w:r>
                    </w:p>
                  </w:txbxContent>
                </v:textbox>
                <w10:wrap type="square" side="right" anchorx="page"/>
              </v:shape>
            </w:pict>
          </mc:Fallback>
        </mc:AlternateContent>
      </w:r>
      <w:r>
        <w:rPr>
          <w:rStyle w:val="CharStyle30"/>
        </w:rPr>
        <w:t>V rámci služby Help desk poskytuje Poskytovatel Objednateli v Pracovní dny v době od 8:00 do 17:00 hod. technickou podporu vztahující se k softwaru. Službu Help desk může využívat Objednatel prostřednictvím jím pověřených osob (dále jen „oprávněné osoby Objednatele“), jejichž kontaktní údaje zašle Objednatel Poskytovateli do 14 dnů od podpisu smlouvy. V případě změn těchto osob oznámí Objednatel Poskytovateli příslušné změny písemnou formou bez zbytečného odkladu</w:t>
      </w:r>
    </w:p>
    <w:p>
      <w:pPr>
        <w:pStyle w:val="Style29"/>
        <w:keepNext w:val="0"/>
        <w:keepLines w:val="0"/>
        <w:widowControl w:val="0"/>
        <w:shd w:val="clear" w:color="auto" w:fill="auto"/>
        <w:bidi w:val="0"/>
        <w:spacing w:before="0" w:line="240" w:lineRule="auto"/>
        <w:ind w:left="0" w:right="0" w:firstLine="0"/>
        <w:jc w:val="left"/>
      </w:pPr>
      <w:r>
        <w:rPr>
          <w:rStyle w:val="CharStyle30"/>
        </w:rPr>
        <w:t>2.2</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rPr>
        <w:t>Poskytovatel se zavazuje mít službu Help desk obsazenou konzultanty s odpovídajícími znalostmi, kteří jsou uvedeni v bodě 2.2. této přílohy, Poskytovatel má právo vyměnit jednotlivé konzultanty pouze po konzultaci a písemném schválení Objednatelem.</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rPr>
        <w:t>Hlášení problémů nebo požadavků bude provedeno oprávněným pracovníkem Objednatele jeho zadáním do aplikace Poskytovatele na Web adrese uvedené v této příloze. V případě nedostupnosti uvedeného serveru vyplní oprávněný pracovník Objednatele záložní (sekundární) Hlášení, jehož vzor formuláře je popsán níže v této příloze smlouvy a zašle jej faxem nebo jako přílohu elektronické pošty Poskytovateli. V havarijní situaci lze vést komunikaci náhradním způsobem. V případě hlášení s prioritou „A - stav nouze“ je problém hlášen současně telefonicky - viz odstavec 4.5. Objednatel bude mít možnost zadat své (externí ID) hlášení a dále možnost sledovat průběh řešení daného hlášení a využívat reporty, které jsou v aplikaci k dispozici.</w:t>
      </w:r>
    </w:p>
    <w:p>
      <w:pPr>
        <w:pStyle w:val="Style29"/>
        <w:keepNext w:val="0"/>
        <w:keepLines w:val="0"/>
        <w:widowControl w:val="0"/>
        <w:numPr>
          <w:ilvl w:val="1"/>
          <w:numId w:val="43"/>
        </w:numPr>
        <w:shd w:val="clear" w:color="auto" w:fill="auto"/>
        <w:tabs>
          <w:tab w:pos="674" w:val="left"/>
        </w:tabs>
        <w:bidi w:val="0"/>
        <w:spacing w:before="0" w:after="260"/>
        <w:ind w:right="0"/>
        <w:jc w:val="both"/>
      </w:pPr>
      <w:r>
        <w:rPr>
          <w:rStyle w:val="CharStyle30"/>
        </w:rPr>
        <w:t>Poskytovatel se zavazuje poskytovat garantovanou podporu po celou provozní dobu, tj. v pracovní dny v době od 8:00 do 17:00 hod. Garantovaná dostupnost aplikace v této provozní době je 99,5 %. Do výpadků se započítávají chyby priorit A a B dle definic v bodech 2.1 a 2.2 této přílohy. V provozní době nedojde k více jak dvěma neplánovaným výpadkům priority A a jednomu výpadku priority B za měsíc.</w:t>
      </w:r>
    </w:p>
    <w:p>
      <w:pPr>
        <w:pStyle w:val="Style29"/>
        <w:keepNext w:val="0"/>
        <w:keepLines w:val="0"/>
        <w:widowControl w:val="0"/>
        <w:numPr>
          <w:ilvl w:val="0"/>
          <w:numId w:val="43"/>
        </w:numPr>
        <w:shd w:val="clear" w:color="auto" w:fill="auto"/>
        <w:tabs>
          <w:tab w:pos="341" w:val="left"/>
        </w:tabs>
        <w:bidi w:val="0"/>
        <w:spacing w:before="0" w:after="200" w:line="240" w:lineRule="auto"/>
        <w:ind w:left="0" w:right="0" w:firstLine="0"/>
        <w:jc w:val="left"/>
      </w:pPr>
      <w:r>
        <w:rPr>
          <w:rStyle w:val="CharStyle30"/>
          <w:b/>
          <w:bCs/>
        </w:rPr>
        <w:t>DEFINICE PRIORIT / STUPŇŮ NALÉHAVOSTI</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b/>
          <w:bCs/>
        </w:rPr>
        <w:t xml:space="preserve">„A-stav nouze“ </w:t>
      </w:r>
      <w:r>
        <w:rPr>
          <w:rStyle w:val="CharStyle30"/>
        </w:rPr>
        <w:t>znamená, že systém havaruje jednou nebo několikrát za den tak, že je nepoužitelný ve svých základních funkcích, nebo pokud dojde k narušení uživatelských dat závažným způsobem (narušení konzistence databáze), eventuelně jejich ztrátě. Jedná se o stav, kdy nelze pomocí dodaného Systému realizovat některý z důležitých podnikových procesů, pro které byl Systém dodán. To plat! i pro snížení odezvy Systému, tj. více než o 30%. Tento stav může ohrozit běžný provoz případně způsobit vysoké finanční či jiné škody. Problém nelze obejít existujícími IS/IT prostředky.</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rPr>
        <w:t>„B - vážný problém“ znamená neumožnění provozu Systému pouze v určité variantě procesu nebo se jedná o chybu reportu. Patří sem i znatelné opakující se zpomalení Systému, tj. více než o 50%., funkčnost Systému je ve svých funkcích degradována tak, že tento stav omezuje běžný provoz. Problém se dá obejít existujícími IS/IT prostředky.</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rPr>
        <w:t>„C - menší problém" znamená zanedbatelné narušení funkcí Systému nebo znepříjemnění práce uživatele se Systémem. Jedná se o problém , který nepatří do kategorie „A - stav nouze“ ani „B - vážný problém“.</w:t>
      </w:r>
    </w:p>
    <w:p>
      <w:pPr>
        <w:pStyle w:val="Style29"/>
        <w:keepNext w:val="0"/>
        <w:keepLines w:val="0"/>
        <w:widowControl w:val="0"/>
        <w:numPr>
          <w:ilvl w:val="1"/>
          <w:numId w:val="43"/>
        </w:numPr>
        <w:shd w:val="clear" w:color="auto" w:fill="auto"/>
        <w:tabs>
          <w:tab w:pos="674" w:val="left"/>
        </w:tabs>
        <w:bidi w:val="0"/>
        <w:spacing w:before="0" w:after="260" w:line="262" w:lineRule="auto"/>
        <w:ind w:right="0"/>
        <w:jc w:val="both"/>
      </w:pPr>
      <w:r>
        <w:rPr>
          <w:rStyle w:val="CharStyle30"/>
        </w:rPr>
        <w:t>„D - požadavek na změnu“ znamená žádost na změnu funkcionality, chování nebo vlastností Systému, eventuelně jiná práce nespadající do rozsahu poskytovaných služeb. Nejedná o problém .</w:t>
      </w:r>
    </w:p>
    <w:p>
      <w:pPr>
        <w:pStyle w:val="Style29"/>
        <w:keepNext w:val="0"/>
        <w:keepLines w:val="0"/>
        <w:widowControl w:val="0"/>
        <w:numPr>
          <w:ilvl w:val="0"/>
          <w:numId w:val="43"/>
        </w:numPr>
        <w:shd w:val="clear" w:color="auto" w:fill="auto"/>
        <w:tabs>
          <w:tab w:pos="341" w:val="left"/>
        </w:tabs>
        <w:bidi w:val="0"/>
        <w:spacing w:before="0" w:after="200" w:line="240" w:lineRule="auto"/>
        <w:ind w:left="0" w:right="0" w:firstLine="0"/>
        <w:jc w:val="left"/>
      </w:pPr>
      <w:r>
        <w:rPr>
          <w:rStyle w:val="CharStyle30"/>
          <w:b/>
          <w:bCs/>
        </w:rPr>
        <w:t>DOBA ODEZVY A ZPŮSOB REAKCE</w:t>
      </w:r>
    </w:p>
    <w:p>
      <w:pPr>
        <w:pStyle w:val="Style29"/>
        <w:keepNext w:val="0"/>
        <w:keepLines w:val="0"/>
        <w:widowControl w:val="0"/>
        <w:numPr>
          <w:ilvl w:val="1"/>
          <w:numId w:val="43"/>
        </w:numPr>
        <w:shd w:val="clear" w:color="auto" w:fill="auto"/>
        <w:tabs>
          <w:tab w:pos="674" w:val="left"/>
        </w:tabs>
        <w:bidi w:val="0"/>
        <w:spacing w:before="0"/>
        <w:ind w:right="0"/>
        <w:jc w:val="both"/>
      </w:pPr>
      <w:r>
        <w:rPr>
          <w:rStyle w:val="CharStyle30"/>
        </w:rPr>
        <w:t>Poskytovatel vyvine maximální úsilí, které lze spravedlivě požadovat, k odstranění problému . Doby odezvy a způsoby reakce na jednotlivá Hlášení jsou uvedeny v následující tabulce:</w:t>
      </w:r>
    </w:p>
    <w:tbl>
      <w:tblPr>
        <w:tblOverlap w:val="never"/>
        <w:jc w:val="right"/>
        <w:tblLayout w:type="fixed"/>
      </w:tblPr>
      <w:tblGrid>
        <w:gridCol w:w="2424"/>
        <w:gridCol w:w="1958"/>
        <w:gridCol w:w="3984"/>
      </w:tblGrid>
      <w:tr>
        <w:trPr>
          <w:trHeight w:val="240"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Priorita Hlášení</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b/>
                <w:bCs/>
                <w:sz w:val="18"/>
                <w:szCs w:val="18"/>
              </w:rPr>
              <w:t>Odpověď do</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b/>
                <w:bCs/>
                <w:sz w:val="18"/>
                <w:szCs w:val="18"/>
              </w:rPr>
              <w:t>Vyřešeno do</w:t>
            </w:r>
          </w:p>
        </w:tc>
      </w:tr>
      <w:tr>
        <w:trPr>
          <w:trHeight w:val="23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sz w:val="18"/>
                <w:szCs w:val="18"/>
              </w:rPr>
              <w:t>A - stav nouze</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2 pracovní hodiny</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16 pracovních hodin</w:t>
            </w:r>
          </w:p>
        </w:tc>
      </w:tr>
      <w:tr>
        <w:trPr>
          <w:trHeight w:val="221"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sz w:val="18"/>
                <w:szCs w:val="18"/>
              </w:rPr>
              <w:t>B - vážný problém</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8 pracovních hodin</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4 pracovních dnů</w:t>
            </w:r>
          </w:p>
        </w:tc>
      </w:tr>
      <w:tr>
        <w:trPr>
          <w:trHeight w:val="235" w:hRule="exact"/>
        </w:trPr>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sz w:val="18"/>
                <w:szCs w:val="18"/>
              </w:rPr>
              <w:t>C - menší problém</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2 pracovního dne</w:t>
            </w:r>
          </w:p>
        </w:tc>
        <w:tc>
          <w:tcPr>
            <w:tcBorders>
              <w:top w:val="single" w:sz="4"/>
              <w:left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10 pracovních dnů</w:t>
            </w:r>
          </w:p>
        </w:tc>
      </w:tr>
      <w:tr>
        <w:trPr>
          <w:trHeight w:val="466" w:hRule="exact"/>
        </w:trPr>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sz w:val="18"/>
                <w:szCs w:val="18"/>
              </w:rPr>
              <w:t>D - požadavek na změnu</w:t>
            </w:r>
          </w:p>
        </w:tc>
        <w:tc>
          <w:tcPr>
            <w:tcBorders>
              <w:top w:val="single" w:sz="4"/>
              <w:left w:val="single" w:sz="4"/>
              <w:bottom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8 pracovní dny</w:t>
            </w:r>
          </w:p>
        </w:tc>
        <w:tc>
          <w:tcPr>
            <w:tcBorders>
              <w:top w:val="single" w:sz="4"/>
              <w:left w:val="single" w:sz="4"/>
              <w:bottom w:val="single" w:sz="4"/>
              <w:righ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center"/>
              <w:rPr>
                <w:sz w:val="18"/>
                <w:szCs w:val="18"/>
              </w:rPr>
            </w:pPr>
            <w:r>
              <w:rPr>
                <w:rStyle w:val="CharStyle13"/>
                <w:rFonts w:ascii="Arial" w:eastAsia="Arial" w:hAnsi="Arial" w:cs="Arial"/>
                <w:sz w:val="18"/>
                <w:szCs w:val="18"/>
              </w:rPr>
              <w:t>Dle objednávky / dodatku nebo přílohy smlouvy</w:t>
            </w:r>
          </w:p>
        </w:tc>
      </w:tr>
    </w:tbl>
    <w:p>
      <w:pPr>
        <w:widowControl w:val="0"/>
        <w:spacing w:after="339" w:line="1" w:lineRule="exact"/>
      </w:pPr>
    </w:p>
    <w:p>
      <w:pPr>
        <w:pStyle w:val="Style29"/>
        <w:keepNext w:val="0"/>
        <w:keepLines w:val="0"/>
        <w:widowControl w:val="0"/>
        <w:numPr>
          <w:ilvl w:val="1"/>
          <w:numId w:val="43"/>
        </w:numPr>
        <w:shd w:val="clear" w:color="auto" w:fill="auto"/>
        <w:tabs>
          <w:tab w:pos="674" w:val="left"/>
        </w:tabs>
        <w:bidi w:val="0"/>
        <w:spacing w:before="0" w:line="266" w:lineRule="auto"/>
        <w:ind w:left="0" w:right="0" w:firstLine="0"/>
        <w:jc w:val="both"/>
      </w:pPr>
      <w:r>
        <w:rPr>
          <w:rStyle w:val="CharStyle30"/>
          <w:b/>
          <w:bCs/>
        </w:rPr>
        <w:t xml:space="preserve">„Odpověď do“ </w:t>
      </w:r>
      <w:r>
        <w:rPr>
          <w:rStyle w:val="CharStyle30"/>
        </w:rPr>
        <w:t>znamená dobu, během které bude Objednateli doručeno následující:</w:t>
      </w:r>
    </w:p>
    <w:p>
      <w:pPr>
        <w:pStyle w:val="Style29"/>
        <w:keepNext w:val="0"/>
        <w:keepLines w:val="0"/>
        <w:widowControl w:val="0"/>
        <w:numPr>
          <w:ilvl w:val="0"/>
          <w:numId w:val="47"/>
        </w:numPr>
        <w:shd w:val="clear" w:color="auto" w:fill="auto"/>
        <w:tabs>
          <w:tab w:pos="1068" w:val="left"/>
        </w:tabs>
        <w:bidi w:val="0"/>
        <w:spacing w:before="0" w:line="266" w:lineRule="auto"/>
        <w:ind w:left="0" w:right="0" w:firstLine="660"/>
        <w:jc w:val="both"/>
      </w:pPr>
      <w:r>
        <w:rPr>
          <w:rStyle w:val="CharStyle30"/>
        </w:rPr>
        <w:t>Informace o převzetí Hlášení a ID Hlášení</w:t>
      </w:r>
    </w:p>
    <w:p>
      <w:pPr>
        <w:pStyle w:val="Style29"/>
        <w:keepNext w:val="0"/>
        <w:keepLines w:val="0"/>
        <w:widowControl w:val="0"/>
        <w:numPr>
          <w:ilvl w:val="0"/>
          <w:numId w:val="47"/>
        </w:numPr>
        <w:shd w:val="clear" w:color="auto" w:fill="auto"/>
        <w:tabs>
          <w:tab w:pos="1068" w:val="left"/>
        </w:tabs>
        <w:bidi w:val="0"/>
        <w:spacing w:before="0" w:line="266" w:lineRule="auto"/>
        <w:ind w:left="0" w:right="0" w:firstLine="660"/>
        <w:jc w:val="both"/>
      </w:pPr>
      <w:r>
        <w:rPr>
          <w:rStyle w:val="CharStyle30"/>
        </w:rPr>
        <w:t>Informace o přijetí nebo odmítnutí Hlášení</w:t>
      </w:r>
    </w:p>
    <w:p>
      <w:pPr>
        <w:pStyle w:val="Style29"/>
        <w:keepNext w:val="0"/>
        <w:keepLines w:val="0"/>
        <w:widowControl w:val="0"/>
        <w:numPr>
          <w:ilvl w:val="0"/>
          <w:numId w:val="47"/>
        </w:numPr>
        <w:shd w:val="clear" w:color="auto" w:fill="auto"/>
        <w:tabs>
          <w:tab w:pos="1088" w:val="left"/>
        </w:tabs>
        <w:bidi w:val="0"/>
        <w:spacing w:before="0" w:line="266" w:lineRule="auto"/>
        <w:ind w:left="1080" w:right="0" w:hanging="400"/>
        <w:jc w:val="both"/>
      </w:pPr>
      <w:r>
        <w:rPr>
          <w:rStyle w:val="CharStyle30"/>
        </w:rPr>
        <w:t>Dočasné řešení (dále jen DŘ) formou rady či doporučení náhradního postupu, (hot)patche (opravného kódu) nebo nové verze Aplikace.</w:t>
      </w:r>
    </w:p>
    <w:p>
      <w:pPr>
        <w:pStyle w:val="Style29"/>
        <w:keepNext w:val="0"/>
        <w:keepLines w:val="0"/>
        <w:widowControl w:val="0"/>
        <w:numPr>
          <w:ilvl w:val="1"/>
          <w:numId w:val="43"/>
        </w:numPr>
        <w:shd w:val="clear" w:color="auto" w:fill="auto"/>
        <w:tabs>
          <w:tab w:pos="654" w:val="left"/>
        </w:tabs>
        <w:bidi w:val="0"/>
        <w:spacing w:before="0" w:line="262" w:lineRule="auto"/>
        <w:ind w:left="0" w:right="0" w:firstLine="0"/>
        <w:jc w:val="left"/>
      </w:pPr>
      <w:r>
        <w:rPr>
          <w:rStyle w:val="CharStyle30"/>
          <w:b/>
          <w:bCs/>
        </w:rPr>
        <w:t xml:space="preserve">„Vyřešeno do“ </w:t>
      </w:r>
      <w:r>
        <w:rPr>
          <w:rStyle w:val="CharStyle30"/>
        </w:rPr>
        <w:t>znamená dobu, během které bude Objednateli doručeno následující:</w:t>
      </w:r>
    </w:p>
    <w:p>
      <w:pPr>
        <w:pStyle w:val="Style29"/>
        <w:keepNext w:val="0"/>
        <w:keepLines w:val="0"/>
        <w:widowControl w:val="0"/>
        <w:numPr>
          <w:ilvl w:val="0"/>
          <w:numId w:val="49"/>
        </w:numPr>
        <w:shd w:val="clear" w:color="auto" w:fill="auto"/>
        <w:tabs>
          <w:tab w:pos="1063" w:val="left"/>
        </w:tabs>
        <w:bidi w:val="0"/>
        <w:spacing w:before="0" w:line="262" w:lineRule="auto"/>
        <w:ind w:left="0" w:right="0" w:firstLine="660"/>
        <w:jc w:val="left"/>
      </w:pPr>
      <w:r>
        <w:rPr>
          <w:rStyle w:val="CharStyle30"/>
        </w:rPr>
        <w:t>Odstranění problému</w:t>
      </w:r>
    </w:p>
    <w:p>
      <w:pPr>
        <w:pStyle w:val="Style29"/>
        <w:keepNext w:val="0"/>
        <w:keepLines w:val="0"/>
        <w:widowControl w:val="0"/>
        <w:numPr>
          <w:ilvl w:val="0"/>
          <w:numId w:val="49"/>
        </w:numPr>
        <w:shd w:val="clear" w:color="auto" w:fill="auto"/>
        <w:tabs>
          <w:tab w:pos="1083" w:val="left"/>
        </w:tabs>
        <w:bidi w:val="0"/>
        <w:spacing w:before="0" w:line="266" w:lineRule="auto"/>
        <w:ind w:left="1080" w:right="0" w:hanging="400"/>
        <w:jc w:val="both"/>
      </w:pPr>
      <w:r>
        <w:rPr>
          <w:rStyle w:val="CharStyle30"/>
        </w:rPr>
        <w:t>V případě neodstraněni problému do stanovené lhůty se Poskytovatel zavazuje vyvinout maximální úsilí vedoucí k jeho vyřešení.</w:t>
      </w:r>
    </w:p>
    <w:p>
      <w:pPr>
        <w:pStyle w:val="Style29"/>
        <w:keepNext w:val="0"/>
        <w:keepLines w:val="0"/>
        <w:widowControl w:val="0"/>
        <w:numPr>
          <w:ilvl w:val="0"/>
          <w:numId w:val="49"/>
        </w:numPr>
        <w:shd w:val="clear" w:color="auto" w:fill="auto"/>
        <w:tabs>
          <w:tab w:pos="1063" w:val="left"/>
        </w:tabs>
        <w:bidi w:val="0"/>
        <w:spacing w:before="0" w:line="262" w:lineRule="auto"/>
        <w:ind w:left="0" w:right="0" w:firstLine="660"/>
        <w:jc w:val="left"/>
      </w:pPr>
      <w:r>
        <w:rPr>
          <w:rStyle w:val="CharStyle30"/>
        </w:rPr>
        <w:t>Finální řešení (dále jen FŘ) formou nové verze Aplikace.</w:t>
      </w:r>
    </w:p>
    <w:p>
      <w:pPr>
        <w:pStyle w:val="Style29"/>
        <w:keepNext w:val="0"/>
        <w:keepLines w:val="0"/>
        <w:widowControl w:val="0"/>
        <w:numPr>
          <w:ilvl w:val="1"/>
          <w:numId w:val="43"/>
        </w:numPr>
        <w:shd w:val="clear" w:color="auto" w:fill="auto"/>
        <w:tabs>
          <w:tab w:pos="654" w:val="left"/>
        </w:tabs>
        <w:bidi w:val="0"/>
        <w:spacing w:before="0" w:line="262" w:lineRule="auto"/>
        <w:ind w:left="0" w:right="0" w:firstLine="0"/>
        <w:jc w:val="left"/>
      </w:pPr>
      <w:r>
        <w:rPr>
          <w:rStyle w:val="CharStyle30"/>
        </w:rPr>
        <w:t>Poskytovatel povede evidenci, ze které bude patrno, ve které verzi Aplikace byla Chyba vyřešena.</w:t>
      </w:r>
    </w:p>
    <w:p>
      <w:pPr>
        <w:pStyle w:val="Style29"/>
        <w:keepNext w:val="0"/>
        <w:keepLines w:val="0"/>
        <w:widowControl w:val="0"/>
        <w:numPr>
          <w:ilvl w:val="1"/>
          <w:numId w:val="43"/>
        </w:numPr>
        <w:shd w:val="clear" w:color="auto" w:fill="auto"/>
        <w:tabs>
          <w:tab w:pos="654" w:val="left"/>
        </w:tabs>
        <w:bidi w:val="0"/>
        <w:spacing w:before="0" w:after="0" w:line="259" w:lineRule="auto"/>
        <w:ind w:left="0" w:right="0" w:firstLine="0"/>
        <w:jc w:val="left"/>
      </w:pPr>
      <w:r>
        <w:rPr>
          <w:rStyle w:val="CharStyle30"/>
        </w:rPr>
        <w:t>Pracovník HelpDesku je o Hlášení s prioritou „A - stav nouze“ a „B - vážný problém“ vždy informován</w:t>
      </w:r>
    </w:p>
    <w:p>
      <w:pPr>
        <w:pStyle w:val="Style29"/>
        <w:keepNext w:val="0"/>
        <w:keepLines w:val="0"/>
        <w:widowControl w:val="0"/>
        <w:shd w:val="clear" w:color="auto" w:fill="auto"/>
        <w:bidi w:val="0"/>
        <w:spacing w:before="0" w:line="259" w:lineRule="auto"/>
        <w:ind w:right="0" w:firstLine="20"/>
        <w:jc w:val="both"/>
      </w:pPr>
      <w:r>
        <w:rPr>
          <w:rStyle w:val="CharStyle30"/>
        </w:rPr>
        <w:t>oprávněným pracovníkem Objednatele na mobilní telefon. Přímým kontaktem na mobilním telefonu začíná běžet čas uvedený jako "Odpověď do" a "Řešení do". Vzhledem k závažnosti stavu „A - stav nouze“ a „B - vážný problém“ nebude pracovník HelpDesku odmítat neúplné Hlášení a nebude zjišťovat, zda se opravdu jedná o stav nouze nebo vážný problém</w:t>
      </w:r>
    </w:p>
    <w:p>
      <w:pPr>
        <w:pStyle w:val="Style29"/>
        <w:keepNext w:val="0"/>
        <w:keepLines w:val="0"/>
        <w:widowControl w:val="0"/>
        <w:numPr>
          <w:ilvl w:val="1"/>
          <w:numId w:val="43"/>
        </w:numPr>
        <w:shd w:val="clear" w:color="auto" w:fill="auto"/>
        <w:tabs>
          <w:tab w:pos="654" w:val="left"/>
        </w:tabs>
        <w:bidi w:val="0"/>
        <w:spacing w:before="0" w:line="262" w:lineRule="auto"/>
        <w:ind w:right="0"/>
        <w:jc w:val="both"/>
      </w:pPr>
      <w:r>
        <w:rPr>
          <w:rStyle w:val="CharStyle30"/>
        </w:rPr>
        <w:t>Lhůta na zahájení prací vedoucích k odstranění problému priority C a D se bude počítat od nahlášení problému na Help Desk.</w:t>
      </w:r>
    </w:p>
    <w:p>
      <w:pPr>
        <w:pStyle w:val="Style29"/>
        <w:keepNext w:val="0"/>
        <w:keepLines w:val="0"/>
        <w:widowControl w:val="0"/>
        <w:numPr>
          <w:ilvl w:val="1"/>
          <w:numId w:val="43"/>
        </w:numPr>
        <w:shd w:val="clear" w:color="auto" w:fill="auto"/>
        <w:tabs>
          <w:tab w:pos="654" w:val="left"/>
        </w:tabs>
        <w:bidi w:val="0"/>
        <w:spacing w:before="0" w:after="260" w:line="262" w:lineRule="auto"/>
        <w:ind w:right="0"/>
        <w:jc w:val="both"/>
      </w:pPr>
      <w:r>
        <w:rPr>
          <w:rStyle w:val="CharStyle30"/>
        </w:rPr>
        <w:t>Hlášeni je uzavřeno předáním Finálního řešení Objednateli, prokázáním, že se nejedná o problém, předáním vyjádření Poskytovatele, že řešení není možné nebo automaticky při nedodání Poskytovatelem vyžádaných informací do 3 pracovních dnů, prokazatelně potřebných k vyřešení Hlášení (doba nutná k poskytnutí takových informací není započítána do doby Odpověď do a Řešení do).</w:t>
      </w:r>
    </w:p>
    <w:p>
      <w:pPr>
        <w:pStyle w:val="Style29"/>
        <w:keepNext w:val="0"/>
        <w:keepLines w:val="0"/>
        <w:widowControl w:val="0"/>
        <w:numPr>
          <w:ilvl w:val="0"/>
          <w:numId w:val="43"/>
        </w:numPr>
        <w:shd w:val="clear" w:color="auto" w:fill="auto"/>
        <w:tabs>
          <w:tab w:pos="341" w:val="left"/>
        </w:tabs>
        <w:bidi w:val="0"/>
        <w:spacing w:before="0" w:after="180" w:line="262" w:lineRule="auto"/>
        <w:ind w:left="0" w:right="0" w:firstLine="0"/>
        <w:jc w:val="left"/>
      </w:pPr>
      <w:r>
        <w:rPr>
          <w:rStyle w:val="CharStyle30"/>
          <w:b/>
          <w:bCs/>
        </w:rPr>
        <w:t>SANKCE</w:t>
      </w:r>
    </w:p>
    <w:p>
      <w:pPr>
        <w:pStyle w:val="Style29"/>
        <w:keepNext w:val="0"/>
        <w:keepLines w:val="0"/>
        <w:widowControl w:val="0"/>
        <w:numPr>
          <w:ilvl w:val="1"/>
          <w:numId w:val="43"/>
        </w:numPr>
        <w:shd w:val="clear" w:color="auto" w:fill="auto"/>
        <w:tabs>
          <w:tab w:pos="654" w:val="left"/>
        </w:tabs>
        <w:bidi w:val="0"/>
        <w:spacing w:before="0" w:line="262" w:lineRule="auto"/>
        <w:ind w:right="0"/>
        <w:jc w:val="both"/>
      </w:pPr>
      <w:r>
        <w:rPr>
          <w:rStyle w:val="CharStyle30"/>
        </w:rPr>
        <w:t>Pokud není dohodnuto jinak, má Objednatel v případě prodlení ze strany Poskytovatele s „Odpovědí do“ nárok na užití následujících sankcí za nedodržení termínů:</w:t>
      </w:r>
    </w:p>
    <w:p>
      <w:pPr>
        <w:pStyle w:val="Style29"/>
        <w:keepNext w:val="0"/>
        <w:keepLines w:val="0"/>
        <w:widowControl w:val="0"/>
        <w:shd w:val="clear" w:color="auto" w:fill="auto"/>
        <w:bidi w:val="0"/>
        <w:spacing w:before="0" w:line="262" w:lineRule="auto"/>
        <w:ind w:left="0" w:right="0" w:firstLine="360"/>
        <w:jc w:val="left"/>
      </w:pPr>
      <w:r>
        <w:rPr>
          <w:rStyle w:val="CharStyle30"/>
        </w:rPr>
        <w:t>• 100 Kč za prodlení „Odpovědi do“ v případě vady „A" a „B“</w:t>
      </w:r>
    </w:p>
    <w:p>
      <w:pPr>
        <w:pStyle w:val="Style29"/>
        <w:keepNext w:val="0"/>
        <w:keepLines w:val="0"/>
        <w:widowControl w:val="0"/>
        <w:numPr>
          <w:ilvl w:val="1"/>
          <w:numId w:val="43"/>
        </w:numPr>
        <w:shd w:val="clear" w:color="auto" w:fill="auto"/>
        <w:tabs>
          <w:tab w:pos="654" w:val="left"/>
        </w:tabs>
        <w:bidi w:val="0"/>
        <w:spacing w:before="0"/>
        <w:ind w:right="0"/>
        <w:jc w:val="both"/>
      </w:pPr>
      <w:r>
        <w:rPr>
          <w:rStyle w:val="CharStyle30"/>
        </w:rPr>
        <w:t>Pokud není dohodnuto jinak, má Objednatel v případě prodlení ze strany Poskytovatele s „Řešením do“ nárok na užití následujících sankcí za nedodržení termínů:</w:t>
      </w:r>
    </w:p>
    <w:p>
      <w:pPr>
        <w:pStyle w:val="Style29"/>
        <w:keepNext w:val="0"/>
        <w:keepLines w:val="0"/>
        <w:widowControl w:val="0"/>
        <w:shd w:val="clear" w:color="auto" w:fill="auto"/>
        <w:bidi w:val="0"/>
        <w:spacing w:before="0" w:line="262" w:lineRule="auto"/>
        <w:ind w:left="0" w:right="0" w:firstLine="360"/>
        <w:jc w:val="left"/>
      </w:pPr>
      <w:r>
        <w:rPr>
          <w:rStyle w:val="CharStyle30"/>
        </w:rPr>
        <w:t>• 250 Kč za prodlení „Řešení do“ v případě vady „A“ a „B“</w:t>
      </w:r>
    </w:p>
    <w:p>
      <w:pPr>
        <w:pStyle w:val="Style29"/>
        <w:keepNext w:val="0"/>
        <w:keepLines w:val="0"/>
        <w:widowControl w:val="0"/>
        <w:numPr>
          <w:ilvl w:val="1"/>
          <w:numId w:val="43"/>
        </w:numPr>
        <w:shd w:val="clear" w:color="auto" w:fill="auto"/>
        <w:tabs>
          <w:tab w:pos="654" w:val="left"/>
        </w:tabs>
        <w:bidi w:val="0"/>
        <w:spacing w:before="0" w:line="262" w:lineRule="auto"/>
        <w:ind w:left="0" w:right="0" w:firstLine="0"/>
        <w:jc w:val="left"/>
      </w:pPr>
      <w:r>
        <w:rPr>
          <w:rStyle w:val="CharStyle30"/>
        </w:rPr>
        <w:t>Uplatněním sankce není dotčeno právo na náhradu škody.</w:t>
      </w:r>
      <w:r>
        <w:br w:type="page"/>
      </w:r>
    </w:p>
    <w:p>
      <w:pPr>
        <w:pStyle w:val="Style37"/>
        <w:keepNext w:val="0"/>
        <w:keepLines w:val="0"/>
        <w:widowControl w:val="0"/>
        <w:shd w:val="clear" w:color="auto" w:fill="auto"/>
        <w:bidi w:val="0"/>
        <w:spacing w:before="0" w:after="0" w:line="240" w:lineRule="auto"/>
        <w:ind w:left="24" w:right="0" w:firstLine="0"/>
        <w:jc w:val="left"/>
      </w:pPr>
      <w:r>
        <w:rPr>
          <w:rStyle w:val="CharStyle38"/>
          <w:b/>
          <w:bCs/>
        </w:rPr>
        <w:t>6 FORMULÁŘ ZÁLOŽNÍHO HLÁŠENÍ</w:t>
      </w:r>
    </w:p>
    <w:tbl>
      <w:tblPr>
        <w:tblOverlap w:val="never"/>
        <w:jc w:val="center"/>
        <w:tblLayout w:type="fixed"/>
      </w:tblPr>
      <w:tblGrid>
        <w:gridCol w:w="2616"/>
        <w:gridCol w:w="1618"/>
        <w:gridCol w:w="768"/>
        <w:gridCol w:w="1714"/>
        <w:gridCol w:w="1824"/>
        <w:gridCol w:w="749"/>
      </w:tblGrid>
      <w:tr>
        <w:trPr>
          <w:trHeight w:val="691" w:hRule="exact"/>
        </w:trPr>
        <w:tc>
          <w:tcPr>
            <w:gridSpan w:val="6"/>
            <w:tcBorders>
              <w:top w:val="single" w:sz="4"/>
              <w:left w:val="single" w:sz="4"/>
              <w:right w:val="single" w:sz="4"/>
            </w:tcBorders>
            <w:shd w:val="clear" w:color="auto" w:fill="1285D8"/>
            <w:vAlign w:val="bottom"/>
          </w:tcPr>
          <w:p>
            <w:pPr>
              <w:pStyle w:val="Style12"/>
              <w:keepNext w:val="0"/>
              <w:keepLines w:val="0"/>
              <w:widowControl w:val="0"/>
              <w:shd w:val="clear" w:color="auto" w:fill="auto"/>
              <w:bidi w:val="0"/>
              <w:spacing w:before="0" w:after="0" w:line="240" w:lineRule="auto"/>
              <w:ind w:left="0" w:right="0" w:firstLine="0"/>
              <w:jc w:val="left"/>
              <w:rPr>
                <w:sz w:val="38"/>
                <w:szCs w:val="38"/>
              </w:rPr>
            </w:pPr>
            <w:r>
              <w:rPr>
                <w:rStyle w:val="CharStyle13"/>
                <w:color w:val="0A2540"/>
                <w:sz w:val="38"/>
                <w:szCs w:val="38"/>
              </w:rPr>
              <w:t>Indentifikace problému</w:t>
            </w:r>
          </w:p>
        </w:tc>
      </w:tr>
      <w:tr>
        <w:trPr>
          <w:trHeight w:val="1075"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Stručný popis problému:</w:t>
            </w:r>
          </w:p>
        </w:tc>
        <w:tc>
          <w:tcPr>
            <w:gridSpan w:val="5"/>
            <w:tcBorders>
              <w:top w:val="single" w:sz="4"/>
              <w:left w:val="single" w:sz="4"/>
              <w:right w:val="single" w:sz="4"/>
            </w:tcBorders>
            <w:shd w:val="clear" w:color="auto" w:fill="auto"/>
            <w:vAlign w:val="top"/>
          </w:tcPr>
          <w:p>
            <w:pPr>
              <w:widowControl w:val="0"/>
              <w:rPr>
                <w:sz w:val="10"/>
                <w:szCs w:val="10"/>
              </w:rPr>
            </w:pPr>
          </w:p>
        </w:tc>
      </w:tr>
      <w:tr>
        <w:trPr>
          <w:trHeight w:val="1070"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57" w:lineRule="auto"/>
              <w:ind w:left="0" w:right="0" w:firstLine="0"/>
              <w:jc w:val="left"/>
              <w:rPr>
                <w:sz w:val="18"/>
                <w:szCs w:val="18"/>
              </w:rPr>
            </w:pPr>
            <w:r>
              <w:rPr>
                <w:rStyle w:val="CharStyle13"/>
                <w:rFonts w:ascii="Arial" w:eastAsia="Arial" w:hAnsi="Arial" w:cs="Arial"/>
                <w:b/>
                <w:bCs/>
                <w:sz w:val="18"/>
                <w:szCs w:val="18"/>
              </w:rPr>
              <w:t>Datum a čas chybového hlášení:</w:t>
            </w: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Číslo hlášení:</w:t>
            </w: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355"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Specifikace systému:</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Vývojový</w:t>
            </w: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Název systému:</w:t>
            </w:r>
          </w:p>
        </w:tc>
        <w:tc>
          <w:tcPr>
            <w:gridSpan w:val="2"/>
            <w:vMerge w:val="restart"/>
            <w:tcBorders>
              <w:top w:val="single" w:sz="4"/>
              <w:left w:val="single" w:sz="4"/>
              <w:right w:val="single" w:sz="4"/>
            </w:tcBorders>
            <w:shd w:val="clear" w:color="auto" w:fill="auto"/>
            <w:vAlign w:val="top"/>
          </w:tcPr>
          <w:p>
            <w:pPr>
              <w:widowControl w:val="0"/>
              <w:rPr>
                <w:sz w:val="10"/>
                <w:szCs w:val="10"/>
              </w:rPr>
            </w:pPr>
          </w:p>
        </w:tc>
      </w:tr>
      <w:tr>
        <w:trPr>
          <w:trHeight w:val="35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Testovací</w:t>
            </w: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center"/>
          </w:tcPr>
          <w:p>
            <w:pPr/>
          </w:p>
        </w:tc>
        <w:tc>
          <w:tcPr>
            <w:gridSpan w:val="2"/>
            <w:vMerge/>
            <w:tcBorders>
              <w:left w:val="single" w:sz="4"/>
              <w:right w:val="single" w:sz="4"/>
            </w:tcBorders>
            <w:shd w:val="clear" w:color="auto" w:fill="auto"/>
            <w:vAlign w:val="top"/>
          </w:tcPr>
          <w:p>
            <w:pPr/>
          </w:p>
        </w:tc>
      </w:tr>
      <w:tr>
        <w:trPr>
          <w:trHeight w:val="346"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Produktivní</w:t>
            </w: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center"/>
          </w:tcPr>
          <w:p>
            <w:pPr/>
          </w:p>
        </w:tc>
        <w:tc>
          <w:tcPr>
            <w:tcBorders>
              <w:left w:val="single" w:sz="4"/>
            </w:tcBorders>
            <w:shd w:val="clear" w:color="auto" w:fill="auto"/>
            <w:vAlign w:val="top"/>
          </w:tcPr>
          <w:p>
            <w:pPr>
              <w:widowControl w:val="0"/>
              <w:rPr>
                <w:sz w:val="10"/>
                <w:szCs w:val="10"/>
              </w:rPr>
            </w:pPr>
          </w:p>
        </w:tc>
        <w:tc>
          <w:tcPr>
            <w:vMerge w:val="restart"/>
            <w:tcBorders>
              <w:right w:val="single" w:sz="4"/>
            </w:tcBorders>
            <w:shd w:val="clear" w:color="auto" w:fill="auto"/>
            <w:vAlign w:val="top"/>
          </w:tcPr>
          <w:p>
            <w:pPr>
              <w:widowControl w:val="0"/>
              <w:rPr>
                <w:sz w:val="10"/>
                <w:szCs w:val="10"/>
              </w:rPr>
            </w:pPr>
          </w:p>
        </w:tc>
      </w:tr>
      <w:tr>
        <w:trPr>
          <w:trHeight w:val="682"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Zaznamenal:</w:t>
            </w: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Společnost:</w:t>
            </w:r>
          </w:p>
        </w:tc>
        <w:tc>
          <w:tcPr>
            <w:tcBorders>
              <w:top w:val="single" w:sz="4"/>
              <w:left w:val="single" w:sz="4"/>
            </w:tcBorders>
            <w:shd w:val="clear" w:color="auto" w:fill="auto"/>
            <w:vAlign w:val="top"/>
          </w:tcPr>
          <w:p>
            <w:pPr>
              <w:widowControl w:val="0"/>
              <w:rPr>
                <w:sz w:val="10"/>
                <w:szCs w:val="10"/>
              </w:rPr>
            </w:pPr>
          </w:p>
        </w:tc>
        <w:tc>
          <w:tcPr>
            <w:vMerge/>
            <w:tcBorders>
              <w:right w:val="single" w:sz="4"/>
            </w:tcBorders>
            <w:shd w:val="clear" w:color="auto" w:fill="auto"/>
            <w:vAlign w:val="top"/>
          </w:tcPr>
          <w:p>
            <w:pPr/>
          </w:p>
        </w:tc>
      </w:tr>
      <w:tr>
        <w:trPr>
          <w:trHeight w:val="696" w:hRule="exact"/>
        </w:trPr>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Telefon (email):</w:t>
            </w:r>
          </w:p>
        </w:tc>
        <w:tc>
          <w:tcPr>
            <w:gridSpan w:val="2"/>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Oblast/tým:</w:t>
            </w:r>
          </w:p>
        </w:tc>
        <w:tc>
          <w:tcPr>
            <w:gridSpan w:val="2"/>
            <w:tcBorders>
              <w:top w:val="single" w:sz="4"/>
              <w:left w:val="single" w:sz="4"/>
              <w:right w:val="single" w:sz="4"/>
            </w:tcBorders>
            <w:shd w:val="clear" w:color="auto" w:fill="auto"/>
            <w:vAlign w:val="top"/>
          </w:tcPr>
          <w:p>
            <w:pPr>
              <w:widowControl w:val="0"/>
              <w:rPr>
                <w:sz w:val="10"/>
                <w:szCs w:val="10"/>
              </w:rPr>
            </w:pPr>
          </w:p>
        </w:tc>
      </w:tr>
      <w:tr>
        <w:trPr>
          <w:trHeight w:val="302" w:hRule="exact"/>
        </w:trPr>
        <w:tc>
          <w:tcPr>
            <w:vMerge w:val="restart"/>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Priorita:</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Vysoká (1)</w:t>
            </w:r>
          </w:p>
        </w:tc>
        <w:tc>
          <w:tcPr>
            <w:tcBorders>
              <w:top w:val="single" w:sz="4"/>
              <w:left w:val="single" w:sz="4"/>
            </w:tcBorders>
            <w:shd w:val="clear" w:color="auto" w:fill="auto"/>
            <w:vAlign w:val="top"/>
          </w:tcPr>
          <w:p>
            <w:pPr>
              <w:widowControl w:val="0"/>
              <w:rPr>
                <w:sz w:val="10"/>
                <w:szCs w:val="10"/>
              </w:rPr>
            </w:pPr>
          </w:p>
        </w:tc>
        <w:tc>
          <w:tcPr>
            <w:vMerge w:val="restart"/>
            <w:tcBorders>
              <w:top w:val="single" w:sz="4"/>
              <w:lef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8"/>
                <w:szCs w:val="18"/>
              </w:rPr>
            </w:pPr>
            <w:r>
              <w:rPr>
                <w:rStyle w:val="CharStyle13"/>
                <w:rFonts w:ascii="Arial" w:eastAsia="Arial" w:hAnsi="Arial" w:cs="Arial"/>
                <w:b/>
                <w:bCs/>
                <w:sz w:val="18"/>
                <w:szCs w:val="18"/>
              </w:rPr>
              <w:t>Typ řešení:</w:t>
            </w: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Oprava</w:t>
            </w:r>
          </w:p>
        </w:tc>
        <w:tc>
          <w:tcPr>
            <w:tcBorders>
              <w:top w:val="single" w:sz="4"/>
              <w:left w:val="single" w:sz="4"/>
              <w:right w:val="single" w:sz="4"/>
            </w:tcBorders>
            <w:shd w:val="clear" w:color="auto" w:fill="auto"/>
            <w:vAlign w:val="top"/>
          </w:tcPr>
          <w:p>
            <w:pPr>
              <w:widowControl w:val="0"/>
              <w:rPr>
                <w:sz w:val="10"/>
                <w:szCs w:val="10"/>
              </w:rPr>
            </w:pPr>
          </w:p>
        </w:tc>
      </w:tr>
      <w:tr>
        <w:trPr>
          <w:trHeight w:val="341"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Střední (2)</w:t>
            </w:r>
          </w:p>
        </w:tc>
        <w:tc>
          <w:tcPr>
            <w:tcBorders>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c>
          <w:tcPr>
            <w:tcBorders>
              <w:top w:val="single" w:sz="4"/>
              <w:left w:val="single" w:sz="4"/>
            </w:tcBorders>
            <w:shd w:val="clear" w:color="auto" w:fill="auto"/>
            <w:vAlign w:val="bottom"/>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Zlepšení</w:t>
            </w:r>
          </w:p>
        </w:tc>
        <w:tc>
          <w:tcPr>
            <w:tcBorders>
              <w:top w:val="single" w:sz="4"/>
              <w:left w:val="single" w:sz="4"/>
              <w:right w:val="single" w:sz="4"/>
            </w:tcBorders>
            <w:shd w:val="clear" w:color="auto" w:fill="auto"/>
            <w:vAlign w:val="top"/>
          </w:tcPr>
          <w:p>
            <w:pPr>
              <w:widowControl w:val="0"/>
              <w:rPr>
                <w:sz w:val="10"/>
                <w:szCs w:val="10"/>
              </w:rPr>
            </w:pPr>
          </w:p>
        </w:tc>
      </w:tr>
      <w:tr>
        <w:trPr>
          <w:trHeight w:val="610" w:hRule="exact"/>
        </w:trPr>
        <w:tc>
          <w:tcPr>
            <w:vMerge/>
            <w:tcBorders>
              <w:left w:val="single" w:sz="4"/>
            </w:tcBorders>
            <w:shd w:val="clear" w:color="auto" w:fill="auto"/>
            <w:vAlign w:val="center"/>
          </w:tcPr>
          <w:p>
            <w:pP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Nízká (3)</w:t>
            </w:r>
          </w:p>
        </w:tc>
        <w:tc>
          <w:tcPr>
            <w:tcBorders>
              <w:top w:val="single" w:sz="4"/>
              <w:left w:val="single" w:sz="4"/>
            </w:tcBorders>
            <w:shd w:val="clear" w:color="auto" w:fill="auto"/>
            <w:vAlign w:val="top"/>
          </w:tcPr>
          <w:p>
            <w:pPr>
              <w:widowControl w:val="0"/>
              <w:rPr>
                <w:sz w:val="10"/>
                <w:szCs w:val="10"/>
              </w:rPr>
            </w:pPr>
          </w:p>
        </w:tc>
        <w:tc>
          <w:tcPr>
            <w:vMerge/>
            <w:tcBorders>
              <w:left w:val="single" w:sz="4"/>
            </w:tcBorders>
            <w:shd w:val="clear" w:color="auto" w:fill="auto"/>
            <w:vAlign w:val="top"/>
          </w:tcPr>
          <w:p>
            <w:pPr/>
          </w:p>
        </w:tc>
        <w:tc>
          <w:tcPr>
            <w:tcBorders>
              <w:top w:val="single" w:sz="4"/>
              <w:left w:val="single" w:sz="4"/>
            </w:tcBorders>
            <w:shd w:val="clear" w:color="auto" w:fill="auto"/>
            <w:vAlign w:val="center"/>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rPr>
              <w:t>Nová funkcionalita</w:t>
            </w:r>
          </w:p>
        </w:tc>
        <w:tc>
          <w:tcPr>
            <w:tcBorders>
              <w:top w:val="single" w:sz="4"/>
              <w:left w:val="single" w:sz="4"/>
              <w:right w:val="single" w:sz="4"/>
            </w:tcBorders>
            <w:shd w:val="clear" w:color="auto" w:fill="auto"/>
            <w:vAlign w:val="top"/>
          </w:tcPr>
          <w:p>
            <w:pPr>
              <w:widowControl w:val="0"/>
              <w:rPr>
                <w:sz w:val="10"/>
                <w:szCs w:val="10"/>
              </w:rPr>
            </w:pPr>
          </w:p>
        </w:tc>
      </w:tr>
      <w:tr>
        <w:trPr>
          <w:trHeight w:val="2112" w:hRule="exact"/>
        </w:trPr>
        <w:tc>
          <w:tcPr>
            <w:gridSpan w:val="6"/>
            <w:tcBorders>
              <w:top w:val="single" w:sz="4"/>
              <w:left w:val="single" w:sz="4"/>
              <w:bottom w:val="single" w:sz="4"/>
              <w:right w:val="single" w:sz="4"/>
            </w:tcBorders>
            <w:shd w:val="clear" w:color="auto" w:fill="auto"/>
            <w:vAlign w:val="top"/>
          </w:tcPr>
          <w:p>
            <w:pPr>
              <w:pStyle w:val="Style12"/>
              <w:keepNext w:val="0"/>
              <w:keepLines w:val="0"/>
              <w:widowControl w:val="0"/>
              <w:shd w:val="clear" w:color="auto" w:fill="auto"/>
              <w:bidi w:val="0"/>
              <w:spacing w:before="0" w:after="0" w:line="240" w:lineRule="auto"/>
              <w:ind w:left="0" w:right="0" w:firstLine="0"/>
              <w:jc w:val="left"/>
              <w:rPr>
                <w:sz w:val="16"/>
                <w:szCs w:val="16"/>
              </w:rPr>
            </w:pPr>
            <w:r>
              <w:rPr>
                <w:rStyle w:val="CharStyle13"/>
                <w:rFonts w:ascii="Arial" w:eastAsia="Arial" w:hAnsi="Arial" w:cs="Arial"/>
                <w:sz w:val="16"/>
                <w:szCs w:val="16"/>
                <w:u w:val="single"/>
              </w:rPr>
              <w:t>Podrobný popis problému:</w:t>
            </w:r>
          </w:p>
        </w:tc>
      </w:tr>
    </w:tbl>
    <w:p>
      <w:pPr>
        <w:pStyle w:val="Style37"/>
        <w:keepNext w:val="0"/>
        <w:keepLines w:val="0"/>
        <w:widowControl w:val="0"/>
        <w:shd w:val="clear" w:color="auto" w:fill="auto"/>
        <w:bidi w:val="0"/>
        <w:spacing w:before="0" w:after="0" w:line="240" w:lineRule="auto"/>
        <w:ind w:left="115" w:right="0" w:firstLine="0"/>
        <w:jc w:val="left"/>
        <w:rPr>
          <w:sz w:val="16"/>
          <w:szCs w:val="16"/>
        </w:rPr>
      </w:pPr>
      <w:r>
        <w:rPr>
          <w:rStyle w:val="CharStyle38"/>
          <w:sz w:val="16"/>
          <w:szCs w:val="16"/>
          <w:u w:val="single"/>
        </w:rPr>
        <w:t>Návrh řešení:</w:t>
      </w:r>
    </w:p>
    <w:p>
      <w:pPr>
        <w:widowControl w:val="0"/>
        <w:spacing w:after="1599" w:line="1" w:lineRule="exact"/>
      </w:pPr>
    </w:p>
    <w:p>
      <w:pPr>
        <w:pStyle w:val="Style7"/>
        <w:keepNext w:val="0"/>
        <w:keepLines w:val="0"/>
        <w:widowControl w:val="0"/>
        <w:shd w:val="clear" w:color="auto" w:fill="auto"/>
        <w:bidi w:val="0"/>
        <w:spacing w:before="0" w:after="0" w:line="240" w:lineRule="auto"/>
        <w:ind w:left="0" w:right="0" w:firstLine="140"/>
        <w:jc w:val="left"/>
      </w:pPr>
      <w:r>
        <w:rPr>
          <w:rStyle w:val="CharStyle8"/>
        </w:rPr>
        <w:t>Odhadovaný termín splnění:</w:t>
      </w:r>
    </w:p>
    <w:sectPr>
      <w:footerReference w:type="default" r:id="rId14"/>
      <w:footnotePr>
        <w:pos w:val="pageBottom"/>
        <w:numFmt w:val="decimal"/>
        <w:numRestart w:val="continuous"/>
      </w:footnotePr>
      <w:pgSz w:w="11900" w:h="16840"/>
      <w:pgMar w:top="2311" w:right="1263" w:bottom="1642" w:left="1349" w:header="1883"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940435</wp:posOffset>
              </wp:positionH>
              <wp:positionV relativeFrom="page">
                <wp:posOffset>10198735</wp:posOffset>
              </wp:positionV>
              <wp:extent cx="2475230" cy="125095"/>
              <wp:wrapNone/>
              <wp:docPr id="1" name="Shape 1"/>
              <a:graphic xmlns:a="http://schemas.openxmlformats.org/drawingml/2006/main">
                <a:graphicData uri="http://schemas.microsoft.com/office/word/2010/wordprocessingShape">
                  <wps:wsp>
                    <wps:cNvSpPr txBox="1"/>
                    <wps:spPr>
                      <a:xfrm>
                        <a:ext cx="2475230" cy="12509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i/>
                              <w:iCs/>
                            </w:rPr>
                            <w:t>Veřejná zakázka 01-24: Servis a údržba SBI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74.049999999999997pt;margin-top:803.05000000000007pt;width:194.90000000000001pt;height:9.8499999999999996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Fonts w:ascii="Arial" w:eastAsia="Arial" w:hAnsi="Arial" w:cs="Arial"/>
                        <w:i/>
                        <w:iCs/>
                      </w:rPr>
                      <w:t>Veřejná zakázka 01-24: Servis a údržba SBI</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3493135</wp:posOffset>
              </wp:positionH>
              <wp:positionV relativeFrom="page">
                <wp:posOffset>9806940</wp:posOffset>
              </wp:positionV>
              <wp:extent cx="636905" cy="91440"/>
              <wp:wrapNone/>
              <wp:docPr id="22" name="Shape 22"/>
              <a:graphic xmlns:a="http://schemas.openxmlformats.org/drawingml/2006/main">
                <a:graphicData uri="http://schemas.microsoft.com/office/word/2010/wordprocessingShape">
                  <wps:wsp>
                    <wps:cNvSpPr txBox="1"/>
                    <wps:spPr>
                      <a:xfrm>
                        <a:ext cx="63690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Arial" w:eastAsia="Arial" w:hAnsi="Arial" w:cs="Arial"/>
                              <w:sz w:val="18"/>
                              <w:szCs w:val="18"/>
                            </w:rPr>
                            <w:t xml:space="preserve">Strana </w:t>
                          </w:r>
                          <w:fldSimple w:instr=" PAGE \* MERGEFORMAT ">
                            <w:r>
                              <w:rPr>
                                <w:rStyle w:val="CharStyle5"/>
                                <w:rFonts w:ascii="Arial" w:eastAsia="Arial" w:hAnsi="Arial" w:cs="Arial"/>
                                <w:sz w:val="18"/>
                                <w:szCs w:val="18"/>
                              </w:rPr>
                              <w:t>#</w:t>
                            </w:r>
                          </w:fldSimple>
                          <w:r>
                            <w:rPr>
                              <w:rStyle w:val="CharStyle5"/>
                              <w:rFonts w:ascii="Arial" w:eastAsia="Arial" w:hAnsi="Arial" w:cs="Arial"/>
                              <w:sz w:val="18"/>
                              <w:szCs w:val="18"/>
                            </w:rPr>
                            <w:t xml:space="preserve"> z 4</w:t>
                          </w:r>
                        </w:p>
                      </w:txbxContent>
                    </wps:txbx>
                    <wps:bodyPr wrap="none" lIns="0" tIns="0" rIns="0" bIns="0">
                      <a:spAutoFit/>
                    </wps:bodyPr>
                  </wps:wsp>
                </a:graphicData>
              </a:graphic>
            </wp:anchor>
          </w:drawing>
        </mc:Choice>
        <mc:Fallback>
          <w:pict>
            <v:shape id="_x0000_s1048" type="#_x0000_t202" style="position:absolute;margin-left:275.05000000000001pt;margin-top:772.20000000000005pt;width:50.149999999999999pt;height:7.2000000000000002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8"/>
                        <w:szCs w:val="18"/>
                      </w:rPr>
                    </w:pPr>
                    <w:r>
                      <w:rPr>
                        <w:rStyle w:val="CharStyle5"/>
                        <w:rFonts w:ascii="Arial" w:eastAsia="Arial" w:hAnsi="Arial" w:cs="Arial"/>
                        <w:sz w:val="18"/>
                        <w:szCs w:val="18"/>
                      </w:rPr>
                      <w:t xml:space="preserve">Strana </w:t>
                    </w:r>
                    <w:fldSimple w:instr=" PAGE \* MERGEFORMAT ">
                      <w:r>
                        <w:rPr>
                          <w:rStyle w:val="CharStyle5"/>
                          <w:rFonts w:ascii="Arial" w:eastAsia="Arial" w:hAnsi="Arial" w:cs="Arial"/>
                          <w:sz w:val="18"/>
                          <w:szCs w:val="18"/>
                        </w:rPr>
                        <w:t>#</w:t>
                      </w:r>
                    </w:fldSimple>
                    <w:r>
                      <w:rPr>
                        <w:rStyle w:val="CharStyle5"/>
                        <w:rFonts w:ascii="Arial" w:eastAsia="Arial" w:hAnsi="Arial" w:cs="Arial"/>
                        <w:sz w:val="18"/>
                        <w:szCs w:val="18"/>
                      </w:rPr>
                      <w:t xml:space="preserve"> z 4</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896620</wp:posOffset>
              </wp:positionH>
              <wp:positionV relativeFrom="page">
                <wp:posOffset>9765665</wp:posOffset>
              </wp:positionV>
              <wp:extent cx="5840095" cy="0"/>
              <wp:wrapNone/>
              <wp:docPr id="24" name="Shape 24"/>
              <a:graphic xmlns:a="http://schemas.openxmlformats.org/drawingml/2006/main">
                <a:graphicData uri="http://schemas.microsoft.com/office/word/2010/wordprocessingShape">
                  <wps:wsp>
                    <wps:cNvCnPr/>
                    <wps:spPr>
                      <a:xfrm>
                        <a:ext cx="5840095" cy="0"/>
                      </a:xfrm>
                      <a:prstGeom prst="straightConnector1"/>
                      <a:ln w="12700">
                        <a:solidFill/>
                      </a:ln>
                    </wps:spPr>
                    <wps:bodyPr/>
                  </wps:wsp>
                </a:graphicData>
              </a:graphic>
            </wp:anchor>
          </w:drawing>
        </mc:Choice>
        <mc:Fallback>
          <w:pict>
            <v:shape o:spt="32" o:oned="true" path="m,l21600,21600e" style="position:absolute;margin-left:70.600000000000009pt;margin-top:768.95000000000005pt;width:459.85000000000002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8"/>
      <w:numFmt w:val="upperRoman"/>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start w:val="1"/>
      <w:numFmt w:val="decimal"/>
      <w:lvlText w:val="%1.%2"/>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6">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abstractNum w:abstractNumId="4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w w:val="50"/>
      <w:sz w:val="90"/>
      <w:szCs w:val="9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 (4)_"/>
    <w:basedOn w:val="DefaultParagraphFont"/>
    <w:link w:val="Style7"/>
    <w:rPr>
      <w:rFonts w:ascii="Arial" w:eastAsia="Arial" w:hAnsi="Arial" w:cs="Arial"/>
      <w:b w:val="0"/>
      <w:bCs w:val="0"/>
      <w:i w:val="0"/>
      <w:iCs w:val="0"/>
      <w:smallCaps w:val="0"/>
      <w:strike w:val="0"/>
      <w:sz w:val="16"/>
      <w:szCs w:val="16"/>
      <w:u w:val="single"/>
    </w:rPr>
  </w:style>
  <w:style w:type="character" w:customStyle="1" w:styleId="CharStyle11">
    <w:name w:val="Nadpis #2_"/>
    <w:basedOn w:val="DefaultParagraphFont"/>
    <w:link w:val="Style10"/>
    <w:rPr>
      <w:rFonts w:ascii="Times New Roman" w:eastAsia="Times New Roman" w:hAnsi="Times New Roman" w:cs="Times New Roman"/>
      <w:b/>
      <w:bCs/>
      <w:i w:val="0"/>
      <w:iCs w:val="0"/>
      <w:smallCaps w:val="0"/>
      <w:strike w:val="0"/>
      <w:sz w:val="32"/>
      <w:szCs w:val="32"/>
      <w:u w:val="none"/>
    </w:rPr>
  </w:style>
  <w:style w:type="character" w:customStyle="1" w:styleId="CharStyle13">
    <w:name w:val="Jiné_"/>
    <w:basedOn w:val="DefaultParagraphFont"/>
    <w:link w:val="Style12"/>
    <w:rPr>
      <w:rFonts w:ascii="Times New Roman" w:eastAsia="Times New Roman" w:hAnsi="Times New Roman" w:cs="Times New Roman"/>
      <w:b w:val="0"/>
      <w:bCs w:val="0"/>
      <w:i w:val="0"/>
      <w:iCs w:val="0"/>
      <w:smallCaps w:val="0"/>
      <w:strike w:val="0"/>
      <w:sz w:val="22"/>
      <w:szCs w:val="22"/>
      <w:u w:val="none"/>
    </w:rPr>
  </w:style>
  <w:style w:type="character" w:customStyle="1" w:styleId="CharStyle16">
    <w:name w:val="Základní text_"/>
    <w:basedOn w:val="DefaultParagraphFont"/>
    <w:link w:val="Style15"/>
    <w:rPr>
      <w:rFonts w:ascii="Times New Roman" w:eastAsia="Times New Roman" w:hAnsi="Times New Roman" w:cs="Times New Roman"/>
      <w:b w:val="0"/>
      <w:bCs w:val="0"/>
      <w:i w:val="0"/>
      <w:iCs w:val="0"/>
      <w:smallCaps w:val="0"/>
      <w:strike w:val="0"/>
      <w:sz w:val="22"/>
      <w:szCs w:val="22"/>
      <w:u w:val="none"/>
    </w:rPr>
  </w:style>
  <w:style w:type="character" w:customStyle="1" w:styleId="CharStyle19">
    <w:name w:val="Titulek obrázku_"/>
    <w:basedOn w:val="DefaultParagraphFont"/>
    <w:link w:val="Style18"/>
    <w:rPr>
      <w:rFonts w:ascii="Arial" w:eastAsia="Arial" w:hAnsi="Arial" w:cs="Arial"/>
      <w:b w:val="0"/>
      <w:bCs w:val="0"/>
      <w:i w:val="0"/>
      <w:iCs w:val="0"/>
      <w:smallCaps w:val="0"/>
      <w:strike w:val="0"/>
      <w:sz w:val="18"/>
      <w:szCs w:val="18"/>
      <w:u w:val="none"/>
    </w:rPr>
  </w:style>
  <w:style w:type="character" w:customStyle="1" w:styleId="CharStyle25">
    <w:name w:val="Nadpis #4_"/>
    <w:basedOn w:val="DefaultParagraphFont"/>
    <w:link w:val="Style24"/>
    <w:rPr>
      <w:rFonts w:ascii="Times New Roman" w:eastAsia="Times New Roman" w:hAnsi="Times New Roman" w:cs="Times New Roman"/>
      <w:b/>
      <w:bCs/>
      <w:i w:val="0"/>
      <w:iCs w:val="0"/>
      <w:smallCaps w:val="0"/>
      <w:strike w:val="0"/>
      <w:sz w:val="22"/>
      <w:szCs w:val="22"/>
      <w:u w:val="none"/>
    </w:rPr>
  </w:style>
  <w:style w:type="character" w:customStyle="1" w:styleId="CharStyle28">
    <w:name w:val="Nadpis #3_"/>
    <w:basedOn w:val="DefaultParagraphFont"/>
    <w:link w:val="Style27"/>
    <w:rPr>
      <w:rFonts w:ascii="Times New Roman" w:eastAsia="Times New Roman" w:hAnsi="Times New Roman" w:cs="Times New Roman"/>
      <w:b w:val="0"/>
      <w:bCs w:val="0"/>
      <w:i w:val="0"/>
      <w:iCs w:val="0"/>
      <w:smallCaps w:val="0"/>
      <w:strike w:val="0"/>
      <w:sz w:val="30"/>
      <w:szCs w:val="30"/>
      <w:u w:val="none"/>
    </w:rPr>
  </w:style>
  <w:style w:type="character" w:customStyle="1" w:styleId="CharStyle30">
    <w:name w:val="Základní text (2)_"/>
    <w:basedOn w:val="DefaultParagraphFont"/>
    <w:link w:val="Style29"/>
    <w:rPr>
      <w:rFonts w:ascii="Arial" w:eastAsia="Arial" w:hAnsi="Arial" w:cs="Arial"/>
      <w:b w:val="0"/>
      <w:bCs w:val="0"/>
      <w:i w:val="0"/>
      <w:iCs w:val="0"/>
      <w:smallCaps w:val="0"/>
      <w:strike w:val="0"/>
      <w:sz w:val="18"/>
      <w:szCs w:val="18"/>
      <w:u w:val="none"/>
    </w:rPr>
  </w:style>
  <w:style w:type="character" w:customStyle="1" w:styleId="CharStyle33">
    <w:name w:val="Základní text (3)_"/>
    <w:basedOn w:val="DefaultParagraphFont"/>
    <w:link w:val="Style32"/>
    <w:rPr>
      <w:rFonts w:ascii="Arial" w:eastAsia="Arial" w:hAnsi="Arial" w:cs="Arial"/>
      <w:b/>
      <w:bCs/>
      <w:i w:val="0"/>
      <w:iCs w:val="0"/>
      <w:smallCaps w:val="0"/>
      <w:strike w:val="0"/>
      <w:sz w:val="26"/>
      <w:szCs w:val="26"/>
      <w:u w:val="none"/>
    </w:rPr>
  </w:style>
  <w:style w:type="character" w:customStyle="1" w:styleId="CharStyle38">
    <w:name w:val="Titulek tabulky_"/>
    <w:basedOn w:val="DefaultParagraphFont"/>
    <w:link w:val="Style37"/>
    <w:rPr>
      <w:rFonts w:ascii="Arial" w:eastAsia="Arial" w:hAnsi="Arial" w:cs="Arial"/>
      <w:b/>
      <w:bCs/>
      <w:i w:val="0"/>
      <w:iCs w:val="0"/>
      <w:smallCaps w:val="0"/>
      <w:strike w:val="0"/>
      <w:sz w:val="18"/>
      <w:szCs w:val="18"/>
      <w:u w:val="none"/>
    </w:rPr>
  </w:style>
  <w:style w:type="paragraph" w:customStyle="1" w:styleId="Style2">
    <w:name w:val="Nadpis #1"/>
    <w:basedOn w:val="Normal"/>
    <w:link w:val="CharStyle3"/>
    <w:pPr>
      <w:widowControl w:val="0"/>
      <w:shd w:val="clear" w:color="auto" w:fill="auto"/>
      <w:jc w:val="right"/>
      <w:outlineLvl w:val="0"/>
    </w:pPr>
    <w:rPr>
      <w:rFonts w:ascii="Arial" w:eastAsia="Arial" w:hAnsi="Arial" w:cs="Arial"/>
      <w:b w:val="0"/>
      <w:bCs w:val="0"/>
      <w:i w:val="0"/>
      <w:iCs w:val="0"/>
      <w:smallCaps w:val="0"/>
      <w:strike w:val="0"/>
      <w:w w:val="50"/>
      <w:sz w:val="90"/>
      <w:szCs w:val="90"/>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4)"/>
    <w:basedOn w:val="Normal"/>
    <w:link w:val="CharStyle8"/>
    <w:pPr>
      <w:widowControl w:val="0"/>
      <w:shd w:val="clear" w:color="auto" w:fill="auto"/>
      <w:spacing w:after="220"/>
      <w:ind w:left="3710" w:firstLine="70"/>
    </w:pPr>
    <w:rPr>
      <w:rFonts w:ascii="Arial" w:eastAsia="Arial" w:hAnsi="Arial" w:cs="Arial"/>
      <w:b w:val="0"/>
      <w:bCs w:val="0"/>
      <w:i w:val="0"/>
      <w:iCs w:val="0"/>
      <w:smallCaps w:val="0"/>
      <w:strike w:val="0"/>
      <w:sz w:val="16"/>
      <w:szCs w:val="16"/>
      <w:u w:val="single"/>
    </w:rPr>
  </w:style>
  <w:style w:type="paragraph" w:customStyle="1" w:styleId="Style10">
    <w:name w:val="Nadpis #2"/>
    <w:basedOn w:val="Normal"/>
    <w:link w:val="CharStyle11"/>
    <w:pPr>
      <w:widowControl w:val="0"/>
      <w:shd w:val="clear" w:color="auto" w:fill="auto"/>
      <w:jc w:val="center"/>
      <w:outlineLvl w:val="1"/>
    </w:pPr>
    <w:rPr>
      <w:rFonts w:ascii="Times New Roman" w:eastAsia="Times New Roman" w:hAnsi="Times New Roman" w:cs="Times New Roman"/>
      <w:b/>
      <w:bCs/>
      <w:i w:val="0"/>
      <w:iCs w:val="0"/>
      <w:smallCaps w:val="0"/>
      <w:strike w:val="0"/>
      <w:sz w:val="32"/>
      <w:szCs w:val="32"/>
      <w:u w:val="none"/>
    </w:rPr>
  </w:style>
  <w:style w:type="paragraph" w:customStyle="1" w:styleId="Style12">
    <w:name w:val="Jiné"/>
    <w:basedOn w:val="Normal"/>
    <w:link w:val="CharStyle13"/>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15">
    <w:name w:val="Základní text"/>
    <w:basedOn w:val="Normal"/>
    <w:link w:val="CharStyle16"/>
    <w:pPr>
      <w:widowControl w:val="0"/>
      <w:shd w:val="clear" w:color="auto" w:fill="auto"/>
      <w:spacing w:after="100"/>
    </w:pPr>
    <w:rPr>
      <w:rFonts w:ascii="Times New Roman" w:eastAsia="Times New Roman" w:hAnsi="Times New Roman" w:cs="Times New Roman"/>
      <w:b w:val="0"/>
      <w:bCs w:val="0"/>
      <w:i w:val="0"/>
      <w:iCs w:val="0"/>
      <w:smallCaps w:val="0"/>
      <w:strike w:val="0"/>
      <w:sz w:val="22"/>
      <w:szCs w:val="22"/>
      <w:u w:val="none"/>
    </w:rPr>
  </w:style>
  <w:style w:type="paragraph" w:customStyle="1" w:styleId="Style18">
    <w:name w:val="Titulek obrázku"/>
    <w:basedOn w:val="Normal"/>
    <w:link w:val="CharStyle19"/>
    <w:pPr>
      <w:widowControl w:val="0"/>
      <w:shd w:val="clear" w:color="auto" w:fill="auto"/>
    </w:pPr>
    <w:rPr>
      <w:rFonts w:ascii="Arial" w:eastAsia="Arial" w:hAnsi="Arial" w:cs="Arial"/>
      <w:b w:val="0"/>
      <w:bCs w:val="0"/>
      <w:i w:val="0"/>
      <w:iCs w:val="0"/>
      <w:smallCaps w:val="0"/>
      <w:strike w:val="0"/>
      <w:sz w:val="18"/>
      <w:szCs w:val="18"/>
      <w:u w:val="none"/>
    </w:rPr>
  </w:style>
  <w:style w:type="paragraph" w:customStyle="1" w:styleId="Style24">
    <w:name w:val="Nadpis #4"/>
    <w:basedOn w:val="Normal"/>
    <w:link w:val="CharStyle25"/>
    <w:pPr>
      <w:widowControl w:val="0"/>
      <w:shd w:val="clear" w:color="auto" w:fill="auto"/>
      <w:jc w:val="center"/>
      <w:outlineLvl w:val="3"/>
    </w:pPr>
    <w:rPr>
      <w:rFonts w:ascii="Times New Roman" w:eastAsia="Times New Roman" w:hAnsi="Times New Roman" w:cs="Times New Roman"/>
      <w:b/>
      <w:bCs/>
      <w:i w:val="0"/>
      <w:iCs w:val="0"/>
      <w:smallCaps w:val="0"/>
      <w:strike w:val="0"/>
      <w:sz w:val="22"/>
      <w:szCs w:val="22"/>
      <w:u w:val="none"/>
    </w:rPr>
  </w:style>
  <w:style w:type="paragraph" w:customStyle="1" w:styleId="Style27">
    <w:name w:val="Nadpis #3"/>
    <w:basedOn w:val="Normal"/>
    <w:link w:val="CharStyle28"/>
    <w:pPr>
      <w:widowControl w:val="0"/>
      <w:shd w:val="clear" w:color="auto" w:fill="auto"/>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29">
    <w:name w:val="Základní text (2)"/>
    <w:basedOn w:val="Normal"/>
    <w:link w:val="CharStyle30"/>
    <w:pPr>
      <w:widowControl w:val="0"/>
      <w:shd w:val="clear" w:color="auto" w:fill="auto"/>
      <w:spacing w:after="100" w:line="257" w:lineRule="auto"/>
      <w:ind w:left="660" w:hanging="660"/>
    </w:pPr>
    <w:rPr>
      <w:rFonts w:ascii="Arial" w:eastAsia="Arial" w:hAnsi="Arial" w:cs="Arial"/>
      <w:b w:val="0"/>
      <w:bCs w:val="0"/>
      <w:i w:val="0"/>
      <w:iCs w:val="0"/>
      <w:smallCaps w:val="0"/>
      <w:strike w:val="0"/>
      <w:sz w:val="18"/>
      <w:szCs w:val="18"/>
      <w:u w:val="none"/>
    </w:rPr>
  </w:style>
  <w:style w:type="paragraph" w:customStyle="1" w:styleId="Style32">
    <w:name w:val="Základní text (3)"/>
    <w:basedOn w:val="Normal"/>
    <w:link w:val="CharStyle33"/>
    <w:pPr>
      <w:widowControl w:val="0"/>
      <w:shd w:val="clear" w:color="auto" w:fill="auto"/>
      <w:spacing w:after="300"/>
      <w:jc w:val="center"/>
    </w:pPr>
    <w:rPr>
      <w:rFonts w:ascii="Arial" w:eastAsia="Arial" w:hAnsi="Arial" w:cs="Arial"/>
      <w:b/>
      <w:bCs/>
      <w:i w:val="0"/>
      <w:iCs w:val="0"/>
      <w:smallCaps w:val="0"/>
      <w:strike w:val="0"/>
      <w:sz w:val="26"/>
      <w:szCs w:val="26"/>
      <w:u w:val="none"/>
    </w:rPr>
  </w:style>
  <w:style w:type="paragraph" w:customStyle="1" w:styleId="Style37">
    <w:name w:val="Titulek tabulky"/>
    <w:basedOn w:val="Normal"/>
    <w:link w:val="CharStyle38"/>
    <w:pPr>
      <w:widowControl w:val="0"/>
      <w:shd w:val="clear" w:color="auto" w:fill="auto"/>
    </w:pPr>
    <w:rPr>
      <w:rFonts w:ascii="Arial" w:eastAsia="Arial" w:hAnsi="Arial" w:cs="Arial"/>
      <w:b/>
      <w:bCs/>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png"/><Relationship Id="rId11" Type="http://schemas.openxmlformats.org/officeDocument/2006/relationships/image" Target="media/image3.pn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footer" Target="footer2.xml"/></Relationships>
</file>