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0328" w14:textId="77777777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6E0B70">
        <w:rPr>
          <w:rFonts w:ascii="Palatino Linotype" w:hAnsi="Palatino Linotype"/>
          <w:b/>
          <w:bCs/>
          <w:smallCaps/>
          <w:sz w:val="18"/>
          <w:szCs w:val="18"/>
        </w:rPr>
        <w:t>1526/2021</w:t>
      </w:r>
    </w:p>
    <w:p w14:paraId="2B941B0E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6BDEB5EF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59F68776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61B79A99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5BB2CC87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55D34ED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117852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6E0B70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6E0B70">
        <w:rPr>
          <w:rFonts w:ascii="Palatino Linotype" w:hAnsi="Palatino Linotype"/>
          <w:snapToGrid w:val="0"/>
          <w:sz w:val="18"/>
          <w:szCs w:val="18"/>
        </w:rPr>
        <w:t>pověřenou vedením</w:t>
      </w:r>
    </w:p>
    <w:p w14:paraId="13C458CB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E8F1E6A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038EAAF8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3419349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55BC0AEB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9FBCA71" w14:textId="77777777" w:rsidR="00BB6C13" w:rsidRDefault="00BB6C13" w:rsidP="000B0D90">
      <w:pPr>
        <w:rPr>
          <w:rFonts w:ascii="Palatino Linotype" w:hAnsi="Palatino Linotype"/>
          <w:b/>
          <w:sz w:val="18"/>
          <w:szCs w:val="18"/>
        </w:rPr>
      </w:pPr>
      <w:r w:rsidRPr="00BB6C13">
        <w:rPr>
          <w:rFonts w:ascii="Palatino Linotype" w:hAnsi="Palatino Linotype"/>
          <w:b/>
          <w:sz w:val="18"/>
          <w:szCs w:val="18"/>
        </w:rPr>
        <w:t>Národní památkový ústav</w:t>
      </w:r>
    </w:p>
    <w:p w14:paraId="3B920833" w14:textId="77777777" w:rsidR="00BB6C13" w:rsidRPr="00117852" w:rsidRDefault="00BB6C13" w:rsidP="000B0D90">
      <w:pPr>
        <w:rPr>
          <w:rFonts w:ascii="Palatino Linotype" w:hAnsi="Palatino Linotype"/>
          <w:sz w:val="18"/>
          <w:szCs w:val="18"/>
        </w:rPr>
      </w:pPr>
      <w:r w:rsidRPr="00117852">
        <w:rPr>
          <w:rFonts w:ascii="Palatino Linotype" w:hAnsi="Palatino Linotype"/>
          <w:sz w:val="18"/>
          <w:szCs w:val="18"/>
        </w:rPr>
        <w:t>Valdštejnské náměstí 3, 118 01 Praha 1</w:t>
      </w:r>
    </w:p>
    <w:p w14:paraId="6C515A60" w14:textId="77777777" w:rsidR="006E0B70" w:rsidRDefault="006E0B70" w:rsidP="006E0B7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</w:t>
      </w:r>
      <w:r w:rsidRPr="00BB6C13">
        <w:rPr>
          <w:rFonts w:ascii="Palatino Linotype" w:hAnsi="Palatino Linotype"/>
          <w:sz w:val="18"/>
          <w:szCs w:val="18"/>
        </w:rPr>
        <w:t xml:space="preserve">astoupený </w:t>
      </w:r>
      <w:r>
        <w:rPr>
          <w:rFonts w:ascii="Palatino Linotype" w:hAnsi="Palatino Linotype"/>
          <w:sz w:val="18"/>
          <w:szCs w:val="18"/>
        </w:rPr>
        <w:t xml:space="preserve">Mgr. Mgr. et Mgr. Petrem </w:t>
      </w:r>
      <w:proofErr w:type="spellStart"/>
      <w:r>
        <w:rPr>
          <w:rFonts w:ascii="Palatino Linotype" w:hAnsi="Palatino Linotype"/>
          <w:sz w:val="18"/>
          <w:szCs w:val="18"/>
        </w:rPr>
        <w:t>Spejchalem</w:t>
      </w:r>
      <w:proofErr w:type="spellEnd"/>
      <w:r>
        <w:rPr>
          <w:rFonts w:ascii="Palatino Linotype" w:hAnsi="Palatino Linotype"/>
          <w:sz w:val="18"/>
          <w:szCs w:val="18"/>
        </w:rPr>
        <w:t>, ředitelem územní památkové správy v Praze</w:t>
      </w:r>
    </w:p>
    <w:p w14:paraId="08050A84" w14:textId="77777777" w:rsidR="006E0B70" w:rsidRPr="00BB6C13" w:rsidRDefault="006E0B70" w:rsidP="006E0B7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doručovací adresa: </w:t>
      </w:r>
      <w:r w:rsidRPr="00BB6C13">
        <w:rPr>
          <w:rFonts w:ascii="Palatino Linotype" w:hAnsi="Palatino Linotype"/>
          <w:sz w:val="18"/>
          <w:szCs w:val="18"/>
        </w:rPr>
        <w:t>Územní památková správa v Praze, Sabinova 373/5, 130 00 Praha 3</w:t>
      </w:r>
    </w:p>
    <w:p w14:paraId="44712453" w14:textId="77777777" w:rsidR="000B0D90" w:rsidRPr="00BB6C13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 xml:space="preserve">IČ: </w:t>
      </w:r>
      <w:r w:rsidR="00BB6C13" w:rsidRPr="00BB6C13">
        <w:rPr>
          <w:rFonts w:ascii="Palatino Linotype" w:hAnsi="Palatino Linotype"/>
          <w:sz w:val="18"/>
          <w:szCs w:val="18"/>
        </w:rPr>
        <w:t>75032333</w:t>
      </w:r>
    </w:p>
    <w:p w14:paraId="438B4ABC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 xml:space="preserve">DIČ: CZ </w:t>
      </w:r>
      <w:r w:rsidR="00BB6C13" w:rsidRPr="00BB6C13">
        <w:rPr>
          <w:rFonts w:ascii="Palatino Linotype" w:hAnsi="Palatino Linotype"/>
          <w:sz w:val="18"/>
          <w:szCs w:val="18"/>
        </w:rPr>
        <w:t>75032333</w:t>
      </w:r>
    </w:p>
    <w:p w14:paraId="51BEEC2E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24779168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1A11FD74" w14:textId="77777777" w:rsidR="00B127CA" w:rsidRPr="001D381F" w:rsidRDefault="00264377" w:rsidP="0040298A">
      <w:pPr>
        <w:pStyle w:val="Nadpis1"/>
        <w:spacing w:before="480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F35073C" w14:textId="77777777" w:rsidR="00BF651C" w:rsidRPr="001D381F" w:rsidRDefault="00BF651C" w:rsidP="006A2ECE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</w:t>
      </w:r>
      <w:r w:rsidR="00BB6C13">
        <w:rPr>
          <w:rFonts w:ascii="Palatino Linotype" w:hAnsi="Palatino Linotype"/>
          <w:sz w:val="18"/>
          <w:szCs w:val="18"/>
        </w:rPr>
        <w:t>á</w:t>
      </w:r>
      <w:r w:rsidRPr="001D381F">
        <w:rPr>
          <w:rFonts w:ascii="Palatino Linotype" w:hAnsi="Palatino Linotype"/>
          <w:sz w:val="18"/>
          <w:szCs w:val="18"/>
        </w:rPr>
        <w:t xml:space="preserve">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BB6C13">
        <w:rPr>
          <w:rFonts w:ascii="Palatino Linotype" w:hAnsi="Palatino Linotype"/>
          <w:sz w:val="18"/>
          <w:szCs w:val="18"/>
        </w:rPr>
        <w:t xml:space="preserve">o </w:t>
      </w:r>
      <w:r w:rsidR="006E0B70">
        <w:rPr>
          <w:rFonts w:ascii="Palatino Linotype" w:hAnsi="Palatino Linotype"/>
          <w:sz w:val="18"/>
          <w:szCs w:val="18"/>
        </w:rPr>
        <w:t>1</w:t>
      </w:r>
      <w:r w:rsidRPr="00BB6C13">
        <w:rPr>
          <w:rFonts w:ascii="Palatino Linotype" w:hAnsi="Palatino Linotype"/>
          <w:sz w:val="18"/>
          <w:szCs w:val="18"/>
        </w:rPr>
        <w:t xml:space="preserve"> list</w:t>
      </w:r>
      <w:r w:rsidR="006E0B70">
        <w:rPr>
          <w:rFonts w:ascii="Palatino Linotype" w:hAnsi="Palatino Linotype"/>
          <w:sz w:val="18"/>
          <w:szCs w:val="18"/>
        </w:rPr>
        <w:t>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0635632" w14:textId="77777777" w:rsidR="00B127CA" w:rsidRPr="001D381F" w:rsidRDefault="00BF651C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2DEEAE5B" w14:textId="77777777" w:rsidR="00BF651C" w:rsidRPr="001D381F" w:rsidRDefault="00BF651C" w:rsidP="00BF651C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</w:t>
      </w:r>
      <w:r w:rsidR="007473CF" w:rsidRPr="001D381F">
        <w:rPr>
          <w:rFonts w:ascii="Palatino Linotype" w:hAnsi="Palatino Linotype"/>
          <w:sz w:val="18"/>
          <w:szCs w:val="18"/>
        </w:rPr>
        <w:br/>
      </w:r>
      <w:r w:rsidRPr="001D381F">
        <w:rPr>
          <w:rFonts w:ascii="Palatino Linotype" w:hAnsi="Palatino Linotype"/>
          <w:sz w:val="18"/>
          <w:szCs w:val="18"/>
        </w:rPr>
        <w:t xml:space="preserve">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lastRenderedPageBreak/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38A3AC01" w14:textId="77777777" w:rsidR="006B7DE4" w:rsidRPr="001D381F" w:rsidRDefault="006B7DE4" w:rsidP="006B7DE4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A0A7F1F" w14:textId="77777777" w:rsidR="006B7DE4" w:rsidRPr="001D381F" w:rsidRDefault="006B7DE4" w:rsidP="006B7DE4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</w:t>
      </w:r>
      <w:r w:rsidRPr="001D381F">
        <w:rPr>
          <w:rFonts w:ascii="Palatino Linotype" w:hAnsi="Palatino Linotype"/>
          <w:sz w:val="18"/>
          <w:szCs w:val="18"/>
        </w:rPr>
        <w:br/>
        <w:t>v naléhavých případech, ve kterých by mohlo dojít k jeho ohrožení.</w:t>
      </w:r>
    </w:p>
    <w:p w14:paraId="7FBBC384" w14:textId="77777777" w:rsidR="00BF651C" w:rsidRPr="001D381F" w:rsidRDefault="00BF651C" w:rsidP="00BF651C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</w:t>
      </w:r>
      <w:r w:rsidRPr="00122F6E">
        <w:rPr>
          <w:rFonts w:ascii="Palatino Linotype" w:hAnsi="Palatino Linotype"/>
          <w:sz w:val="18"/>
          <w:szCs w:val="18"/>
        </w:rPr>
        <w:t>ůjčky</w:t>
      </w:r>
      <w:r w:rsidR="00850BC7" w:rsidRPr="00122F6E">
        <w:rPr>
          <w:rFonts w:ascii="Palatino Linotype" w:hAnsi="Palatino Linotype"/>
          <w:snapToGrid/>
          <w:sz w:val="18"/>
          <w:szCs w:val="18"/>
        </w:rPr>
        <w:t>.</w:t>
      </w:r>
    </w:p>
    <w:p w14:paraId="61489783" w14:textId="77777777" w:rsidR="00BF651C" w:rsidRPr="001D381F" w:rsidRDefault="00BF651C" w:rsidP="00BF651C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8E96078" w14:textId="77777777" w:rsidR="00B56505" w:rsidRPr="001D381F" w:rsidRDefault="00BF651C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6C26BA4D" w14:textId="77777777" w:rsidR="00BF651C" w:rsidRPr="001D381F" w:rsidRDefault="00BF651C" w:rsidP="00BF651C">
      <w:pPr>
        <w:pStyle w:val="Nadpis2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24C60C98" w14:textId="77777777" w:rsidR="00BF651C" w:rsidRPr="001D381F" w:rsidRDefault="00BF651C" w:rsidP="00BF651C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5CDDD6FE" w14:textId="77777777" w:rsidR="00BF651C" w:rsidRPr="001D381F" w:rsidRDefault="00BF651C" w:rsidP="00BF651C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</w:t>
      </w:r>
      <w:r w:rsidR="00122F6E">
        <w:rPr>
          <w:rFonts w:ascii="Palatino Linotype" w:hAnsi="Palatino Linotype"/>
          <w:sz w:val="18"/>
          <w:szCs w:val="18"/>
        </w:rPr>
        <w:t>,</w:t>
      </w:r>
      <w:r w:rsidRPr="001D381F">
        <w:rPr>
          <w:rFonts w:ascii="Palatino Linotype" w:hAnsi="Palatino Linotype"/>
          <w:sz w:val="18"/>
          <w:szCs w:val="18"/>
        </w:rPr>
        <w:t xml:space="preserve">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458DBBD2" w14:textId="77777777" w:rsidR="00B127CA" w:rsidRPr="001D381F" w:rsidRDefault="007E5957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696B3031" w14:textId="77777777" w:rsidR="00A131DD" w:rsidRPr="001D381F" w:rsidRDefault="007E5957" w:rsidP="0046004C">
      <w:pPr>
        <w:pStyle w:val="jNormln"/>
        <w:numPr>
          <w:ilvl w:val="0"/>
          <w:numId w:val="22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024BDE3" w14:textId="77777777" w:rsidR="00611D17" w:rsidRPr="001D381F" w:rsidRDefault="00611D17" w:rsidP="00BB6C13">
      <w:pPr>
        <w:pStyle w:val="jNormln"/>
        <w:numPr>
          <w:ilvl w:val="0"/>
          <w:numId w:val="22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</w:t>
      </w:r>
      <w:r w:rsidRPr="00122F6E">
        <w:rPr>
          <w:rFonts w:ascii="Palatino Linotype" w:hAnsi="Palatino Linotype"/>
          <w:sz w:val="18"/>
          <w:szCs w:val="18"/>
        </w:rPr>
        <w:t>teplotě 20</w:t>
      </w:r>
      <w:r w:rsidR="00122F6E">
        <w:rPr>
          <w:rFonts w:ascii="Palatino Linotype" w:hAnsi="Palatino Linotype"/>
          <w:sz w:val="18"/>
          <w:szCs w:val="18"/>
          <w:u w:val="single"/>
        </w:rPr>
        <w:t>+</w:t>
      </w:r>
      <w:r w:rsidR="00122F6E">
        <w:rPr>
          <w:rFonts w:ascii="Palatino Linotype" w:hAnsi="Palatino Linotype"/>
          <w:sz w:val="18"/>
          <w:szCs w:val="18"/>
        </w:rPr>
        <w:t>2</w:t>
      </w:r>
      <w:r w:rsidRPr="00122F6E">
        <w:rPr>
          <w:rFonts w:ascii="Palatino Linotype" w:hAnsi="Palatino Linotype"/>
          <w:sz w:val="18"/>
          <w:szCs w:val="18"/>
        </w:rPr>
        <w:t>°C,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  <w:r w:rsidRPr="00122F6E">
        <w:rPr>
          <w:rFonts w:ascii="Palatino Linotype" w:hAnsi="Palatino Linotype"/>
          <w:sz w:val="18"/>
          <w:szCs w:val="18"/>
        </w:rPr>
        <w:t>odpruženým vozem speciálně upraveným pro přepravu uměleckých děl, v balení do hedvábného papíru v první vrstvě a měkkého materiálu – bublinové folie</w:t>
      </w:r>
      <w:r w:rsidR="00387474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="00387474">
        <w:rPr>
          <w:rFonts w:ascii="Palatino Linotype" w:hAnsi="Palatino Linotype"/>
          <w:sz w:val="18"/>
          <w:szCs w:val="18"/>
        </w:rPr>
        <w:t>tyvek</w:t>
      </w:r>
      <w:proofErr w:type="spellEnd"/>
      <w:r w:rsidR="00387474">
        <w:rPr>
          <w:rFonts w:ascii="Palatino Linotype" w:hAnsi="Palatino Linotype"/>
          <w:sz w:val="18"/>
          <w:szCs w:val="18"/>
        </w:rPr>
        <w:t>, takto vložené do vhodného</w:t>
      </w:r>
      <w:r w:rsidR="00387474" w:rsidRPr="00387474">
        <w:rPr>
          <w:rFonts w:ascii="Palatino Linotype" w:hAnsi="Palatino Linotype"/>
          <w:sz w:val="18"/>
          <w:szCs w:val="18"/>
        </w:rPr>
        <w:t xml:space="preserve"> </w:t>
      </w:r>
      <w:r w:rsidR="00387474">
        <w:rPr>
          <w:rFonts w:ascii="Palatino Linotype" w:hAnsi="Palatino Linotype"/>
          <w:sz w:val="18"/>
          <w:szCs w:val="18"/>
        </w:rPr>
        <w:t>transportního stabilního pevného obalu.</w:t>
      </w:r>
    </w:p>
    <w:p w14:paraId="2C95917F" w14:textId="77777777" w:rsidR="00B127CA" w:rsidRPr="001D381F" w:rsidRDefault="007E5957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00FB7B6C" w14:textId="77777777" w:rsidR="0046004C" w:rsidRDefault="007E5957" w:rsidP="0046004C">
      <w:pPr>
        <w:pStyle w:val="Nadpis2"/>
        <w:numPr>
          <w:ilvl w:val="0"/>
          <w:numId w:val="8"/>
        </w:numPr>
        <w:rPr>
          <w:rFonts w:ascii="Palatino Linotype" w:hAnsi="Palatino Linotype"/>
          <w:sz w:val="18"/>
          <w:szCs w:val="18"/>
        </w:rPr>
      </w:pPr>
      <w:r w:rsidRPr="0046004C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46004C">
        <w:rPr>
          <w:rFonts w:ascii="Palatino Linotype" w:hAnsi="Palatino Linotype"/>
          <w:sz w:val="18"/>
          <w:szCs w:val="18"/>
        </w:rPr>
        <w:t>V</w:t>
      </w:r>
      <w:r w:rsidRPr="0046004C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46004C">
        <w:rPr>
          <w:rFonts w:ascii="Palatino Linotype" w:hAnsi="Palatino Linotype"/>
          <w:sz w:val="18"/>
          <w:szCs w:val="18"/>
        </w:rPr>
        <w:t>P</w:t>
      </w:r>
      <w:r w:rsidRPr="0046004C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46004C">
        <w:rPr>
          <w:rFonts w:ascii="Palatino Linotype" w:hAnsi="Palatino Linotype"/>
          <w:sz w:val="18"/>
          <w:szCs w:val="18"/>
        </w:rPr>
        <w:t>okol, podepsaný oběma stranami S</w:t>
      </w:r>
      <w:r w:rsidRPr="0046004C">
        <w:rPr>
          <w:rFonts w:ascii="Palatino Linotype" w:hAnsi="Palatino Linotype"/>
          <w:sz w:val="18"/>
          <w:szCs w:val="18"/>
        </w:rPr>
        <w:t>mlouvy.</w:t>
      </w:r>
      <w:r w:rsidR="0046004C" w:rsidRPr="0046004C">
        <w:t xml:space="preserve"> </w:t>
      </w:r>
    </w:p>
    <w:p w14:paraId="4ABAA03F" w14:textId="77777777" w:rsidR="007E5957" w:rsidRPr="0046004C" w:rsidRDefault="0046004C" w:rsidP="0046004C">
      <w:pPr>
        <w:pStyle w:val="Nadpis2"/>
        <w:numPr>
          <w:ilvl w:val="0"/>
          <w:numId w:val="8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</w:t>
      </w:r>
      <w:r w:rsidRPr="0046004C">
        <w:rPr>
          <w:rFonts w:ascii="Palatino Linotype" w:hAnsi="Palatino Linotype"/>
          <w:sz w:val="18"/>
          <w:szCs w:val="18"/>
        </w:rPr>
        <w:t xml:space="preserve"> balení </w:t>
      </w:r>
      <w:r>
        <w:rPr>
          <w:rFonts w:ascii="Palatino Linotype" w:hAnsi="Palatino Linotype"/>
          <w:sz w:val="18"/>
          <w:szCs w:val="18"/>
        </w:rPr>
        <w:t xml:space="preserve">a deinstalace </w:t>
      </w:r>
      <w:r w:rsidRPr="0046004C">
        <w:rPr>
          <w:rFonts w:ascii="Palatino Linotype" w:hAnsi="Palatino Linotype"/>
          <w:sz w:val="18"/>
          <w:szCs w:val="18"/>
        </w:rPr>
        <w:t>sádrových soch (</w:t>
      </w:r>
      <w:r>
        <w:rPr>
          <w:rFonts w:ascii="Palatino Linotype" w:hAnsi="Palatino Linotype"/>
          <w:sz w:val="18"/>
          <w:szCs w:val="18"/>
        </w:rPr>
        <w:t xml:space="preserve">díla pod </w:t>
      </w:r>
      <w:proofErr w:type="spellStart"/>
      <w:r w:rsidRPr="0046004C">
        <w:rPr>
          <w:rFonts w:ascii="Palatino Linotype" w:hAnsi="Palatino Linotype"/>
          <w:sz w:val="18"/>
          <w:szCs w:val="18"/>
        </w:rPr>
        <w:t>poř</w:t>
      </w:r>
      <w:proofErr w:type="spellEnd"/>
      <w:r w:rsidRPr="0046004C">
        <w:rPr>
          <w:rFonts w:ascii="Palatino Linotype" w:hAnsi="Palatino Linotype"/>
          <w:sz w:val="18"/>
          <w:szCs w:val="18"/>
        </w:rPr>
        <w:t>. č. 3 a 4) musí být p</w:t>
      </w:r>
      <w:r>
        <w:rPr>
          <w:rFonts w:ascii="Palatino Linotype" w:hAnsi="Palatino Linotype"/>
          <w:sz w:val="18"/>
          <w:szCs w:val="18"/>
        </w:rPr>
        <w:t>řítomen restaurátor plastik z Národní galerie v Praze</w:t>
      </w:r>
      <w:r w:rsidRPr="0046004C">
        <w:rPr>
          <w:rFonts w:ascii="Palatino Linotype" w:hAnsi="Palatino Linotype"/>
          <w:sz w:val="18"/>
          <w:szCs w:val="18"/>
        </w:rPr>
        <w:t xml:space="preserve"> nebo externí restaurátor plastik</w:t>
      </w:r>
      <w:r>
        <w:rPr>
          <w:rFonts w:ascii="Palatino Linotype" w:hAnsi="Palatino Linotype"/>
          <w:sz w:val="18"/>
          <w:szCs w:val="18"/>
        </w:rPr>
        <w:t xml:space="preserve"> pověřený Vypůjčitelem.</w:t>
      </w:r>
    </w:p>
    <w:p w14:paraId="74A26BB3" w14:textId="77777777" w:rsidR="007E5957" w:rsidRPr="001D381F" w:rsidRDefault="007E5957" w:rsidP="007E5957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Nevrátí-li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předmět výpůjčky (resp. vybraná d</w:t>
      </w:r>
      <w:r w:rsidR="0058488F" w:rsidRPr="001D381F">
        <w:rPr>
          <w:rFonts w:ascii="Palatino Linotype" w:hAnsi="Palatino Linotype"/>
          <w:sz w:val="18"/>
          <w:szCs w:val="18"/>
        </w:rPr>
        <w:t>íla z předmětu výpůjčky) přímo P</w:t>
      </w:r>
      <w:r w:rsidRPr="001D381F">
        <w:rPr>
          <w:rFonts w:ascii="Palatino Linotype" w:hAnsi="Palatino Linotype"/>
          <w:sz w:val="18"/>
          <w:szCs w:val="18"/>
        </w:rPr>
        <w:t xml:space="preserve">ůjčiteli, nýbrž s jeho souhlasem je předá dalšímu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ypůjčiteli, zašle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uvedený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 bez prodlení Národní galerii v Praze protokol o předání děl, z něhož </w:t>
      </w:r>
      <w:r w:rsidR="0058488F" w:rsidRPr="001D381F">
        <w:rPr>
          <w:rFonts w:ascii="Palatino Linotype" w:hAnsi="Palatino Linotype"/>
          <w:sz w:val="18"/>
          <w:szCs w:val="18"/>
        </w:rPr>
        <w:t>bude</w:t>
      </w:r>
      <w:r w:rsidRPr="001D381F">
        <w:rPr>
          <w:rFonts w:ascii="Palatino Linotype" w:hAnsi="Palatino Linotype"/>
          <w:sz w:val="18"/>
          <w:szCs w:val="18"/>
        </w:rPr>
        <w:t xml:space="preserve"> zřejmé, od kdy přebírá odpovědnost za díla další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a v jakém stavu </w:t>
      </w:r>
      <w:r w:rsidR="000666EC" w:rsidRPr="001D381F">
        <w:rPr>
          <w:rFonts w:ascii="Palatino Linotype" w:hAnsi="Palatino Linotype"/>
          <w:sz w:val="18"/>
          <w:szCs w:val="18"/>
        </w:rPr>
        <w:t xml:space="preserve">byla </w:t>
      </w:r>
      <w:r w:rsidRPr="001D381F">
        <w:rPr>
          <w:rFonts w:ascii="Palatino Linotype" w:hAnsi="Palatino Linotype"/>
          <w:sz w:val="18"/>
          <w:szCs w:val="18"/>
        </w:rPr>
        <w:t>díla předána.</w:t>
      </w:r>
    </w:p>
    <w:p w14:paraId="160A9D07" w14:textId="77777777" w:rsidR="007E5957" w:rsidRPr="001D381F" w:rsidRDefault="007E5957" w:rsidP="007E5957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036D7B5" w14:textId="77777777" w:rsidR="00A131DD" w:rsidRPr="001D381F" w:rsidRDefault="00A131DD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42FDFD24" w14:textId="77777777" w:rsidR="006E0B70" w:rsidRPr="006E0B70" w:rsidRDefault="007E5957" w:rsidP="006E0B70">
      <w:pPr>
        <w:pStyle w:val="Nadpis2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6E0B70">
        <w:rPr>
          <w:rFonts w:ascii="Palatino Linotype" w:hAnsi="Palatino Linotype"/>
          <w:sz w:val="18"/>
          <w:szCs w:val="18"/>
        </w:rPr>
        <w:t>v právních vztazích.</w:t>
      </w:r>
    </w:p>
    <w:p w14:paraId="24E5255F" w14:textId="77777777" w:rsidR="006E0B70" w:rsidRPr="006E0B70" w:rsidRDefault="006E0B70" w:rsidP="006E0B70">
      <w:pPr>
        <w:pStyle w:val="Nadpis2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6E0B70">
        <w:rPr>
          <w:rFonts w:ascii="Palatino Linotype" w:hAnsi="Palatino Linotype"/>
          <w:sz w:val="18"/>
          <w:szCs w:val="18"/>
        </w:rPr>
        <w:t>Fotografie pro katalog výstavy i další publikace k výstavě, případně pro komerční užití, poskytne Půjčitel Vypůjčiteli na základě smlouvy o zhotovení fotografií.</w:t>
      </w:r>
    </w:p>
    <w:p w14:paraId="05D77872" w14:textId="77777777" w:rsidR="003E683E" w:rsidRPr="001D381F" w:rsidRDefault="003E683E" w:rsidP="003E683E">
      <w:pPr>
        <w:pStyle w:val="Nadpis2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3634531B" w14:textId="77777777" w:rsidR="003E683E" w:rsidRPr="001D381F" w:rsidRDefault="003E683E" w:rsidP="003E683E">
      <w:pPr>
        <w:pStyle w:val="Nadpis2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</w:t>
      </w:r>
      <w:r w:rsidR="00A263F8">
        <w:rPr>
          <w:rFonts w:ascii="Palatino Linotype" w:hAnsi="Palatino Linotype"/>
          <w:sz w:val="18"/>
          <w:szCs w:val="18"/>
        </w:rPr>
        <w:t>Vypůjčitel fotografovat žádný z </w:t>
      </w:r>
      <w:r w:rsidRPr="001D381F">
        <w:rPr>
          <w:rFonts w:ascii="Palatino Linotype" w:hAnsi="Palatino Linotype"/>
          <w:sz w:val="18"/>
          <w:szCs w:val="18"/>
        </w:rPr>
        <w:t>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1064F44D" w14:textId="77777777" w:rsidR="007E5957" w:rsidRPr="001D381F" w:rsidRDefault="007E5957" w:rsidP="003E683E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0BFCD803" w14:textId="77777777" w:rsidR="006D7123" w:rsidRDefault="00A131DD" w:rsidP="006D7123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7DF79ABE" w14:textId="77777777" w:rsidR="00526F63" w:rsidRPr="006D7123" w:rsidRDefault="00526F63" w:rsidP="006D7123">
      <w:pPr>
        <w:pStyle w:val="Nadpis2"/>
        <w:numPr>
          <w:ilvl w:val="0"/>
          <w:numId w:val="25"/>
        </w:numPr>
        <w:ind w:left="714" w:hanging="357"/>
        <w:rPr>
          <w:rFonts w:ascii="Palatino Linotype" w:hAnsi="Palatino Linotype"/>
          <w:sz w:val="18"/>
          <w:szCs w:val="18"/>
        </w:rPr>
      </w:pPr>
      <w:r w:rsidRPr="006D7123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</w:t>
      </w:r>
      <w:r w:rsidR="006E0B70" w:rsidRPr="006D7123">
        <w:rPr>
          <w:rFonts w:ascii="Palatino Linotype" w:hAnsi="Palatino Linotype"/>
          <w:sz w:val="18"/>
          <w:szCs w:val="18"/>
        </w:rPr>
        <w:t xml:space="preserve"> tiskoviny k </w:t>
      </w:r>
      <w:r w:rsidRPr="006D7123">
        <w:rPr>
          <w:rFonts w:ascii="Palatino Linotype" w:hAnsi="Palatino Linotype"/>
          <w:sz w:val="18"/>
          <w:szCs w:val="18"/>
        </w:rPr>
        <w:t>výstavě knihovně Národní galerie v Praze, a to nejpozději do dvou měsíců od jejich vydání.</w:t>
      </w:r>
    </w:p>
    <w:p w14:paraId="1EF858F2" w14:textId="77777777" w:rsidR="00A131DD" w:rsidRPr="001D381F" w:rsidRDefault="00A131DD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38790160" w14:textId="77777777" w:rsidR="0040298A" w:rsidRDefault="0040298A" w:rsidP="00621E45">
      <w:pPr>
        <w:pStyle w:val="Nadpis2"/>
        <w:numPr>
          <w:ilvl w:val="0"/>
          <w:numId w:val="21"/>
        </w:numPr>
        <w:rPr>
          <w:rFonts w:ascii="Palatino Linotype" w:hAnsi="Palatino Linotype"/>
          <w:sz w:val="18"/>
          <w:szCs w:val="18"/>
        </w:rPr>
      </w:pPr>
      <w:r w:rsidRPr="0040298A">
        <w:rPr>
          <w:rFonts w:ascii="Palatino Linotype" w:hAnsi="Palatino Linotype"/>
          <w:sz w:val="18"/>
          <w:szCs w:val="18"/>
        </w:rPr>
        <w:t xml:space="preserve">Předmět výpůjčky bude vystavován ve stabilních klimatických podmínkách. </w:t>
      </w:r>
    </w:p>
    <w:p w14:paraId="153681F7" w14:textId="77777777" w:rsidR="00B52CC7" w:rsidRPr="0040298A" w:rsidRDefault="00B52CC7" w:rsidP="00621E45">
      <w:pPr>
        <w:pStyle w:val="Nadpis2"/>
        <w:numPr>
          <w:ilvl w:val="0"/>
          <w:numId w:val="21"/>
        </w:numPr>
        <w:rPr>
          <w:rFonts w:ascii="Palatino Linotype" w:hAnsi="Palatino Linotype"/>
          <w:sz w:val="18"/>
          <w:szCs w:val="18"/>
        </w:rPr>
      </w:pPr>
      <w:r w:rsidRPr="0040298A">
        <w:rPr>
          <w:rFonts w:ascii="Palatino Linotype" w:hAnsi="Palatino Linotype"/>
          <w:sz w:val="18"/>
          <w:szCs w:val="18"/>
        </w:rPr>
        <w:t>Vypůjčitel je povinen zajistit po celou dobu výpůjčky ochranu a b</w:t>
      </w:r>
      <w:r w:rsidR="0040298A">
        <w:rPr>
          <w:rFonts w:ascii="Palatino Linotype" w:hAnsi="Palatino Linotype"/>
          <w:sz w:val="18"/>
          <w:szCs w:val="18"/>
        </w:rPr>
        <w:t>ezpečnost předmětu výpůjčky,</w:t>
      </w:r>
      <w:r w:rsidRPr="0040298A">
        <w:rPr>
          <w:rFonts w:ascii="Palatino Linotype" w:hAnsi="Palatino Linotype"/>
          <w:sz w:val="18"/>
          <w:szCs w:val="18"/>
        </w:rPr>
        <w:t xml:space="preserve"> zejména</w:t>
      </w:r>
      <w:r w:rsidR="0040298A">
        <w:rPr>
          <w:rFonts w:ascii="Palatino Linotype" w:hAnsi="Palatino Linotype"/>
          <w:sz w:val="18"/>
          <w:szCs w:val="18"/>
        </w:rPr>
        <w:t xml:space="preserve"> proti odcizení, poškození a ztrátě, a bezpe</w:t>
      </w:r>
      <w:r w:rsidRPr="0040298A">
        <w:rPr>
          <w:rFonts w:ascii="Palatino Linotype" w:hAnsi="Palatino Linotype"/>
          <w:sz w:val="18"/>
          <w:szCs w:val="18"/>
        </w:rPr>
        <w:t>čné upevnění exponátů.</w:t>
      </w:r>
    </w:p>
    <w:p w14:paraId="67249C26" w14:textId="77777777" w:rsidR="00A131DD" w:rsidRPr="001D381F" w:rsidRDefault="00526F63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02873939" w14:textId="77777777" w:rsidR="007E5957" w:rsidRPr="001D381F" w:rsidRDefault="00526F63" w:rsidP="006E0B70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AC3D7A" w:rsidRPr="001D381F">
        <w:rPr>
          <w:rFonts w:ascii="Palatino Linotype" w:hAnsi="Palatino Linotype"/>
          <w:sz w:val="18"/>
          <w:szCs w:val="18"/>
        </w:rPr>
        <w:t>Praha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18AAE3E6" w14:textId="77777777" w:rsidR="00526F63" w:rsidRPr="00387474" w:rsidRDefault="00526F63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387474">
        <w:rPr>
          <w:rFonts w:ascii="Palatino Linotype" w:hAnsi="Palatino Linotype"/>
          <w:sz w:val="18"/>
          <w:szCs w:val="18"/>
        </w:rPr>
        <w:t>Uveřejnění Smlouvy v registru smluv</w:t>
      </w:r>
    </w:p>
    <w:p w14:paraId="6EF5BE21" w14:textId="77777777" w:rsidR="002D5827" w:rsidRPr="00387474" w:rsidRDefault="002D5827" w:rsidP="003C4538">
      <w:pPr>
        <w:pStyle w:val="jNormln"/>
        <w:rPr>
          <w:rFonts w:ascii="Palatino Linotype" w:hAnsi="Palatino Linotype"/>
          <w:sz w:val="18"/>
          <w:szCs w:val="18"/>
        </w:rPr>
      </w:pPr>
      <w:r w:rsidRPr="00387474">
        <w:rPr>
          <w:rFonts w:ascii="Palatino Linotype" w:hAnsi="Palatino Linotype"/>
          <w:sz w:val="18"/>
          <w:szCs w:val="18"/>
        </w:rPr>
        <w:t xml:space="preserve">Tuto </w:t>
      </w:r>
      <w:r w:rsidR="0058488F" w:rsidRPr="00387474">
        <w:rPr>
          <w:rFonts w:ascii="Palatino Linotype" w:hAnsi="Palatino Linotype"/>
          <w:sz w:val="18"/>
          <w:szCs w:val="18"/>
        </w:rPr>
        <w:t>S</w:t>
      </w:r>
      <w:r w:rsidRPr="0038747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387474">
        <w:rPr>
          <w:rFonts w:ascii="Palatino Linotype" w:hAnsi="Palatino Linotype"/>
          <w:sz w:val="18"/>
          <w:szCs w:val="18"/>
        </w:rPr>
        <w:t>Půjčitel. Příloha č. 1 této S</w:t>
      </w:r>
      <w:r w:rsidRPr="0038747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387474">
        <w:rPr>
          <w:rFonts w:ascii="Palatino Linotype" w:hAnsi="Palatino Linotype"/>
          <w:sz w:val="18"/>
          <w:szCs w:val="18"/>
        </w:rPr>
        <w:t>ědictví a sbírek P</w:t>
      </w:r>
      <w:r w:rsidRPr="0038747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387474">
        <w:rPr>
          <w:rFonts w:ascii="Palatino Linotype" w:hAnsi="Palatino Linotype"/>
          <w:sz w:val="18"/>
          <w:szCs w:val="18"/>
        </w:rPr>
        <w:t>P</w:t>
      </w:r>
      <w:r w:rsidRPr="0038747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387474">
        <w:rPr>
          <w:rFonts w:ascii="Palatino Linotype" w:hAnsi="Palatino Linotype"/>
          <w:sz w:val="18"/>
          <w:szCs w:val="18"/>
        </w:rPr>
        <w:t>S</w:t>
      </w:r>
      <w:r w:rsidRPr="00387474">
        <w:rPr>
          <w:rFonts w:ascii="Palatino Linotype" w:hAnsi="Palatino Linotype"/>
          <w:sz w:val="18"/>
          <w:szCs w:val="18"/>
        </w:rPr>
        <w:t xml:space="preserve">mlouvy </w:t>
      </w:r>
      <w:r w:rsidR="0058488F" w:rsidRPr="00387474">
        <w:rPr>
          <w:rFonts w:ascii="Palatino Linotype" w:hAnsi="Palatino Linotype"/>
          <w:sz w:val="18"/>
          <w:szCs w:val="18"/>
        </w:rPr>
        <w:t>V</w:t>
      </w:r>
      <w:r w:rsidRPr="0038747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387474">
        <w:rPr>
          <w:rFonts w:ascii="Palatino Linotype" w:hAnsi="Palatino Linotype"/>
          <w:sz w:val="18"/>
          <w:szCs w:val="18"/>
        </w:rPr>
        <w:t>P</w:t>
      </w:r>
      <w:r w:rsidRPr="0038747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387474">
        <w:rPr>
          <w:rFonts w:ascii="Palatino Linotype" w:hAnsi="Palatino Linotype"/>
          <w:sz w:val="18"/>
          <w:szCs w:val="18"/>
        </w:rPr>
        <w:t>P</w:t>
      </w:r>
      <w:r w:rsidRPr="0038747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387474">
        <w:rPr>
          <w:rFonts w:ascii="Palatino Linotype" w:hAnsi="Palatino Linotype"/>
          <w:sz w:val="18"/>
          <w:szCs w:val="18"/>
        </w:rPr>
        <w:t>P</w:t>
      </w:r>
      <w:r w:rsidRPr="00387474">
        <w:rPr>
          <w:rFonts w:ascii="Palatino Linotype" w:hAnsi="Palatino Linotype"/>
          <w:sz w:val="18"/>
          <w:szCs w:val="18"/>
        </w:rPr>
        <w:t>ůj</w:t>
      </w:r>
      <w:r w:rsidR="0058488F" w:rsidRPr="00387474">
        <w:rPr>
          <w:rFonts w:ascii="Palatino Linotype" w:hAnsi="Palatino Linotype"/>
          <w:sz w:val="18"/>
          <w:szCs w:val="18"/>
        </w:rPr>
        <w:t>čitel je dále oprávněn od této S</w:t>
      </w:r>
      <w:r w:rsidRPr="00387474">
        <w:rPr>
          <w:rFonts w:ascii="Palatino Linotype" w:hAnsi="Palatino Linotype"/>
          <w:sz w:val="18"/>
          <w:szCs w:val="18"/>
        </w:rPr>
        <w:t>mlouvy odstoupit.</w:t>
      </w:r>
      <w:r w:rsidR="003C4538" w:rsidRPr="0038747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387474">
        <w:rPr>
          <w:rFonts w:ascii="Palatino Linotype" w:hAnsi="Palatino Linotype"/>
          <w:sz w:val="18"/>
          <w:szCs w:val="18"/>
        </w:rPr>
        <w:t>S</w:t>
      </w:r>
      <w:r w:rsidR="003C4538" w:rsidRPr="00387474">
        <w:rPr>
          <w:rFonts w:ascii="Palatino Linotype" w:hAnsi="Palatino Linotype"/>
          <w:sz w:val="18"/>
          <w:szCs w:val="18"/>
        </w:rPr>
        <w:t xml:space="preserve">mlouvě za informace, které nemají </w:t>
      </w:r>
      <w:r w:rsidR="003C4538" w:rsidRPr="00387474">
        <w:rPr>
          <w:rFonts w:ascii="Palatino Linotype" w:hAnsi="Palatino Linotype"/>
          <w:sz w:val="18"/>
          <w:szCs w:val="18"/>
        </w:rPr>
        <w:lastRenderedPageBreak/>
        <w:t xml:space="preserve">být uveřejněny v registru smluv dle zákona o registru smluv, je povinna na to Národní galerii v Praze současně s uzavřením této </w:t>
      </w:r>
      <w:r w:rsidR="00314558" w:rsidRPr="00387474">
        <w:rPr>
          <w:rFonts w:ascii="Palatino Linotype" w:hAnsi="Palatino Linotype"/>
          <w:sz w:val="18"/>
          <w:szCs w:val="18"/>
        </w:rPr>
        <w:t>S</w:t>
      </w:r>
      <w:r w:rsidR="003C4538" w:rsidRPr="00387474">
        <w:rPr>
          <w:rFonts w:ascii="Palatino Linotype" w:hAnsi="Palatino Linotype"/>
          <w:sz w:val="18"/>
          <w:szCs w:val="18"/>
        </w:rPr>
        <w:t>mlouvy písemně upozornit.</w:t>
      </w:r>
    </w:p>
    <w:p w14:paraId="648BE515" w14:textId="77777777" w:rsidR="00B127CA" w:rsidRPr="001D381F" w:rsidRDefault="007E5957" w:rsidP="0040298A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65E04273" w14:textId="77777777" w:rsidR="007E5957" w:rsidRPr="001D381F" w:rsidRDefault="007E5957" w:rsidP="007E5957">
      <w:pPr>
        <w:pStyle w:val="Nadpis2"/>
        <w:numPr>
          <w:ilvl w:val="0"/>
          <w:numId w:val="10"/>
        </w:num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67621E3A" w14:textId="77777777" w:rsidR="007E5957" w:rsidRPr="001D381F" w:rsidRDefault="007E5957" w:rsidP="007E5957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A2E78DA" w14:textId="77777777" w:rsidR="007E5957" w:rsidRPr="001D381F" w:rsidRDefault="007E5957" w:rsidP="007E5957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23DF1E9C" w14:textId="77777777" w:rsidR="007E5957" w:rsidRPr="001D381F" w:rsidRDefault="007E5957" w:rsidP="007E5957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41A6113A" w14:textId="77777777" w:rsidR="002F721F" w:rsidRDefault="002F721F" w:rsidP="002F721F">
      <w:pPr>
        <w:pStyle w:val="Nadpis2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platnosti a </w:t>
      </w:r>
      <w:r w:rsidRPr="00387474">
        <w:rPr>
          <w:rFonts w:ascii="Palatino Linotype" w:hAnsi="Palatino Linotype"/>
          <w:sz w:val="18"/>
          <w:szCs w:val="18"/>
        </w:rPr>
        <w:t>účinnosti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1AEFADA6" w14:textId="77777777" w:rsidR="00BE3DAB" w:rsidRPr="00387474" w:rsidRDefault="00BE3DAB" w:rsidP="00BE3DAB">
      <w:pPr>
        <w:pStyle w:val="Nadpis2"/>
        <w:rPr>
          <w:rFonts w:ascii="Palatino Linotype" w:hAnsi="Palatino Linotype"/>
          <w:sz w:val="18"/>
          <w:szCs w:val="18"/>
        </w:rPr>
      </w:pPr>
      <w:r w:rsidRPr="00387474">
        <w:rPr>
          <w:rFonts w:ascii="Palatino Linotype" w:hAnsi="Palatino Linotype"/>
          <w:sz w:val="18"/>
          <w:szCs w:val="18"/>
        </w:rPr>
        <w:t>Tato smlouva navazuje na</w:t>
      </w:r>
      <w:r w:rsidR="006E0B70">
        <w:rPr>
          <w:rFonts w:ascii="Palatino Linotype" w:hAnsi="Palatino Linotype"/>
          <w:sz w:val="18"/>
          <w:szCs w:val="18"/>
        </w:rPr>
        <w:t xml:space="preserve"> smlouvu o výpůjčce č.j. NG 1947</w:t>
      </w:r>
      <w:r w:rsidR="00387474" w:rsidRPr="00387474">
        <w:rPr>
          <w:rFonts w:ascii="Palatino Linotype" w:hAnsi="Palatino Linotype"/>
          <w:sz w:val="18"/>
          <w:szCs w:val="18"/>
        </w:rPr>
        <w:t>/201</w:t>
      </w:r>
      <w:r w:rsidR="006E0B70">
        <w:rPr>
          <w:rFonts w:ascii="Palatino Linotype" w:hAnsi="Palatino Linotype"/>
          <w:sz w:val="18"/>
          <w:szCs w:val="18"/>
        </w:rPr>
        <w:t xml:space="preserve">9 ze dne 11. </w:t>
      </w:r>
      <w:r w:rsidR="00A263F8">
        <w:rPr>
          <w:rFonts w:ascii="Palatino Linotype" w:hAnsi="Palatino Linotype"/>
          <w:sz w:val="18"/>
          <w:szCs w:val="18"/>
        </w:rPr>
        <w:t>března</w:t>
      </w:r>
      <w:r w:rsidR="006E0B70">
        <w:rPr>
          <w:rFonts w:ascii="Palatino Linotype" w:hAnsi="Palatino Linotype"/>
          <w:sz w:val="18"/>
          <w:szCs w:val="18"/>
        </w:rPr>
        <w:t xml:space="preserve"> 2020</w:t>
      </w:r>
      <w:r w:rsidR="002A317B">
        <w:rPr>
          <w:rFonts w:ascii="Palatino Linotype" w:hAnsi="Palatino Linotype"/>
          <w:sz w:val="18"/>
          <w:szCs w:val="18"/>
        </w:rPr>
        <w:t xml:space="preserve"> ve znění pozdějších dodatků</w:t>
      </w:r>
      <w:r w:rsidR="00FF3BCF">
        <w:rPr>
          <w:rFonts w:ascii="Palatino Linotype" w:hAnsi="Palatino Linotype"/>
          <w:sz w:val="18"/>
          <w:szCs w:val="18"/>
        </w:rPr>
        <w:t>.</w:t>
      </w:r>
    </w:p>
    <w:p w14:paraId="77E56908" w14:textId="77777777" w:rsidR="00BE3DAB" w:rsidRPr="00BE3DAB" w:rsidRDefault="00BE3DAB" w:rsidP="00BE3DAB"/>
    <w:p w14:paraId="36FB4CCC" w14:textId="77777777" w:rsidR="00117852" w:rsidRPr="006E0B70" w:rsidRDefault="002062FB" w:rsidP="0040298A">
      <w:pPr>
        <w:keepNext/>
        <w:numPr>
          <w:ilvl w:val="0"/>
          <w:numId w:val="13"/>
        </w:numPr>
        <w:spacing w:before="480" w:line="240" w:lineRule="auto"/>
        <w:ind w:left="714" w:hanging="357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61BDEF5F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4E94F15E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2FC8588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C9B78D6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377A00E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F440BBB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3082EC30" w14:textId="77777777" w:rsidR="006E0B70" w:rsidRPr="001D381F" w:rsidRDefault="006E0B70" w:rsidP="006E0B70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 xml:space="preserve">Mgr. Mgr. et Mgr. Petr </w:t>
      </w:r>
      <w:proofErr w:type="spellStart"/>
      <w:r>
        <w:rPr>
          <w:rFonts w:ascii="Palatino Linotype" w:hAnsi="Palatino Linotype"/>
          <w:snapToGrid w:val="0"/>
          <w:sz w:val="18"/>
          <w:szCs w:val="18"/>
        </w:rPr>
        <w:t>Spejchal</w:t>
      </w:r>
      <w:proofErr w:type="spellEnd"/>
    </w:p>
    <w:p w14:paraId="29ABAC74" w14:textId="77777777" w:rsidR="006E0B70" w:rsidRPr="001D381F" w:rsidRDefault="006E0B70" w:rsidP="006E0B70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Pověřena vedením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 xml:space="preserve">Odboru dokumentace </w:t>
      </w:r>
      <w:proofErr w:type="spellStart"/>
      <w:r>
        <w:rPr>
          <w:rFonts w:ascii="Palatino Linotype" w:hAnsi="Palatino Linotype"/>
          <w:snapToGrid w:val="0"/>
          <w:sz w:val="18"/>
          <w:szCs w:val="18"/>
        </w:rPr>
        <w:t>sbírk</w:t>
      </w:r>
      <w:proofErr w:type="spellEnd"/>
      <w:r>
        <w:rPr>
          <w:rFonts w:ascii="Palatino Linotype" w:hAnsi="Palatino Linotype"/>
          <w:snapToGrid w:val="0"/>
          <w:sz w:val="18"/>
          <w:szCs w:val="18"/>
        </w:rPr>
        <w:t>. fondu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ředitel NPÚ-ÚPS v Praze</w:t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14:paraId="3A03AEC4" w14:textId="77777777" w:rsidR="006E0B70" w:rsidRPr="001D381F" w:rsidRDefault="006E0B70" w:rsidP="006E0B70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  <w:sectPr w:rsidR="006E0B70" w:rsidRPr="001D381F" w:rsidSect="007E5702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6B02044C" w14:textId="523B2806" w:rsidR="001D381F" w:rsidRPr="001D381F" w:rsidRDefault="00E8272E" w:rsidP="00E96236">
      <w:pPr>
        <w:rPr>
          <w:rFonts w:ascii="Palatino Linotype" w:hAnsi="Palatino Linotype"/>
          <w:sz w:val="18"/>
          <w:szCs w:val="18"/>
          <w:highlight w:val="magenta"/>
        </w:rPr>
      </w:pPr>
      <w:r w:rsidRPr="007D3CBB">
        <w:rPr>
          <w:rFonts w:ascii="Palatino Linotype" w:hAnsi="Palatino Linotype"/>
          <w:sz w:val="18"/>
          <w:szCs w:val="18"/>
        </w:rPr>
        <w:lastRenderedPageBreak/>
        <w:t xml:space="preserve"> </w:t>
      </w:r>
    </w:p>
    <w:sectPr w:rsidR="001D381F" w:rsidRPr="001D381F" w:rsidSect="00E96236"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440F" w14:textId="77777777" w:rsidR="005A6D83" w:rsidRDefault="005A6D83" w:rsidP="007013F0">
      <w:r>
        <w:separator/>
      </w:r>
    </w:p>
  </w:endnote>
  <w:endnote w:type="continuationSeparator" w:id="0">
    <w:p w14:paraId="7EF9234E" w14:textId="77777777" w:rsidR="005A6D83" w:rsidRDefault="005A6D83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91F" w14:textId="77777777" w:rsidR="006E0B70" w:rsidRDefault="006E0B70">
    <w:pPr>
      <w:pStyle w:val="Zpat"/>
    </w:pPr>
  </w:p>
  <w:p w14:paraId="504C1ACE" w14:textId="77777777" w:rsidR="006E0B70" w:rsidRDefault="006E0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4C29" w14:textId="7FFAFC48" w:rsidR="006E0B70" w:rsidRDefault="006E0B70" w:rsidP="007E5702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A317B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9623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C993" w14:textId="0A414ED2" w:rsidR="006E0B70" w:rsidRDefault="006E0B70" w:rsidP="007E5702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A317B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9623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BE4" w14:textId="0FEA16E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2A317B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96236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948F" w14:textId="77777777" w:rsidR="005A6D83" w:rsidRDefault="005A6D83" w:rsidP="007013F0">
      <w:r>
        <w:separator/>
      </w:r>
    </w:p>
  </w:footnote>
  <w:footnote w:type="continuationSeparator" w:id="0">
    <w:p w14:paraId="4A0A5642" w14:textId="77777777" w:rsidR="005A6D83" w:rsidRDefault="005A6D83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06BC" w14:textId="77777777" w:rsidR="006E0B70" w:rsidRDefault="006E0B70" w:rsidP="007E5702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776" behindDoc="0" locked="1" layoutInCell="1" allowOverlap="1" wp14:anchorId="6F23E2E0" wp14:editId="4EC3A2BC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409BB" w14:textId="77777777" w:rsidR="006E0B70" w:rsidRDefault="006E0B70" w:rsidP="007E5702">
    <w:pPr>
      <w:pStyle w:val="Zhlav"/>
    </w:pPr>
  </w:p>
  <w:p w14:paraId="4DA5FD96" w14:textId="77777777" w:rsidR="006E0B70" w:rsidRDefault="006E0B70" w:rsidP="007E5702">
    <w:pPr>
      <w:pStyle w:val="Zhlav"/>
    </w:pPr>
  </w:p>
  <w:p w14:paraId="73FE353C" w14:textId="77777777" w:rsidR="006E0B70" w:rsidRPr="001D381F" w:rsidRDefault="006E0B70" w:rsidP="007E57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D3B3D43"/>
    <w:multiLevelType w:val="hybridMultilevel"/>
    <w:tmpl w:val="C1C42726"/>
    <w:lvl w:ilvl="0" w:tplc="2FCAB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F72AF"/>
    <w:multiLevelType w:val="hybridMultilevel"/>
    <w:tmpl w:val="3908692C"/>
    <w:lvl w:ilvl="0" w:tplc="C2BE6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66125716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FB4816"/>
    <w:multiLevelType w:val="hybridMultilevel"/>
    <w:tmpl w:val="DBECADB8"/>
    <w:lvl w:ilvl="0" w:tplc="A05C84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51809005">
    <w:abstractNumId w:val="0"/>
  </w:num>
  <w:num w:numId="2" w16cid:durableId="22027153">
    <w:abstractNumId w:val="3"/>
  </w:num>
  <w:num w:numId="3" w16cid:durableId="566261228">
    <w:abstractNumId w:val="8"/>
  </w:num>
  <w:num w:numId="4" w16cid:durableId="671762429">
    <w:abstractNumId w:val="5"/>
  </w:num>
  <w:num w:numId="5" w16cid:durableId="381566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863534">
    <w:abstractNumId w:val="7"/>
  </w:num>
  <w:num w:numId="7" w16cid:durableId="1180505480">
    <w:abstractNumId w:val="7"/>
    <w:lvlOverride w:ilvl="0">
      <w:startOverride w:val="1"/>
    </w:lvlOverride>
  </w:num>
  <w:num w:numId="8" w16cid:durableId="1639607759">
    <w:abstractNumId w:val="7"/>
    <w:lvlOverride w:ilvl="0">
      <w:startOverride w:val="1"/>
    </w:lvlOverride>
  </w:num>
  <w:num w:numId="9" w16cid:durableId="1498031054">
    <w:abstractNumId w:val="7"/>
    <w:lvlOverride w:ilvl="0">
      <w:startOverride w:val="1"/>
    </w:lvlOverride>
  </w:num>
  <w:num w:numId="10" w16cid:durableId="419444822">
    <w:abstractNumId w:val="7"/>
    <w:lvlOverride w:ilvl="0">
      <w:startOverride w:val="1"/>
    </w:lvlOverride>
  </w:num>
  <w:num w:numId="11" w16cid:durableId="1975601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435445">
    <w:abstractNumId w:val="4"/>
  </w:num>
  <w:num w:numId="13" w16cid:durableId="1296370982">
    <w:abstractNumId w:val="3"/>
  </w:num>
  <w:num w:numId="14" w16cid:durableId="1183282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9972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43043">
    <w:abstractNumId w:val="7"/>
    <w:lvlOverride w:ilvl="0">
      <w:startOverride w:val="1"/>
    </w:lvlOverride>
  </w:num>
  <w:num w:numId="17" w16cid:durableId="13921797">
    <w:abstractNumId w:val="7"/>
    <w:lvlOverride w:ilvl="0">
      <w:startOverride w:val="1"/>
    </w:lvlOverride>
  </w:num>
  <w:num w:numId="18" w16cid:durableId="1259564929">
    <w:abstractNumId w:val="7"/>
    <w:lvlOverride w:ilvl="0">
      <w:startOverride w:val="1"/>
    </w:lvlOverride>
  </w:num>
  <w:num w:numId="19" w16cid:durableId="1516773002">
    <w:abstractNumId w:val="7"/>
    <w:lvlOverride w:ilvl="0">
      <w:startOverride w:val="1"/>
    </w:lvlOverride>
  </w:num>
  <w:num w:numId="20" w16cid:durableId="1434127872">
    <w:abstractNumId w:val="7"/>
    <w:lvlOverride w:ilvl="0">
      <w:startOverride w:val="1"/>
    </w:lvlOverride>
  </w:num>
  <w:num w:numId="21" w16cid:durableId="1366444911">
    <w:abstractNumId w:val="7"/>
    <w:lvlOverride w:ilvl="0">
      <w:startOverride w:val="1"/>
    </w:lvlOverride>
  </w:num>
  <w:num w:numId="22" w16cid:durableId="264314661">
    <w:abstractNumId w:val="2"/>
  </w:num>
  <w:num w:numId="23" w16cid:durableId="1139570004">
    <w:abstractNumId w:val="1"/>
  </w:num>
  <w:num w:numId="24" w16cid:durableId="1431974877">
    <w:abstractNumId w:val="6"/>
  </w:num>
  <w:num w:numId="25" w16cid:durableId="20555437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17852"/>
    <w:rsid w:val="00120080"/>
    <w:rsid w:val="00122F6E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8268F"/>
    <w:rsid w:val="001902AA"/>
    <w:rsid w:val="00196C1A"/>
    <w:rsid w:val="00197402"/>
    <w:rsid w:val="001A340D"/>
    <w:rsid w:val="001A350A"/>
    <w:rsid w:val="001A4B61"/>
    <w:rsid w:val="001B013B"/>
    <w:rsid w:val="001B3127"/>
    <w:rsid w:val="001B3337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A317B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87474"/>
    <w:rsid w:val="003B2562"/>
    <w:rsid w:val="003C4538"/>
    <w:rsid w:val="003E572C"/>
    <w:rsid w:val="003E683E"/>
    <w:rsid w:val="003F43C5"/>
    <w:rsid w:val="00400C84"/>
    <w:rsid w:val="0040298A"/>
    <w:rsid w:val="0040461A"/>
    <w:rsid w:val="00407681"/>
    <w:rsid w:val="00413629"/>
    <w:rsid w:val="004141D8"/>
    <w:rsid w:val="00416ABA"/>
    <w:rsid w:val="004228A9"/>
    <w:rsid w:val="00424312"/>
    <w:rsid w:val="0042685A"/>
    <w:rsid w:val="00442BB1"/>
    <w:rsid w:val="00450047"/>
    <w:rsid w:val="00450078"/>
    <w:rsid w:val="0046004C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6D83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D7123"/>
    <w:rsid w:val="006E02E9"/>
    <w:rsid w:val="006E0B70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3CBB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3150"/>
    <w:rsid w:val="008D6129"/>
    <w:rsid w:val="008D6461"/>
    <w:rsid w:val="008E0194"/>
    <w:rsid w:val="008E1875"/>
    <w:rsid w:val="008E2F20"/>
    <w:rsid w:val="00910424"/>
    <w:rsid w:val="009207F3"/>
    <w:rsid w:val="009252DF"/>
    <w:rsid w:val="00926FEE"/>
    <w:rsid w:val="00930FED"/>
    <w:rsid w:val="0093663B"/>
    <w:rsid w:val="0093703B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63F8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1C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B403C"/>
    <w:rsid w:val="00BB6C13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4EE4"/>
    <w:rsid w:val="00C37778"/>
    <w:rsid w:val="00C420D1"/>
    <w:rsid w:val="00C467D9"/>
    <w:rsid w:val="00C47DB9"/>
    <w:rsid w:val="00C55DE8"/>
    <w:rsid w:val="00C678D4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541B"/>
    <w:rsid w:val="00D06092"/>
    <w:rsid w:val="00D27DE0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6236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61C98DA"/>
  <w15:chartTrackingRefBased/>
  <w15:docId w15:val="{5101DC87-BD25-4E91-B180-9B39522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Hana Veselá</cp:lastModifiedBy>
  <cp:revision>3</cp:revision>
  <cp:lastPrinted>2022-03-08T15:44:00Z</cp:lastPrinted>
  <dcterms:created xsi:type="dcterms:W3CDTF">2024-01-23T08:36:00Z</dcterms:created>
  <dcterms:modified xsi:type="dcterms:W3CDTF">2024-01-23T08:36:00Z</dcterms:modified>
</cp:coreProperties>
</file>