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7221300334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městys</w:t>
      </w:r>
      <w:r>
        <w:rPr>
          <w:spacing w:val="-6"/>
        </w:rPr>
        <w:t> </w:t>
      </w:r>
      <w:r>
        <w:rPr/>
        <w:t>Rataje</w:t>
      </w:r>
      <w:r>
        <w:rPr>
          <w:spacing w:val="-7"/>
        </w:rPr>
        <w:t> </w:t>
      </w:r>
      <w:r>
        <w:rPr/>
        <w:t>nad</w:t>
      </w:r>
      <w:r>
        <w:rPr>
          <w:spacing w:val="-7"/>
        </w:rPr>
        <w:t> </w:t>
      </w:r>
      <w:r>
        <w:rPr>
          <w:spacing w:val="-2"/>
        </w:rPr>
        <w:t>Sázavou</w:t>
      </w:r>
    </w:p>
    <w:p>
      <w:pPr>
        <w:pStyle w:val="BodyText"/>
        <w:tabs>
          <w:tab w:pos="2982" w:val="left" w:leader="none"/>
        </w:tabs>
        <w:ind w:left="102" w:right="158"/>
      </w:pPr>
      <w:r>
        <w:rPr/>
        <w:t>kontaktní adresa:</w:t>
        <w:tab/>
        <w:t>Úřad</w:t>
      </w:r>
      <w:r>
        <w:rPr>
          <w:spacing w:val="-5"/>
        </w:rPr>
        <w:t> </w:t>
      </w:r>
      <w:r>
        <w:rPr/>
        <w:t>městysu</w:t>
      </w:r>
      <w:r>
        <w:rPr>
          <w:spacing w:val="-5"/>
        </w:rPr>
        <w:t> </w:t>
      </w:r>
      <w:r>
        <w:rPr/>
        <w:t>Rataje</w:t>
      </w:r>
      <w:r>
        <w:rPr>
          <w:spacing w:val="-5"/>
        </w:rPr>
        <w:t> </w:t>
      </w:r>
      <w:r>
        <w:rPr/>
        <w:t>nad</w:t>
      </w:r>
      <w:r>
        <w:rPr>
          <w:spacing w:val="-5"/>
        </w:rPr>
        <w:t> </w:t>
      </w:r>
      <w:r>
        <w:rPr/>
        <w:t>Sázavou,</w:t>
      </w:r>
      <w:r>
        <w:rPr>
          <w:spacing w:val="-1"/>
        </w:rPr>
        <w:t> </w:t>
      </w:r>
      <w:r>
        <w:rPr/>
        <w:t>Zámecká</w:t>
      </w:r>
      <w:r>
        <w:rPr>
          <w:spacing w:val="-5"/>
        </w:rPr>
        <w:t> </w:t>
      </w:r>
      <w:r>
        <w:rPr/>
        <w:t>1,</w:t>
      </w:r>
      <w:r>
        <w:rPr>
          <w:spacing w:val="-5"/>
        </w:rPr>
        <w:t> </w:t>
      </w:r>
      <w:r>
        <w:rPr/>
        <w:t>285</w:t>
      </w:r>
      <w:r>
        <w:rPr>
          <w:spacing w:val="-2"/>
        </w:rPr>
        <w:t> </w:t>
      </w:r>
      <w:r>
        <w:rPr/>
        <w:t>07</w:t>
      </w:r>
      <w:r>
        <w:rPr>
          <w:spacing w:val="-4"/>
        </w:rPr>
        <w:t> </w:t>
      </w:r>
      <w:r>
        <w:rPr/>
        <w:t>Rataje</w:t>
      </w:r>
      <w:r>
        <w:rPr>
          <w:spacing w:val="-5"/>
        </w:rPr>
        <w:t> </w:t>
      </w:r>
      <w:r>
        <w:rPr/>
        <w:t>nad</w:t>
      </w:r>
      <w:r>
        <w:rPr>
          <w:spacing w:val="-5"/>
        </w:rPr>
        <w:t> </w:t>
      </w:r>
      <w:r>
        <w:rPr/>
        <w:t>Sázavou </w:t>
      </w:r>
      <w:r>
        <w:rPr>
          <w:spacing w:val="-4"/>
        </w:rPr>
        <w:t>IČO:</w:t>
      </w:r>
      <w:r>
        <w:rPr/>
        <w:tab/>
      </w:r>
      <w:r>
        <w:rPr>
          <w:spacing w:val="-2"/>
        </w:rPr>
        <w:t>00236381</w:t>
      </w:r>
    </w:p>
    <w:p>
      <w:pPr>
        <w:pStyle w:val="BodyText"/>
        <w:tabs>
          <w:tab w:pos="2982" w:val="left" w:leader="none"/>
        </w:tabs>
        <w:spacing w:line="265" w:lineRule="exact"/>
        <w:ind w:left="102"/>
      </w:pPr>
      <w:r>
        <w:rPr>
          <w:spacing w:val="-2"/>
        </w:rPr>
        <w:t>zastoupený:</w:t>
      </w:r>
      <w:r>
        <w:rPr/>
        <w:tab/>
        <w:t>Ing.</w:t>
      </w:r>
      <w:r>
        <w:rPr>
          <w:spacing w:val="-3"/>
        </w:rPr>
        <w:t> </w:t>
      </w:r>
      <w:r>
        <w:rPr/>
        <w:t>Lubošem</w:t>
      </w:r>
      <w:r>
        <w:rPr>
          <w:spacing w:val="-5"/>
        </w:rPr>
        <w:t> </w:t>
      </w:r>
      <w:r>
        <w:rPr/>
        <w:t>K</w:t>
      </w:r>
      <w:r>
        <w:rPr>
          <w:spacing w:val="-2"/>
        </w:rPr>
        <w:t> </w:t>
      </w:r>
      <w:r>
        <w:rPr/>
        <w:t>u</w:t>
      </w:r>
      <w:r>
        <w:rPr>
          <w:spacing w:val="-2"/>
        </w:rPr>
        <w:t> </w:t>
      </w:r>
      <w:r>
        <w:rPr/>
        <w:t>b</w:t>
      </w:r>
      <w:r>
        <w:rPr>
          <w:spacing w:val="-3"/>
        </w:rPr>
        <w:t> </w:t>
      </w:r>
      <w:r>
        <w:rPr/>
        <w:t>á</w:t>
      </w:r>
      <w:r>
        <w:rPr>
          <w:spacing w:val="-1"/>
        </w:rPr>
        <w:t> </w:t>
      </w:r>
      <w:r>
        <w:rPr/>
        <w:t>t</w:t>
      </w:r>
      <w:r>
        <w:rPr>
          <w:spacing w:val="-4"/>
        </w:rPr>
        <w:t> </w:t>
      </w:r>
      <w:r>
        <w:rPr/>
        <w:t>e m,</w:t>
      </w:r>
      <w:r>
        <w:rPr>
          <w:spacing w:val="-1"/>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94-1216161/0710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4731" w:right="4740"/>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7221300334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037"/>
        <w:jc w:val="both"/>
      </w:pPr>
      <w:r>
        <w:rPr/>
        <w:t>„FVE</w:t>
      </w:r>
      <w:r>
        <w:rPr>
          <w:spacing w:val="-4"/>
        </w:rPr>
        <w:t> </w:t>
      </w:r>
      <w:r>
        <w:rPr/>
        <w:t>pro</w:t>
      </w:r>
      <w:r>
        <w:rPr>
          <w:spacing w:val="-4"/>
        </w:rPr>
        <w:t> </w:t>
      </w:r>
      <w:r>
        <w:rPr/>
        <w:t>čp.</w:t>
      </w:r>
      <w:r>
        <w:rPr>
          <w:spacing w:val="-7"/>
        </w:rPr>
        <w:t> </w:t>
      </w:r>
      <w:r>
        <w:rPr/>
        <w:t>239</w:t>
      </w:r>
      <w:r>
        <w:rPr>
          <w:spacing w:val="-2"/>
        </w:rPr>
        <w:t> </w:t>
      </w:r>
      <w:r>
        <w:rPr/>
        <w:t>Rataje</w:t>
      </w:r>
      <w:r>
        <w:rPr>
          <w:spacing w:val="-6"/>
        </w:rPr>
        <w:t> </w:t>
      </w:r>
      <w:r>
        <w:rPr/>
        <w:t>nad</w:t>
      </w:r>
      <w:r>
        <w:rPr>
          <w:spacing w:val="-6"/>
        </w:rPr>
        <w:t> </w:t>
      </w:r>
      <w:r>
        <w:rPr>
          <w:spacing w:val="-2"/>
        </w:rPr>
        <w:t>Sázavou“</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29"/>
        </w:rPr>
      </w:pPr>
    </w:p>
    <w:p>
      <w:pPr>
        <w:pStyle w:val="Heading1"/>
        <w:spacing w:line="265" w:lineRule="exact" w:before="99"/>
        <w:ind w:left="3143" w:right="2799"/>
      </w:pPr>
      <w:r>
        <w:rPr>
          <w:spacing w:val="-5"/>
        </w:rPr>
        <w:t>II.</w:t>
      </w:r>
    </w:p>
    <w:p>
      <w:pPr>
        <w:pStyle w:val="Heading2"/>
        <w:spacing w:line="265" w:lineRule="exact"/>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0"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600 575,19 Kč </w:t>
      </w:r>
      <w:r>
        <w:rPr>
          <w:sz w:val="20"/>
        </w:rPr>
        <w:t>(slovy: šest set tisíc pět set sedmdesát pět korun českých a devatenáct haléřů).</w:t>
      </w:r>
    </w:p>
    <w:p>
      <w:pPr>
        <w:pStyle w:val="ListParagraph"/>
        <w:numPr>
          <w:ilvl w:val="0"/>
          <w:numId w:val="2"/>
        </w:numPr>
        <w:tabs>
          <w:tab w:pos="386" w:val="left" w:leader="none"/>
        </w:tabs>
        <w:spacing w:line="237" w:lineRule="auto" w:before="123" w:after="0"/>
        <w:ind w:left="385" w:right="111" w:hanging="284"/>
        <w:jc w:val="both"/>
        <w:rPr>
          <w:sz w:val="20"/>
        </w:rPr>
      </w:pPr>
      <w:r>
        <w:rPr>
          <w:sz w:val="20"/>
        </w:rPr>
        <w:t>Základ pro stanovení podpory odpovídá způsobilým výdajům stanoveným Fondem dle žádosti a jejích příloh a činí 856 060,00 Kč.</w:t>
      </w:r>
    </w:p>
    <w:p>
      <w:pPr>
        <w:pStyle w:val="ListParagraph"/>
        <w:numPr>
          <w:ilvl w:val="0"/>
          <w:numId w:val="2"/>
        </w:numPr>
        <w:tabs>
          <w:tab w:pos="386" w:val="left" w:leader="none"/>
        </w:tabs>
        <w:spacing w:line="240" w:lineRule="auto" w:before="122"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2"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2"/>
        <w:rPr>
          <w:sz w:val="19"/>
        </w:rPr>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18"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V případě, že došlo k zápočtu pohledávek/závazků mezi příjemcem podpory a zhotovitelem (úhrada faktury</w:t>
      </w:r>
      <w:r>
        <w:rPr>
          <w:spacing w:val="79"/>
          <w:w w:val="150"/>
          <w:sz w:val="20"/>
        </w:rPr>
        <w:t> </w:t>
      </w:r>
      <w:r>
        <w:rPr>
          <w:sz w:val="20"/>
        </w:rPr>
        <w:t>není</w:t>
      </w:r>
      <w:r>
        <w:rPr>
          <w:spacing w:val="79"/>
          <w:w w:val="150"/>
          <w:sz w:val="20"/>
        </w:rPr>
        <w:t> </w:t>
      </w:r>
      <w:r>
        <w:rPr>
          <w:sz w:val="20"/>
        </w:rPr>
        <w:t>v</w:t>
      </w:r>
      <w:r>
        <w:rPr>
          <w:spacing w:val="79"/>
          <w:w w:val="150"/>
          <w:sz w:val="20"/>
        </w:rPr>
        <w:t> </w:t>
      </w:r>
      <w:r>
        <w:rPr>
          <w:sz w:val="20"/>
        </w:rPr>
        <w:t>plné</w:t>
      </w:r>
      <w:r>
        <w:rPr>
          <w:spacing w:val="79"/>
          <w:w w:val="150"/>
          <w:sz w:val="20"/>
        </w:rPr>
        <w:t> </w:t>
      </w:r>
      <w:r>
        <w:rPr>
          <w:sz w:val="20"/>
        </w:rPr>
        <w:t>výši</w:t>
      </w:r>
      <w:r>
        <w:rPr>
          <w:spacing w:val="80"/>
          <w:w w:val="150"/>
          <w:sz w:val="20"/>
        </w:rPr>
        <w:t> </w:t>
      </w:r>
      <w:r>
        <w:rPr>
          <w:sz w:val="20"/>
        </w:rPr>
        <w:t>doložena</w:t>
      </w:r>
      <w:r>
        <w:rPr>
          <w:spacing w:val="79"/>
          <w:w w:val="150"/>
          <w:sz w:val="20"/>
        </w:rPr>
        <w:t> </w:t>
      </w:r>
      <w:r>
        <w:rPr>
          <w:sz w:val="20"/>
        </w:rPr>
        <w:t>bankovním</w:t>
      </w:r>
      <w:r>
        <w:rPr>
          <w:spacing w:val="77"/>
          <w:w w:val="150"/>
          <w:sz w:val="20"/>
        </w:rPr>
        <w:t> </w:t>
      </w:r>
      <w:r>
        <w:rPr>
          <w:sz w:val="20"/>
        </w:rPr>
        <w:t>výpisem),</w:t>
      </w:r>
      <w:r>
        <w:rPr>
          <w:spacing w:val="79"/>
          <w:w w:val="150"/>
          <w:sz w:val="20"/>
        </w:rPr>
        <w:t> </w:t>
      </w:r>
      <w:r>
        <w:rPr>
          <w:sz w:val="20"/>
        </w:rPr>
        <w:t>je</w:t>
      </w:r>
      <w:r>
        <w:rPr>
          <w:spacing w:val="79"/>
          <w:w w:val="150"/>
          <w:sz w:val="20"/>
        </w:rPr>
        <w:t> </w:t>
      </w:r>
      <w:r>
        <w:rPr>
          <w:sz w:val="20"/>
        </w:rPr>
        <w:t>vždy</w:t>
      </w:r>
      <w:r>
        <w:rPr>
          <w:spacing w:val="79"/>
          <w:w w:val="150"/>
          <w:sz w:val="20"/>
        </w:rPr>
        <w:t> </w:t>
      </w:r>
      <w:r>
        <w:rPr>
          <w:sz w:val="20"/>
        </w:rPr>
        <w:t>nutno</w:t>
      </w:r>
      <w:r>
        <w:rPr>
          <w:spacing w:val="80"/>
          <w:w w:val="150"/>
          <w:sz w:val="20"/>
        </w:rPr>
        <w:t> </w:t>
      </w:r>
      <w:r>
        <w:rPr>
          <w:sz w:val="20"/>
        </w:rPr>
        <w:t>předložit</w:t>
      </w:r>
      <w:r>
        <w:rPr>
          <w:spacing w:val="79"/>
          <w:w w:val="150"/>
          <w:sz w:val="20"/>
        </w:rPr>
        <w:t> </w:t>
      </w:r>
      <w:r>
        <w:rPr>
          <w:sz w:val="20"/>
        </w:rPr>
        <w:t>písemnou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08"/>
        <w:jc w:val="both"/>
      </w:pPr>
      <w:r>
        <w:rPr/>
        <w:t>smlouvu/dohodu o</w:t>
      </w:r>
      <w:r>
        <w:rPr>
          <w:spacing w:val="-1"/>
        </w:rPr>
        <w:t> </w:t>
      </w:r>
      <w:r>
        <w:rPr/>
        <w:t>započtení vzájemných plnění stejného druhu (pohledávek a závazků) vzniklých na základě smluvního vztahu mezi příjemcem faktury a fakturujícím zhotovitelem, podepsanou příjemcem podpory</w:t>
      </w:r>
      <w:r>
        <w:rPr>
          <w:spacing w:val="-1"/>
        </w:rPr>
        <w:t> </w:t>
      </w:r>
      <w:r>
        <w:rPr/>
        <w:t>i</w:t>
      </w:r>
      <w:r>
        <w:rPr>
          <w:spacing w:val="-3"/>
        </w:rPr>
        <w:t> </w:t>
      </w:r>
      <w:r>
        <w:rPr/>
        <w:t>zhotovitelem. Tato oboustranná vzájemná</w:t>
      </w:r>
      <w:r>
        <w:rPr>
          <w:spacing w:val="-1"/>
        </w:rPr>
        <w:t> </w:t>
      </w:r>
      <w:r>
        <w:rPr/>
        <w:t>dohoda</w:t>
      </w:r>
      <w:r>
        <w:rPr>
          <w:spacing w:val="-1"/>
        </w:rPr>
        <w:t> </w:t>
      </w:r>
      <w:r>
        <w:rPr/>
        <w:t>musí</w:t>
      </w:r>
      <w:r>
        <w:rPr>
          <w:spacing w:val="-2"/>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0" w:after="0"/>
        <w:ind w:left="385" w:right="118" w:hanging="284"/>
        <w:jc w:val="both"/>
        <w:rPr>
          <w:sz w:val="20"/>
        </w:rPr>
      </w:pPr>
      <w:r>
        <w:rPr>
          <w:sz w:val="20"/>
        </w:rPr>
        <w:t>Fond není povinen poskytnout podporu, dokud neobdrží doklady prokazující, že tato Smlouva byla uzavřena v souladu se zákonem o obcích.</w:t>
      </w:r>
    </w:p>
    <w:p>
      <w:pPr>
        <w:pStyle w:val="BodyText"/>
        <w:spacing w:before="12"/>
        <w:rPr>
          <w:sz w:val="19"/>
        </w:rPr>
      </w:pPr>
    </w:p>
    <w:p>
      <w:pPr>
        <w:pStyle w:val="Heading1"/>
        <w:ind w:left="3140"/>
      </w:pPr>
      <w:r>
        <w:rPr>
          <w:spacing w:val="-5"/>
        </w:rPr>
        <w:t>IV.</w:t>
      </w:r>
    </w:p>
    <w:p>
      <w:pPr>
        <w:pStyle w:val="Heading2"/>
        <w:ind w:left="1047" w:right="1057"/>
      </w:pPr>
      <w:r>
        <w:rPr/>
        <w:t>Základní</w:t>
      </w:r>
      <w:r>
        <w:rPr>
          <w:spacing w:val="-7"/>
        </w:rPr>
        <w:t> </w:t>
      </w:r>
      <w:r>
        <w:rPr/>
        <w:t>závazky</w:t>
      </w:r>
      <w:r>
        <w:rPr>
          <w:spacing w:val="-6"/>
        </w:rPr>
        <w:t> </w:t>
      </w:r>
      <w:r>
        <w:rPr/>
        <w:t>a</w:t>
      </w:r>
      <w:r>
        <w:rPr>
          <w:spacing w:val="-7"/>
        </w:rPr>
        <w:t> </w:t>
      </w:r>
      <w:r>
        <w:rPr/>
        <w:t>další</w:t>
      </w:r>
      <w:r>
        <w:rPr>
          <w:spacing w:val="-6"/>
        </w:rPr>
        <w:t> </w:t>
      </w:r>
      <w:r>
        <w:rPr/>
        <w:t>povinnosti</w:t>
      </w:r>
      <w:r>
        <w:rPr>
          <w:spacing w:val="-7"/>
        </w:rPr>
        <w:t> </w:t>
      </w:r>
      <w:r>
        <w:rPr/>
        <w:t>příjemce</w:t>
      </w:r>
      <w:r>
        <w:rPr>
          <w:spacing w:val="-4"/>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37" w:lineRule="auto" w:before="122" w:after="0"/>
        <w:ind w:left="745" w:right="111" w:hanging="360"/>
        <w:jc w:val="left"/>
        <w:rPr>
          <w:sz w:val="20"/>
        </w:rPr>
      </w:pPr>
      <w:r>
        <w:rPr>
          <w:sz w:val="20"/>
        </w:rPr>
        <w:t>splní</w:t>
      </w:r>
      <w:r>
        <w:rPr>
          <w:spacing w:val="40"/>
          <w:sz w:val="20"/>
        </w:rPr>
        <w:t> </w:t>
      </w:r>
      <w:r>
        <w:rPr>
          <w:sz w:val="20"/>
        </w:rPr>
        <w:t>účel</w:t>
      </w:r>
      <w:r>
        <w:rPr>
          <w:spacing w:val="40"/>
          <w:sz w:val="20"/>
        </w:rPr>
        <w:t> </w:t>
      </w:r>
      <w:r>
        <w:rPr>
          <w:sz w:val="20"/>
        </w:rPr>
        <w:t>akce</w:t>
      </w:r>
      <w:r>
        <w:rPr>
          <w:spacing w:val="39"/>
          <w:sz w:val="20"/>
        </w:rPr>
        <w:t> </w:t>
      </w:r>
      <w:r>
        <w:rPr>
          <w:sz w:val="20"/>
        </w:rPr>
        <w:t>„FVE</w:t>
      </w:r>
      <w:r>
        <w:rPr>
          <w:spacing w:val="40"/>
          <w:sz w:val="20"/>
        </w:rPr>
        <w:t> </w:t>
      </w:r>
      <w:r>
        <w:rPr>
          <w:sz w:val="20"/>
        </w:rPr>
        <w:t>pro</w:t>
      </w:r>
      <w:r>
        <w:rPr>
          <w:spacing w:val="40"/>
          <w:sz w:val="20"/>
        </w:rPr>
        <w:t> </w:t>
      </w:r>
      <w:r>
        <w:rPr>
          <w:sz w:val="20"/>
        </w:rPr>
        <w:t>čp.</w:t>
      </w:r>
      <w:r>
        <w:rPr>
          <w:spacing w:val="40"/>
          <w:sz w:val="20"/>
        </w:rPr>
        <w:t> </w:t>
      </w:r>
      <w:r>
        <w:rPr>
          <w:sz w:val="20"/>
        </w:rPr>
        <w:t>239</w:t>
      </w:r>
      <w:r>
        <w:rPr>
          <w:spacing w:val="40"/>
          <w:sz w:val="20"/>
        </w:rPr>
        <w:t> </w:t>
      </w:r>
      <w:r>
        <w:rPr>
          <w:sz w:val="20"/>
        </w:rPr>
        <w:t>Rataje</w:t>
      </w:r>
      <w:r>
        <w:rPr>
          <w:spacing w:val="39"/>
          <w:sz w:val="20"/>
        </w:rPr>
        <w:t> </w:t>
      </w:r>
      <w:r>
        <w:rPr>
          <w:sz w:val="20"/>
        </w:rPr>
        <w:t>nad</w:t>
      </w:r>
      <w:r>
        <w:rPr>
          <w:spacing w:val="40"/>
          <w:sz w:val="20"/>
        </w:rPr>
        <w:t> </w:t>
      </w:r>
      <w:r>
        <w:rPr>
          <w:sz w:val="20"/>
        </w:rPr>
        <w:t>Sázavou“</w:t>
      </w:r>
      <w:r>
        <w:rPr>
          <w:spacing w:val="39"/>
          <w:sz w:val="20"/>
        </w:rPr>
        <w:t> </w:t>
      </w:r>
      <w:r>
        <w:rPr>
          <w:sz w:val="20"/>
        </w:rPr>
        <w:t>tím,</w:t>
      </w:r>
      <w:r>
        <w:rPr>
          <w:spacing w:val="40"/>
          <w:sz w:val="20"/>
        </w:rPr>
        <w:t> </w:t>
      </w:r>
      <w:r>
        <w:rPr>
          <w:sz w:val="20"/>
        </w:rPr>
        <w:t>že</w:t>
      </w:r>
      <w:r>
        <w:rPr>
          <w:spacing w:val="39"/>
          <w:sz w:val="20"/>
        </w:rPr>
        <w:t> </w:t>
      </w:r>
      <w:r>
        <w:rPr>
          <w:sz w:val="20"/>
        </w:rPr>
        <w:t>akce</w:t>
      </w:r>
      <w:r>
        <w:rPr>
          <w:spacing w:val="39"/>
          <w:sz w:val="20"/>
        </w:rPr>
        <w:t> </w:t>
      </w:r>
      <w:r>
        <w:rPr>
          <w:sz w:val="20"/>
        </w:rPr>
        <w:t>bude</w:t>
      </w:r>
      <w:r>
        <w:rPr>
          <w:spacing w:val="39"/>
          <w:sz w:val="20"/>
        </w:rPr>
        <w:t> </w:t>
      </w:r>
      <w:r>
        <w:rPr>
          <w:sz w:val="20"/>
        </w:rPr>
        <w:t>provedena</w:t>
      </w:r>
      <w:r>
        <w:rPr>
          <w:spacing w:val="40"/>
          <w:sz w:val="20"/>
        </w:rPr>
        <w:t> </w:t>
      </w:r>
      <w:r>
        <w:rPr>
          <w:sz w:val="20"/>
        </w:rPr>
        <w:t>v souladu s Výzvou, žádostí o podporu a jejími přílohami a touto Smlouvou,</w:t>
      </w:r>
    </w:p>
    <w:p>
      <w:pPr>
        <w:pStyle w:val="ListParagraph"/>
        <w:numPr>
          <w:ilvl w:val="1"/>
          <w:numId w:val="4"/>
        </w:numPr>
        <w:tabs>
          <w:tab w:pos="746" w:val="left" w:leader="none"/>
        </w:tabs>
        <w:spacing w:line="240" w:lineRule="auto" w:before="2" w:after="0"/>
        <w:ind w:left="745" w:right="114"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80"/>
          <w:w w:val="150"/>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80"/>
          <w:w w:val="150"/>
          <w:sz w:val="20"/>
        </w:rPr>
        <w:t> </w:t>
      </w:r>
      <w:r>
        <w:rPr>
          <w:sz w:val="20"/>
        </w:rPr>
        <w:t>s předpokládaným výkonem 17,43 kWp a instalací akumulace o kapacitě 15,60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spacing w:line="266"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15,60</w:t>
            </w:r>
          </w:p>
        </w:tc>
      </w:tr>
      <w:tr>
        <w:trPr>
          <w:trHeight w:val="506" w:hRule="atLeast"/>
        </w:trPr>
        <w:tc>
          <w:tcPr>
            <w:tcW w:w="377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17,43</w:t>
            </w:r>
          </w:p>
        </w:tc>
      </w:tr>
      <w:tr>
        <w:trPr>
          <w:trHeight w:val="505" w:hRule="atLeast"/>
        </w:trPr>
        <w:tc>
          <w:tcPr>
            <w:tcW w:w="377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4"/>
                <w:sz w:val="20"/>
              </w:rPr>
              <w:t>8,64</w:t>
            </w:r>
          </w:p>
        </w:tc>
      </w:tr>
      <w:tr>
        <w:trPr>
          <w:trHeight w:val="530" w:hRule="atLeast"/>
        </w:trPr>
        <w:tc>
          <w:tcPr>
            <w:tcW w:w="3771" w:type="dxa"/>
          </w:tcPr>
          <w:p>
            <w:pPr>
              <w:pStyle w:val="TableParagraph"/>
              <w:spacing w:line="264"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26,13</w:t>
            </w:r>
          </w:p>
        </w:tc>
      </w:tr>
      <w:tr>
        <w:trPr>
          <w:trHeight w:val="508" w:hRule="atLeast"/>
        </w:trPr>
        <w:tc>
          <w:tcPr>
            <w:tcW w:w="3771" w:type="dxa"/>
          </w:tcPr>
          <w:p>
            <w:pPr>
              <w:pStyle w:val="TableParagraph"/>
              <w:spacing w:before="2"/>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2"/>
              <w:ind w:left="0" w:right="444"/>
              <w:jc w:val="right"/>
              <w:rPr>
                <w:sz w:val="20"/>
              </w:rPr>
            </w:pPr>
            <w:r>
              <w:rPr>
                <w:spacing w:val="-2"/>
                <w:sz w:val="20"/>
              </w:rPr>
              <w:t>MWh/rok</w:t>
            </w:r>
          </w:p>
        </w:tc>
        <w:tc>
          <w:tcPr>
            <w:tcW w:w="1719" w:type="dxa"/>
          </w:tcPr>
          <w:p>
            <w:pPr>
              <w:pStyle w:val="TableParagraph"/>
              <w:spacing w:before="122"/>
              <w:ind w:left="388"/>
              <w:rPr>
                <w:sz w:val="20"/>
              </w:rPr>
            </w:pPr>
            <w:r>
              <w:rPr>
                <w:spacing w:val="-4"/>
                <w:sz w:val="20"/>
              </w:rPr>
              <w:t>0,00</w:t>
            </w:r>
          </w:p>
        </w:tc>
        <w:tc>
          <w:tcPr>
            <w:tcW w:w="1651" w:type="dxa"/>
          </w:tcPr>
          <w:p>
            <w:pPr>
              <w:pStyle w:val="TableParagraph"/>
              <w:spacing w:before="122"/>
              <w:ind w:left="390"/>
              <w:rPr>
                <w:sz w:val="20"/>
              </w:rPr>
            </w:pPr>
            <w:r>
              <w:rPr>
                <w:spacing w:val="-2"/>
                <w:sz w:val="20"/>
              </w:rPr>
              <w:t>14,82</w:t>
            </w:r>
          </w:p>
        </w:tc>
      </w:tr>
    </w:tbl>
    <w:p>
      <w:pPr>
        <w:pStyle w:val="BodyText"/>
        <w:rPr>
          <w:sz w:val="38"/>
        </w:rPr>
      </w:pPr>
    </w:p>
    <w:p>
      <w:pPr>
        <w:pStyle w:val="ListParagraph"/>
        <w:numPr>
          <w:ilvl w:val="1"/>
          <w:numId w:val="4"/>
        </w:numPr>
        <w:tabs>
          <w:tab w:pos="746" w:val="left" w:leader="none"/>
        </w:tabs>
        <w:spacing w:line="276" w:lineRule="auto" w:before="1"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09"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8"/>
          <w:sz w:val="20"/>
        </w:rPr>
        <w:t> </w:t>
      </w:r>
      <w:r>
        <w:rPr>
          <w:sz w:val="20"/>
        </w:rPr>
        <w:t>schválení</w:t>
      </w:r>
      <w:r>
        <w:rPr>
          <w:spacing w:val="-10"/>
          <w:sz w:val="20"/>
        </w:rPr>
        <w:t> </w:t>
      </w:r>
      <w:r>
        <w:rPr>
          <w:sz w:val="20"/>
        </w:rPr>
        <w:t>protokolu</w:t>
      </w:r>
      <w:r>
        <w:rPr>
          <w:spacing w:val="-8"/>
          <w:sz w:val="20"/>
        </w:rPr>
        <w:t> </w:t>
      </w:r>
      <w:r>
        <w:rPr>
          <w:sz w:val="20"/>
        </w:rPr>
        <w:t>o</w:t>
      </w:r>
      <w:r>
        <w:rPr>
          <w:spacing w:val="-7"/>
          <w:sz w:val="20"/>
        </w:rPr>
        <w:t> </w:t>
      </w:r>
      <w:r>
        <w:rPr>
          <w:sz w:val="20"/>
        </w:rPr>
        <w:t>předání</w:t>
      </w:r>
      <w:r>
        <w:rPr>
          <w:spacing w:val="-8"/>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13" w:hanging="360"/>
        <w:jc w:val="both"/>
        <w:rPr>
          <w:sz w:val="20"/>
        </w:rPr>
      </w:pPr>
      <w:r>
        <w:rPr>
          <w:sz w:val="20"/>
        </w:rPr>
        <w:t>předloží Fondu současně s žádostí o platbu podklady k ZVA podle čl. 14.4 Výzvy</w:t>
      </w:r>
      <w:r>
        <w:rPr>
          <w:spacing w:val="-1"/>
          <w:sz w:val="20"/>
        </w:rPr>
        <w:t> </w:t>
      </w:r>
      <w:r>
        <w:rPr>
          <w:sz w:val="20"/>
        </w:rPr>
        <w:t>a to nejpozději 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3"/>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37" w:lineRule="auto" w:before="108"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2" w:after="0"/>
        <w:ind w:left="745" w:right="111" w:hanging="360"/>
        <w:jc w:val="both"/>
        <w:rPr>
          <w:sz w:val="20"/>
        </w:rPr>
      </w:pPr>
      <w:r>
        <w:rPr>
          <w:sz w:val="20"/>
        </w:rPr>
        <w:t>bude</w:t>
      </w:r>
      <w:r>
        <w:rPr>
          <w:spacing w:val="-14"/>
          <w:sz w:val="20"/>
        </w:rPr>
        <w:t> </w:t>
      </w:r>
      <w:r>
        <w:rPr>
          <w:sz w:val="20"/>
        </w:rPr>
        <w:t>veškeré</w:t>
      </w:r>
      <w:r>
        <w:rPr>
          <w:spacing w:val="-13"/>
          <w:sz w:val="20"/>
        </w:rPr>
        <w:t> </w:t>
      </w:r>
      <w:r>
        <w:rPr>
          <w:sz w:val="20"/>
        </w:rPr>
        <w:t>výdaje</w:t>
      </w:r>
      <w:r>
        <w:rPr>
          <w:spacing w:val="-14"/>
          <w:sz w:val="20"/>
        </w:rPr>
        <w:t> </w:t>
      </w:r>
      <w:r>
        <w:rPr>
          <w:sz w:val="20"/>
        </w:rPr>
        <w:t>akce</w:t>
      </w:r>
      <w:r>
        <w:rPr>
          <w:spacing w:val="-14"/>
          <w:sz w:val="20"/>
        </w:rPr>
        <w:t> </w:t>
      </w:r>
      <w:r>
        <w:rPr>
          <w:sz w:val="20"/>
        </w:rPr>
        <w:t>vést</w:t>
      </w:r>
      <w:r>
        <w:rPr>
          <w:spacing w:val="-13"/>
          <w:sz w:val="20"/>
        </w:rPr>
        <w:t> </w:t>
      </w:r>
      <w:r>
        <w:rPr>
          <w:sz w:val="20"/>
        </w:rPr>
        <w:t>v</w:t>
      </w:r>
      <w:r>
        <w:rPr>
          <w:spacing w:val="-2"/>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 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0"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0" w:hanging="284"/>
        <w:jc w:val="both"/>
        <w:rPr>
          <w:sz w:val="20"/>
        </w:rPr>
      </w:pPr>
      <w:r>
        <w:rPr>
          <w:sz w:val="20"/>
        </w:rPr>
        <w:t>vrátit</w:t>
      </w:r>
      <w:r>
        <w:rPr>
          <w:spacing w:val="-14"/>
          <w:sz w:val="20"/>
        </w:rPr>
        <w:t> </w:t>
      </w:r>
      <w:r>
        <w:rPr>
          <w:sz w:val="20"/>
        </w:rPr>
        <w:t>částku</w:t>
      </w:r>
      <w:r>
        <w:rPr>
          <w:spacing w:val="-13"/>
          <w:sz w:val="20"/>
        </w:rPr>
        <w:t> </w:t>
      </w:r>
      <w:r>
        <w:rPr>
          <w:sz w:val="20"/>
        </w:rPr>
        <w:t>DPH</w:t>
      </w:r>
      <w:r>
        <w:rPr>
          <w:spacing w:val="-14"/>
          <w:sz w:val="20"/>
        </w:rPr>
        <w:t> </w:t>
      </w:r>
      <w:r>
        <w:rPr>
          <w:sz w:val="20"/>
        </w:rPr>
        <w:t>nebo</w:t>
      </w:r>
      <w:r>
        <w:rPr>
          <w:spacing w:val="-12"/>
          <w:sz w:val="20"/>
        </w:rPr>
        <w:t> </w:t>
      </w:r>
      <w:r>
        <w:rPr>
          <w:sz w:val="20"/>
        </w:rPr>
        <w:t>její</w:t>
      </w:r>
      <w:r>
        <w:rPr>
          <w:spacing w:val="-14"/>
          <w:sz w:val="20"/>
        </w:rPr>
        <w:t> </w:t>
      </w:r>
      <w:r>
        <w:rPr>
          <w:sz w:val="20"/>
        </w:rPr>
        <w:t>část,</w:t>
      </w:r>
      <w:r>
        <w:rPr>
          <w:spacing w:val="-13"/>
          <w:sz w:val="20"/>
        </w:rPr>
        <w:t> </w:t>
      </w:r>
      <w:r>
        <w:rPr>
          <w:sz w:val="20"/>
        </w:rPr>
        <w:t>pokud</w:t>
      </w:r>
      <w:r>
        <w:rPr>
          <w:spacing w:val="-12"/>
          <w:sz w:val="20"/>
        </w:rPr>
        <w:t> </w:t>
      </w:r>
      <w:r>
        <w:rPr>
          <w:sz w:val="20"/>
        </w:rPr>
        <w:t>existuje</w:t>
      </w:r>
      <w:r>
        <w:rPr>
          <w:spacing w:val="-13"/>
          <w:sz w:val="20"/>
        </w:rPr>
        <w:t> </w:t>
      </w:r>
      <w:r>
        <w:rPr>
          <w:sz w:val="20"/>
        </w:rPr>
        <w:t>zákonný</w:t>
      </w:r>
      <w:r>
        <w:rPr>
          <w:spacing w:val="-12"/>
          <w:sz w:val="20"/>
        </w:rPr>
        <w:t> </w:t>
      </w:r>
      <w:r>
        <w:rPr>
          <w:sz w:val="20"/>
        </w:rPr>
        <w:t>nárok</w:t>
      </w:r>
      <w:r>
        <w:rPr>
          <w:spacing w:val="-14"/>
          <w:sz w:val="20"/>
        </w:rPr>
        <w:t> </w:t>
      </w:r>
      <w:r>
        <w:rPr>
          <w:sz w:val="20"/>
        </w:rPr>
        <w:t>(i</w:t>
      </w:r>
      <w:r>
        <w:rPr>
          <w:spacing w:val="-12"/>
          <w:sz w:val="20"/>
        </w:rPr>
        <w:t> </w:t>
      </w:r>
      <w:r>
        <w:rPr>
          <w:sz w:val="20"/>
        </w:rPr>
        <w:t>zpětně)</w:t>
      </w:r>
      <w:r>
        <w:rPr>
          <w:spacing w:val="-13"/>
          <w:sz w:val="20"/>
        </w:rPr>
        <w:t> </w:t>
      </w:r>
      <w:r>
        <w:rPr>
          <w:sz w:val="20"/>
        </w:rPr>
        <w:t>na</w:t>
      </w:r>
      <w:r>
        <w:rPr>
          <w:spacing w:val="-14"/>
          <w:sz w:val="20"/>
        </w:rPr>
        <w:t> </w:t>
      </w:r>
      <w:r>
        <w:rPr>
          <w:sz w:val="20"/>
        </w:rPr>
        <w:t>její</w:t>
      </w:r>
      <w:r>
        <w:rPr>
          <w:spacing w:val="-14"/>
          <w:sz w:val="20"/>
        </w:rPr>
        <w:t> </w:t>
      </w:r>
      <w:r>
        <w:rPr>
          <w:sz w:val="20"/>
        </w:rPr>
        <w:t>odpočet,</w:t>
      </w:r>
      <w:r>
        <w:rPr>
          <w:spacing w:val="-12"/>
          <w:sz w:val="20"/>
        </w:rPr>
        <w:t> </w:t>
      </w:r>
      <w:r>
        <w:rPr>
          <w:sz w:val="20"/>
        </w:rPr>
        <w:t>tj.</w:t>
      </w:r>
      <w:r>
        <w:rPr>
          <w:spacing w:val="-14"/>
          <w:sz w:val="20"/>
        </w:rPr>
        <w:t> </w:t>
      </w:r>
      <w:r>
        <w:rPr>
          <w:sz w:val="20"/>
        </w:rPr>
        <w:t>bez</w:t>
      </w:r>
      <w:r>
        <w:rPr>
          <w:spacing w:val="-13"/>
          <w:sz w:val="20"/>
        </w:rPr>
        <w:t> </w:t>
      </w:r>
      <w:r>
        <w:rPr>
          <w:spacing w:val="-2"/>
          <w:sz w:val="20"/>
        </w:rPr>
        <w:t>ohledu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668" w:right="119"/>
        <w:jc w:val="both"/>
      </w:pPr>
      <w:r>
        <w:rPr/>
        <w:t>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8"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3" w:after="0"/>
        <w:ind w:left="668" w:right="108"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3"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19"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3"/>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2"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8"/>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0"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1"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4"/>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18"/>
        <w:ind w:left="385"/>
      </w:pPr>
      <w:r>
        <w:rPr/>
        <w:t>V</w:t>
      </w:r>
      <w:r>
        <w:rPr>
          <w:spacing w:val="16"/>
        </w:rPr>
        <w:t> </w:t>
      </w:r>
      <w:r>
        <w:rPr/>
        <w:t>případě</w:t>
      </w:r>
      <w:r>
        <w:rPr>
          <w:spacing w:val="14"/>
        </w:rPr>
        <w:t> </w:t>
      </w:r>
      <w:r>
        <w:rPr/>
        <w:t>nesplnění</w:t>
      </w:r>
      <w:r>
        <w:rPr>
          <w:spacing w:val="15"/>
        </w:rPr>
        <w:t> </w:t>
      </w:r>
      <w:r>
        <w:rPr/>
        <w:t>nebo</w:t>
      </w:r>
      <w:r>
        <w:rPr>
          <w:spacing w:val="17"/>
        </w:rPr>
        <w:t> </w:t>
      </w:r>
      <w:r>
        <w:rPr/>
        <w:t>částečného</w:t>
      </w:r>
      <w:r>
        <w:rPr>
          <w:spacing w:val="17"/>
        </w:rPr>
        <w:t> </w:t>
      </w:r>
      <w:r>
        <w:rPr/>
        <w:t>naplnění</w:t>
      </w:r>
      <w:r>
        <w:rPr>
          <w:spacing w:val="15"/>
        </w:rPr>
        <w:t> </w:t>
      </w:r>
      <w:r>
        <w:rPr/>
        <w:t>více</w:t>
      </w:r>
      <w:r>
        <w:rPr>
          <w:spacing w:val="14"/>
        </w:rPr>
        <w:t> </w:t>
      </w:r>
      <w:r>
        <w:rPr/>
        <w:t>než</w:t>
      </w:r>
      <w:r>
        <w:rPr>
          <w:spacing w:val="16"/>
        </w:rPr>
        <w:t> </w:t>
      </w:r>
      <w:r>
        <w:rPr/>
        <w:t>jednoho</w:t>
      </w:r>
      <w:r>
        <w:rPr>
          <w:spacing w:val="16"/>
        </w:rPr>
        <w:t> </w:t>
      </w:r>
      <w:r>
        <w:rPr/>
        <w:t>ze</w:t>
      </w:r>
      <w:r>
        <w:rPr>
          <w:spacing w:val="15"/>
        </w:rPr>
        <w:t> </w:t>
      </w:r>
      <w:r>
        <w:rPr/>
        <w:t>závazných</w:t>
      </w:r>
      <w:r>
        <w:rPr>
          <w:spacing w:val="15"/>
        </w:rPr>
        <w:t> </w:t>
      </w:r>
      <w:r>
        <w:rPr/>
        <w:t>indikátorů</w:t>
      </w:r>
      <w:r>
        <w:rPr>
          <w:spacing w:val="18"/>
        </w:rPr>
        <w:t> </w:t>
      </w:r>
      <w:r>
        <w:rPr/>
        <w:t>akce</w:t>
      </w:r>
      <w:r>
        <w:rPr>
          <w:spacing w:val="14"/>
        </w:rPr>
        <w:t> </w:t>
      </w:r>
      <w:r>
        <w:rPr>
          <w:spacing w:val="-2"/>
        </w:rPr>
        <w:t>podle</w:t>
      </w:r>
    </w:p>
    <w:p>
      <w:pPr>
        <w:spacing w:after="0"/>
        <w:sectPr>
          <w:pgSz w:w="12240" w:h="15840"/>
          <w:pgMar w:header="708" w:footer="771" w:top="2040" w:bottom="960" w:left="1600" w:right="1020"/>
        </w:sectPr>
      </w:pPr>
    </w:p>
    <w:p>
      <w:pPr>
        <w:pStyle w:val="BodyText"/>
        <w:spacing w:before="12"/>
        <w:rPr>
          <w:sz w:val="9"/>
        </w:rPr>
      </w:pPr>
    </w:p>
    <w:p>
      <w:pPr>
        <w:pStyle w:val="BodyText"/>
        <w:spacing w:before="99"/>
        <w:ind w:left="385" w:right="119"/>
        <w:jc w:val="both"/>
      </w:pPr>
      <w:r>
        <w:rPr/>
        <w:t>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8"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5"/>
          <w:sz w:val="20"/>
        </w:rPr>
        <w:t> </w:t>
      </w:r>
      <w:r>
        <w:rPr>
          <w:sz w:val="20"/>
        </w:rPr>
        <w:t>takto:</w:t>
      </w:r>
      <w:r>
        <w:rPr>
          <w:spacing w:val="35"/>
          <w:sz w:val="20"/>
        </w:rPr>
        <w:t> </w:t>
      </w:r>
      <w:r>
        <w:rPr>
          <w:sz w:val="20"/>
        </w:rPr>
        <w:t>do</w:t>
      </w:r>
      <w:r>
        <w:rPr>
          <w:spacing w:val="35"/>
          <w:sz w:val="20"/>
        </w:rPr>
        <w:t> </w:t>
      </w:r>
      <w:r>
        <w:rPr>
          <w:sz w:val="20"/>
        </w:rPr>
        <w:t>60</w:t>
      </w:r>
      <w:r>
        <w:rPr>
          <w:spacing w:val="35"/>
          <w:sz w:val="20"/>
        </w:rPr>
        <w:t> </w:t>
      </w:r>
      <w:r>
        <w:rPr>
          <w:sz w:val="20"/>
        </w:rPr>
        <w:t>kalendářních</w:t>
      </w:r>
      <w:r>
        <w:rPr>
          <w:spacing w:val="34"/>
          <w:sz w:val="20"/>
        </w:rPr>
        <w:t> </w:t>
      </w:r>
      <w:r>
        <w:rPr>
          <w:sz w:val="20"/>
        </w:rPr>
        <w:t>dní</w:t>
      </w:r>
      <w:r>
        <w:rPr>
          <w:spacing w:val="34"/>
          <w:sz w:val="20"/>
        </w:rPr>
        <w:t> </w:t>
      </w:r>
      <w:r>
        <w:rPr>
          <w:sz w:val="20"/>
        </w:rPr>
        <w:t>bez</w:t>
      </w:r>
      <w:r>
        <w:rPr>
          <w:spacing w:val="35"/>
          <w:sz w:val="20"/>
        </w:rPr>
        <w:t> </w:t>
      </w:r>
      <w:r>
        <w:rPr>
          <w:sz w:val="20"/>
        </w:rPr>
        <w:t>postihu,</w:t>
      </w:r>
      <w:r>
        <w:rPr>
          <w:spacing w:val="36"/>
          <w:sz w:val="20"/>
        </w:rPr>
        <w:t> </w:t>
      </w:r>
      <w:r>
        <w:rPr>
          <w:sz w:val="20"/>
        </w:rPr>
        <w:t>od</w:t>
      </w:r>
      <w:r>
        <w:rPr>
          <w:spacing w:val="35"/>
          <w:sz w:val="20"/>
        </w:rPr>
        <w:t> </w:t>
      </w:r>
      <w:r>
        <w:rPr>
          <w:sz w:val="20"/>
        </w:rPr>
        <w:t>61</w:t>
      </w:r>
      <w:r>
        <w:rPr>
          <w:spacing w:val="40"/>
          <w:sz w:val="20"/>
        </w:rPr>
        <w:t> </w:t>
      </w:r>
      <w:r>
        <w:rPr>
          <w:sz w:val="20"/>
        </w:rPr>
        <w:t>do</w:t>
      </w:r>
      <w:r>
        <w:rPr>
          <w:spacing w:val="35"/>
          <w:sz w:val="20"/>
        </w:rPr>
        <w:t> </w:t>
      </w:r>
      <w:r>
        <w:rPr>
          <w:sz w:val="20"/>
        </w:rPr>
        <w:t>120</w:t>
      </w:r>
      <w:r>
        <w:rPr>
          <w:spacing w:val="35"/>
          <w:sz w:val="20"/>
        </w:rPr>
        <w:t> </w:t>
      </w:r>
      <w:r>
        <w:rPr>
          <w:sz w:val="20"/>
        </w:rPr>
        <w:t>kalendářních</w:t>
      </w:r>
      <w:r>
        <w:rPr>
          <w:spacing w:val="34"/>
          <w:sz w:val="20"/>
        </w:rPr>
        <w:t> </w:t>
      </w:r>
      <w:r>
        <w:rPr>
          <w:sz w:val="20"/>
        </w:rPr>
        <w:t>dní</w:t>
      </w:r>
      <w:r>
        <w:rPr>
          <w:spacing w:val="34"/>
          <w:sz w:val="20"/>
        </w:rPr>
        <w:t> </w:t>
      </w:r>
      <w:r>
        <w:rPr>
          <w:sz w:val="20"/>
        </w:rPr>
        <w:t>odvod</w:t>
      </w:r>
      <w:r>
        <w:rPr>
          <w:spacing w:val="35"/>
          <w:sz w:val="20"/>
        </w:rPr>
        <w:t> </w:t>
      </w:r>
      <w:r>
        <w:rPr>
          <w:sz w:val="20"/>
        </w:rPr>
        <w:t>0,5</w:t>
      </w:r>
      <w:r>
        <w:rPr>
          <w:spacing w:val="35"/>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19" w:after="0"/>
        <w:ind w:left="385" w:right="114"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2"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spacing w:before="12"/>
        <w:rPr>
          <w:sz w:val="19"/>
        </w:rPr>
      </w:pPr>
    </w:p>
    <w:p>
      <w:pPr>
        <w:pStyle w:val="Heading1"/>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1"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w:t>
      </w:r>
      <w:r>
        <w:rPr>
          <w:spacing w:val="-2"/>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113" w:hanging="284"/>
        <w:jc w:val="left"/>
        <w:rPr>
          <w:sz w:val="20"/>
        </w:rPr>
      </w:pPr>
      <w:r>
        <w:rPr>
          <w:sz w:val="20"/>
        </w:rPr>
        <w:t>Jednostranně je možno tuto Smlouvu vypovědět pouze za podmínek stanovených zákonem či</w:t>
      </w:r>
      <w:r>
        <w:rPr>
          <w:spacing w:val="25"/>
          <w:sz w:val="20"/>
        </w:rPr>
        <w:t> </w:t>
      </w:r>
      <w:r>
        <w:rPr>
          <w:sz w:val="20"/>
        </w:rPr>
        <w:t>touto</w:t>
      </w:r>
      <w:r>
        <w:rPr>
          <w:spacing w:val="80"/>
          <w:sz w:val="20"/>
        </w:rPr>
        <w:t> </w:t>
      </w:r>
      <w:r>
        <w:rPr>
          <w:spacing w:val="-2"/>
          <w:sz w:val="20"/>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5"/>
          <w:sz w:val="20"/>
        </w:rPr>
        <w:t> </w:t>
      </w:r>
      <w:r>
        <w:rPr>
          <w:sz w:val="20"/>
        </w:rPr>
        <w:t>účely</w:t>
      </w:r>
      <w:r>
        <w:rPr>
          <w:spacing w:val="-7"/>
          <w:sz w:val="20"/>
        </w:rPr>
        <w:t> </w:t>
      </w:r>
      <w:r>
        <w:rPr>
          <w:sz w:val="20"/>
        </w:rPr>
        <w:t>této</w:t>
      </w:r>
      <w:r>
        <w:rPr>
          <w:spacing w:val="-6"/>
          <w:sz w:val="20"/>
        </w:rPr>
        <w:t> </w:t>
      </w:r>
      <w:r>
        <w:rPr>
          <w:sz w:val="20"/>
        </w:rPr>
        <w:t>Smlouvy</w:t>
      </w:r>
      <w:r>
        <w:rPr>
          <w:spacing w:val="-4"/>
          <w:sz w:val="20"/>
        </w:rPr>
        <w:t> </w:t>
      </w:r>
      <w:r>
        <w:rPr>
          <w:sz w:val="20"/>
        </w:rPr>
        <w:t>má</w:t>
      </w:r>
      <w:r>
        <w:rPr>
          <w:spacing w:val="-4"/>
          <w:sz w:val="20"/>
        </w:rPr>
        <w:t> </w:t>
      </w:r>
      <w:r>
        <w:rPr>
          <w:sz w:val="20"/>
        </w:rPr>
        <w:t>povinnost</w:t>
      </w:r>
      <w:r>
        <w:rPr>
          <w:spacing w:val="-7"/>
          <w:sz w:val="20"/>
        </w:rPr>
        <w:t> </w:t>
      </w:r>
      <w:r>
        <w:rPr>
          <w:sz w:val="20"/>
        </w:rPr>
        <w:t>příjemce</w:t>
      </w:r>
      <w:r>
        <w:rPr>
          <w:spacing w:val="-7"/>
          <w:sz w:val="20"/>
        </w:rPr>
        <w:t> </w:t>
      </w:r>
      <w:r>
        <w:rPr>
          <w:sz w:val="20"/>
        </w:rPr>
        <w:t>podpory</w:t>
      </w:r>
      <w:r>
        <w:rPr>
          <w:spacing w:val="-7"/>
          <w:sz w:val="20"/>
        </w:rPr>
        <w:t> </w:t>
      </w:r>
      <w:r>
        <w:rPr>
          <w:sz w:val="20"/>
        </w:rPr>
        <w:t>stejný</w:t>
      </w:r>
      <w:r>
        <w:rPr>
          <w:spacing w:val="-7"/>
          <w:sz w:val="20"/>
        </w:rPr>
        <w:t> </w:t>
      </w:r>
      <w:r>
        <w:rPr>
          <w:sz w:val="20"/>
        </w:rPr>
        <w:t>význam</w:t>
      </w:r>
      <w:r>
        <w:rPr>
          <w:spacing w:val="-7"/>
          <w:sz w:val="20"/>
        </w:rPr>
        <w:t> </w:t>
      </w:r>
      <w:r>
        <w:rPr>
          <w:sz w:val="20"/>
        </w:rPr>
        <w:t>jako</w:t>
      </w:r>
      <w:r>
        <w:rPr>
          <w:spacing w:val="-6"/>
          <w:sz w:val="20"/>
        </w:rPr>
        <w:t> </w:t>
      </w:r>
      <w:r>
        <w:rPr>
          <w:sz w:val="20"/>
        </w:rPr>
        <w:t>závazek</w:t>
      </w:r>
      <w:r>
        <w:rPr>
          <w:spacing w:val="-7"/>
          <w:sz w:val="20"/>
        </w:rPr>
        <w:t> </w:t>
      </w:r>
      <w:r>
        <w:rPr>
          <w:sz w:val="20"/>
        </w:rPr>
        <w:t>příjemce</w:t>
      </w:r>
      <w:r>
        <w:rPr>
          <w:spacing w:val="-7"/>
          <w:sz w:val="20"/>
        </w:rPr>
        <w:t> </w:t>
      </w:r>
      <w:r>
        <w:rPr>
          <w:spacing w:val="-2"/>
          <w:sz w:val="20"/>
        </w:rPr>
        <w:t>podpory.</w:t>
      </w:r>
    </w:p>
    <w:p>
      <w:pPr>
        <w:pStyle w:val="ListParagraph"/>
        <w:numPr>
          <w:ilvl w:val="0"/>
          <w:numId w:val="6"/>
        </w:numPr>
        <w:tabs>
          <w:tab w:pos="386" w:val="left" w:leader="none"/>
        </w:tabs>
        <w:spacing w:line="240" w:lineRule="auto" w:before="118" w:after="0"/>
        <w:ind w:left="385" w:right="120"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37"/>
          <w:sz w:val="20"/>
        </w:rPr>
        <w:t> </w:t>
      </w:r>
      <w:r>
        <w:rPr>
          <w:sz w:val="20"/>
        </w:rPr>
        <w:t>v</w:t>
      </w:r>
      <w:r>
        <w:rPr>
          <w:spacing w:val="-1"/>
          <w:sz w:val="20"/>
        </w:rPr>
        <w:t> </w:t>
      </w:r>
      <w:r>
        <w:rPr>
          <w:sz w:val="20"/>
        </w:rPr>
        <w:t>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8"/>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2"/>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3"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1"/>
          <w:sz w:val="20"/>
        </w:rPr>
        <w:t> </w:t>
      </w:r>
      <w:r>
        <w:rPr>
          <w:sz w:val="20"/>
        </w:rPr>
        <w:t>bude</w:t>
      </w:r>
      <w:r>
        <w:rPr>
          <w:spacing w:val="-11"/>
          <w:sz w:val="20"/>
        </w:rPr>
        <w:t> </w:t>
      </w:r>
      <w:r>
        <w:rPr>
          <w:sz w:val="20"/>
        </w:rPr>
        <w:t>identifikováno</w:t>
      </w:r>
      <w:r>
        <w:rPr>
          <w:spacing w:val="-10"/>
          <w:sz w:val="20"/>
        </w:rPr>
        <w:t> </w:t>
      </w:r>
      <w:r>
        <w:rPr>
          <w:sz w:val="20"/>
        </w:rPr>
        <w:t>porušení,</w:t>
      </w:r>
      <w:r>
        <w:rPr>
          <w:spacing w:val="-9"/>
          <w:sz w:val="20"/>
        </w:rPr>
        <w:t> </w:t>
      </w:r>
      <w:r>
        <w:rPr>
          <w:sz w:val="20"/>
        </w:rPr>
        <w:t>které</w:t>
      </w:r>
      <w:r>
        <w:rPr>
          <w:spacing w:val="-11"/>
          <w:sz w:val="20"/>
        </w:rPr>
        <w:t> </w:t>
      </w:r>
      <w:r>
        <w:rPr>
          <w:sz w:val="20"/>
        </w:rPr>
        <w:t>nelze</w:t>
      </w:r>
      <w:r>
        <w:rPr>
          <w:spacing w:val="-10"/>
          <w:sz w:val="20"/>
        </w:rPr>
        <w:t> </w:t>
      </w:r>
      <w:r>
        <w:rPr>
          <w:sz w:val="20"/>
        </w:rPr>
        <w:t>podřadit</w:t>
      </w:r>
      <w:r>
        <w:rPr>
          <w:spacing w:val="-11"/>
          <w:sz w:val="20"/>
        </w:rPr>
        <w:t> </w:t>
      </w:r>
      <w:r>
        <w:rPr>
          <w:sz w:val="20"/>
        </w:rPr>
        <w:t>pod</w:t>
      </w:r>
      <w:r>
        <w:rPr>
          <w:spacing w:val="-11"/>
          <w:sz w:val="20"/>
        </w:rPr>
        <w:t> </w:t>
      </w:r>
      <w:r>
        <w:rPr>
          <w:sz w:val="20"/>
        </w:rPr>
        <w:t>konkrétní</w:t>
      </w:r>
      <w:r>
        <w:rPr>
          <w:spacing w:val="-11"/>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19"/>
              <w:jc w:val="both"/>
              <w:rPr>
                <w:sz w:val="20"/>
              </w:rPr>
            </w:pPr>
            <w:r>
              <w:rPr>
                <w:sz w:val="20"/>
              </w:rPr>
              <w:t>25 %, pokud byla dodržena určitá</w:t>
            </w:r>
            <w:r>
              <w:rPr>
                <w:spacing w:val="-10"/>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3"/>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3"/>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6"/>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2"/>
                <w:sz w:val="20"/>
              </w:rPr>
              <w:t> </w:t>
            </w:r>
            <w:r>
              <w:rPr>
                <w:sz w:val="20"/>
              </w:rPr>
              <w:t>pokud</w:t>
            </w:r>
            <w:r>
              <w:rPr>
                <w:spacing w:val="-3"/>
                <w:sz w:val="20"/>
              </w:rPr>
              <w:t> </w:t>
            </w:r>
            <w:r>
              <w:rPr>
                <w:sz w:val="20"/>
              </w:rPr>
              <w:t>došlo</w:t>
            </w:r>
            <w:r>
              <w:rPr>
                <w:spacing w:val="-4"/>
                <w:sz w:val="20"/>
              </w:rPr>
              <w:t> </w:t>
            </w:r>
            <w:r>
              <w:rPr>
                <w:sz w:val="20"/>
              </w:rPr>
              <w:t>k</w:t>
            </w:r>
            <w:r>
              <w:rPr>
                <w:spacing w:val="-2"/>
                <w:sz w:val="20"/>
              </w:rPr>
              <w:t> 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0"/>
              <w:rPr>
                <w:sz w:val="20"/>
              </w:rPr>
            </w:pPr>
            <w:r>
              <w:rPr>
                <w:sz w:val="20"/>
              </w:rPr>
              <w:t>řízení</w:t>
            </w:r>
            <w:r>
              <w:rPr>
                <w:spacing w:val="-14"/>
                <w:sz w:val="20"/>
              </w:rPr>
              <w:t> </w:t>
            </w:r>
            <w:r>
              <w:rPr>
                <w:sz w:val="20"/>
              </w:rPr>
              <w:t>s</w:t>
            </w:r>
            <w:r>
              <w:rPr>
                <w:spacing w:val="-13"/>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238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358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2024-01-22T09:23:26Z</dcterms:created>
  <dcterms:modified xsi:type="dcterms:W3CDTF">2024-01-22T09:23:26Z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Microsoft® Word 2016</vt:lpwstr>
  </property>
  <property fmtid="{D5CDD505-2E9C-101B-9397-08002B2CF9AE}" pid="4" name="LastSaved">
    <vt:filetime>2024-01-22T00:00:00Z</vt:filetime>
  </property>
</Properties>
</file>