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5 - Přehled sankcí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Definice pojmů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Úklid</w:t>
      </w:r>
      <w:bookmarkEnd w:id="2"/>
      <w:bookmarkEnd w:id="3"/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Objekt: XXX</w:t>
      </w:r>
      <w:bookmarkEnd w:id="4"/>
      <w:bookmarkEnd w:id="5"/>
    </w:p>
    <w:tbl>
      <w:tblPr>
        <w:tblOverlap w:val="never"/>
        <w:jc w:val="center"/>
        <w:tblLayout w:type="fixed"/>
      </w:tblPr>
      <w:tblGrid>
        <w:gridCol w:w="2357"/>
        <w:gridCol w:w="8534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69BD27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Pojem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69BD27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20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"Mimořádná událost"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Znamená přírodní pohromu (např. povodeň), ekologickou nebo průmyslovou nehodu, incident, zranění, požár nebo jiné závažné nebezpečí, při kterém vzniká ohrožení života a/nebo zdraví a/nebo životního prostředí a/nebo materiálních hodnot, tj. události, které vyžadují, podle jejich rozsahu a velikosti ohrožení následující akce: přerušení provozu a/nebo okamžitou evakuaci Objektu nebo jeho části a/nebo poskytnutí První pomoci a/nebo povolání zejména Zdravotnické záchranné služby nebo Hasičského záchranného sboru, a/nebo Policie ČR a/nebo provedení požárního zásahu, záchraných a likvidačních prací, nebo jakýchkoli jiných opatření.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"Mimořádná situace"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Znamená neobvyklý, omezující nebo nežádoucí provozní stav, jehož likvidace/zamezení šíření může navrátit původní provozní stav, ale ztráta kontroly nad takovou situací může vést ke vzniku Požáru nebo Mimořádné události.</w:t>
            </w:r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"Havárie"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Znamená Výpadek, který brání řádnému provozu Objektu nebo jeho části, nebo způsobuje ohrožení života nebo zdraví, škodu na zařízení TZB, a jeho odstranění nesnese odkladu (např. výpadek elektrických rozvodů, vytápění a větrání nebo chlazení).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357"/>
        <w:gridCol w:w="8534"/>
      </w:tblGrid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"Vážná porucha"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Znamená Výpadek, který brání řádnému provozu Objektu nebo jeho části, ale nezpůsobuje ohrožení života nebo zdraví, škodu na zařízení TZB, a jeho odstranění není nutné okamžítě (např. menší zatékání).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"Porucha"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Znamená Výpadek, který nebrání řádnému provozu Objektu nebo jeho části, ani nezpůsobuje ohrožení života nebo zdraví, škodu na zařízení TZB, a jeho odstranění snese důvodný odklad (např. menší praskliny skla, SDK konstrukcí, nedostatky v dodávce Služeb Poskytovatele tak, jak jsou uvedeny ve Smlouvě.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"Výpadek"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Znamená Havárii, Vážnou závadu nebo Poruchu.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"Zařízení"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Znamená jakékoli vybavení, zařízení, inženýrské sítě a stavební konstrukce, které jsou potřebné pro provoz Objektu a jsou uvedeny v Dokumentaci skutečného provedení nebo Dokumentaci pro realizaci stavby nebo seznamu TZB zařízení nebo v jiném platném přehledu Zařízení.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2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provedení konečné nápravy stavu (podle dostupnosti náhradních dílů, specializovaných dodavatelů apod.) budou provedena preventivní opatření pro zajištění běžného provozu, zamezení vzniku škody a zajištění bezpečnosti. Poskytovatel samostatně řeší Mimořádné situace a události a neprodleně informuje Objednatele, dokud nedostane další pokyny. Následně pracuje podle pokynů Objednatele. Poskytovatel vždy koná tak, aby maximálně omezil vliv jakýchkoliv Výpadků na normální provoz.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2566" w:left="2658" w:right="3292" w:bottom="3076" w:header="2138" w:footer="264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Nadpis #1_"/>
    <w:basedOn w:val="DefaultParagraphFont"/>
    <w:link w:val="Style6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CharStyle9">
    <w:name w:val="Nadpis #3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Základní text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14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14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after="140"/>
      <w:outlineLvl w:val="0"/>
    </w:pPr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Style8">
    <w:name w:val="Nadpis #3"/>
    <w:basedOn w:val="Normal"/>
    <w:link w:val="CharStyle9"/>
    <w:pPr>
      <w:widowControl w:val="0"/>
      <w:shd w:val="clear" w:color="auto" w:fill="FFFFFF"/>
      <w:spacing w:after="14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Základní text"/>
    <w:basedOn w:val="Normal"/>
    <w:link w:val="CharStyle15"/>
    <w:pPr>
      <w:widowControl w:val="0"/>
      <w:shd w:val="clear" w:color="auto" w:fill="FFFFFF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daniel.stys</dc:creator>
  <cp:keywords/>
</cp:coreProperties>
</file>