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3 Smlouvy - Rekapitulace ceny za pravidelné úklidové služby</w:t>
      </w:r>
    </w:p>
    <w:tbl>
      <w:tblPr>
        <w:tblOverlap w:val="never"/>
        <w:jc w:val="center"/>
        <w:tblLayout w:type="fixed"/>
      </w:tblPr>
      <w:tblGrid>
        <w:gridCol w:w="5179"/>
        <w:gridCol w:w="1901"/>
        <w:gridCol w:w="1435"/>
        <w:gridCol w:w="1920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Národní galerie v Praze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včetně DPH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Palác Kinských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4 270 323,12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896 767,85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5 167 090,97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Klášter sv. Anežky České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4 668 663,71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980 419,38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5 649 083,09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Veletržní palác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19 077 874,50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4 006 353,64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23 084 228,14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Salmovský palác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2 452 139,93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514 949,39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2 967 089,32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Schwarzenberský palác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3 169 709,76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665 639,05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3 835 348,81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Šternberský palác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3 012 699,51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632 666,90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3 645 366,41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Valdštejnská jízdárna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1 772 168,35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372 155,35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2 144 323,71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38 423 578,88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8 068 951,57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46 492 530,45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698" w:left="1707" w:right="4697" w:bottom="1698" w:header="1270" w:footer="127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tabulky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Jiné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itulek tabulky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  <w:ind w:firstLine="3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uživatel</dc:creator>
  <cp:keywords/>
</cp:coreProperties>
</file>