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27F84C39" w:rsidR="00D859C2" w:rsidRPr="00726B26" w:rsidRDefault="00203DA7" w:rsidP="00D859C2">
      <w:pPr>
        <w:rPr>
          <w:b/>
        </w:rPr>
      </w:pPr>
      <w:r w:rsidRPr="00203DA7">
        <w:rPr>
          <w:b/>
        </w:rPr>
        <w:t>CHEIRÓN a.s.</w:t>
      </w:r>
    </w:p>
    <w:p w14:paraId="3DADA2B1" w14:textId="4EAA8DC4" w:rsidR="00D859C2" w:rsidRDefault="00D859C2" w:rsidP="00D859C2">
      <w:r>
        <w:t xml:space="preserve">IČ: </w:t>
      </w:r>
      <w:r w:rsidR="00203DA7">
        <w:t>27094987</w:t>
      </w:r>
    </w:p>
    <w:p w14:paraId="494735B8" w14:textId="7CC9DED7" w:rsidR="00D859C2" w:rsidRPr="00512AB9" w:rsidRDefault="00D859C2" w:rsidP="00D859C2">
      <w:r>
        <w:t xml:space="preserve">DIČ: </w:t>
      </w:r>
      <w:r w:rsidR="00203DA7">
        <w:t>CZ27094987</w:t>
      </w:r>
    </w:p>
    <w:p w14:paraId="4BE4B061" w14:textId="6BC3E020" w:rsidR="00D859C2" w:rsidRPr="00512AB9" w:rsidRDefault="00D859C2" w:rsidP="00D859C2">
      <w:r>
        <w:t>se sídlem</w:t>
      </w:r>
      <w:r w:rsidRPr="00512AB9">
        <w:t xml:space="preserve">: </w:t>
      </w:r>
      <w:r w:rsidR="00203DA7">
        <w:t>Kukulova 24, 169 00 Praha 6, Břevnov</w:t>
      </w:r>
    </w:p>
    <w:p w14:paraId="1F4F5F98" w14:textId="7BFFED51" w:rsidR="00D859C2" w:rsidRPr="00512AB9" w:rsidRDefault="00D859C2" w:rsidP="00D859C2">
      <w:r>
        <w:t>zastoupena</w:t>
      </w:r>
      <w:r w:rsidRPr="00512AB9">
        <w:t xml:space="preserve">: </w:t>
      </w:r>
      <w:r w:rsidR="00203DA7">
        <w:t>Ing. Jindřichem Petříkem, MBA, členem představenstva</w:t>
      </w:r>
    </w:p>
    <w:p w14:paraId="43130257" w14:textId="52975502" w:rsidR="00D859C2" w:rsidRPr="00512AB9" w:rsidRDefault="00D859C2" w:rsidP="00D859C2">
      <w:r w:rsidRPr="00512AB9">
        <w:t xml:space="preserve">bankovní spojení: </w:t>
      </w:r>
      <w:r w:rsidR="00203DA7">
        <w:t>ČSOB a.s.</w:t>
      </w:r>
    </w:p>
    <w:p w14:paraId="4B4D9F51" w14:textId="0C0AAC38" w:rsidR="00D859C2" w:rsidRPr="00512AB9" w:rsidRDefault="00D859C2" w:rsidP="00D859C2">
      <w:r w:rsidRPr="00512AB9">
        <w:t xml:space="preserve">číslo účtu: </w:t>
      </w:r>
      <w:r w:rsidR="00203DA7">
        <w:t>279233863/0300</w:t>
      </w:r>
    </w:p>
    <w:p w14:paraId="7BE5CCD9" w14:textId="0D5472C6" w:rsidR="00D859C2" w:rsidRPr="00512AB9" w:rsidRDefault="00D859C2" w:rsidP="00D859C2">
      <w:r>
        <w:t>z</w:t>
      </w:r>
      <w:r w:rsidRPr="00512AB9">
        <w:t>apsán</w:t>
      </w:r>
      <w:r>
        <w:t>a</w:t>
      </w:r>
      <w:r w:rsidRPr="00512AB9">
        <w:t xml:space="preserve"> v obchodním rejstříku vedeném </w:t>
      </w:r>
      <w:r w:rsidR="00203DA7">
        <w:t>Městským</w:t>
      </w:r>
      <w:r>
        <w:t xml:space="preserve"> </w:t>
      </w:r>
      <w:r w:rsidRPr="00652864">
        <w:t>soudem v </w:t>
      </w:r>
      <w:r w:rsidR="00203DA7">
        <w:t>Praze</w:t>
      </w:r>
      <w:r w:rsidRPr="00652864">
        <w:t xml:space="preserve">, oddíl </w:t>
      </w:r>
      <w:r w:rsidR="00203DA7">
        <w:t>B</w:t>
      </w:r>
      <w:r w:rsidRPr="00652864">
        <w:t xml:space="preserve">, vložka </w:t>
      </w:r>
      <w:r w:rsidR="00203DA7">
        <w:t>8964</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69903D72"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AE7691">
        <w:rPr>
          <w:b/>
        </w:rPr>
        <w:t>„</w:t>
      </w:r>
      <w:r w:rsidR="00584D98" w:rsidRPr="00AE7691">
        <w:rPr>
          <w:b/>
        </w:rPr>
        <w:t>Vysokofrekvenční tryskový ventilátor</w:t>
      </w:r>
      <w:r w:rsidR="00584D98">
        <w:t xml:space="preserve">“ </w:t>
      </w:r>
      <w:r>
        <w:t>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4E5AEB2B"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w:t>
      </w:r>
      <w:r w:rsidR="00196060">
        <w:t>.</w:t>
      </w:r>
      <w:r w:rsidR="00C9479B">
        <w:t xml:space="preserve"> </w:t>
      </w:r>
      <w:r w:rsidR="00196060">
        <w:t>V</w:t>
      </w:r>
      <w:r w:rsidR="00C9479B">
        <w:t> případě rozporu mezi přílohou č. 1 a Zadávací dokumentací má přednost Zadávací dokumentace</w:t>
      </w:r>
      <w:r>
        <w:t>.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09F29B11" w:rsidR="00F83E0D" w:rsidRDefault="00F83E0D" w:rsidP="00F83E0D">
      <w:pPr>
        <w:pStyle w:val="Odstavecsmlouvy"/>
        <w:numPr>
          <w:ilvl w:val="1"/>
          <w:numId w:val="1"/>
        </w:numPr>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F96338">
        <w:t>V</w:t>
      </w:r>
      <w:r>
        <w:fldChar w:fldCharType="end"/>
      </w:r>
      <w:r>
        <w:t> této smlouvy, a to dle specifikace uvedené v příloze č. 1 této smlouvy a v Zadávací dokumentaci (dále jen „</w:t>
      </w:r>
      <w:r w:rsidRPr="00841443">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0719D17C" w14:textId="5C9544F0"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0D020E">
        <w:t>§ 41 zákona č. 375/2022 Sb., o zdravotnických prostředcích a diagnostických zdravotnických prostředcích in vitro, ve znění pozdějších předpisů (dále jen „</w:t>
      </w:r>
      <w:r w:rsidR="000D020E">
        <w:rPr>
          <w:b/>
        </w:rPr>
        <w:t>ZoZP</w:t>
      </w:r>
      <w:r w:rsidR="000D020E">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3D3AA1E8" w14:textId="77777777" w:rsidR="000D020E" w:rsidRDefault="000D020E" w:rsidP="00AE7691">
      <w:pPr>
        <w:pStyle w:val="Odstavecsmlouvy"/>
        <w:numPr>
          <w:ilvl w:val="0"/>
          <w:numId w:val="0"/>
        </w:numPr>
      </w:pPr>
      <w:bookmarkStart w:id="0" w:name="_Ref98508647"/>
    </w:p>
    <w:p w14:paraId="262FC22F" w14:textId="0BC2F664" w:rsidR="009A7E08" w:rsidRDefault="00236BD3"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xml:space="preserve">, bez jakéhokoli omezení, tj. zejména na celém území České republiky, bez omezení počtu užití, jakýchkoli úkonů, pacientů, vyšetření, uživatelů registrovaných nebo současně </w:t>
      </w:r>
      <w:r>
        <w:lastRenderedPageBreak/>
        <w:t>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povinen hradit veškeré náklady nabyvatele licencí vyplývající z Licenčních smluv.</w:t>
      </w:r>
      <w:bookmarkEnd w:id="0"/>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3C352550" w:rsidR="0070757B" w:rsidRDefault="00236BD3" w:rsidP="0070757B">
      <w:pPr>
        <w:pStyle w:val="Odstavecsmlouvy"/>
        <w:numPr>
          <w:ilvl w:val="1"/>
          <w:numId w:val="1"/>
        </w:numPr>
      </w:pPr>
      <w:bookmarkStart w:id="1" w:name="_Ref77341478"/>
      <w:bookmarkStart w:id="2" w:name="_Ref46315892"/>
      <w:bookmarkStart w:id="3" w:name="_Ref116304982"/>
      <w:bookmarkEnd w:id="1"/>
      <w:bookmarkEnd w:id="2"/>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a v Zadávací dokumentaci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3"/>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241F04">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3FAE0A81" w14:textId="15019848" w:rsidR="00FC0959" w:rsidRDefault="00FC0959" w:rsidP="00FC0959">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00A36B03">
        <w:rPr>
          <w:u w:val="single"/>
        </w:rPr>
        <w:t xml:space="preserve">, a to </w:t>
      </w:r>
      <w:r w:rsidRPr="00184F1B">
        <w:rPr>
          <w:u w:val="single"/>
        </w:rPr>
        <w:t xml:space="preserve">tak, aby se konal </w:t>
      </w:r>
      <w:r w:rsidR="00842E64">
        <w:rPr>
          <w:u w:val="single"/>
        </w:rPr>
        <w:t>nejpozději 2 týdny</w:t>
      </w:r>
      <w:r w:rsidRPr="00184F1B">
        <w:rPr>
          <w:u w:val="single"/>
        </w:rPr>
        <w:t xml:space="preserve"> </w:t>
      </w:r>
      <w:r w:rsidR="00842E64">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12D5CBFC" w14:textId="77777777" w:rsidR="00FC0959" w:rsidRDefault="00FC0959" w:rsidP="00FC0959">
      <w:pPr>
        <w:pStyle w:val="Odstavecsmlouvy"/>
        <w:numPr>
          <w:ilvl w:val="0"/>
          <w:numId w:val="0"/>
        </w:numPr>
        <w:ind w:left="567"/>
      </w:pPr>
    </w:p>
    <w:p w14:paraId="09DABF23" w14:textId="77777777" w:rsidR="00AE7691" w:rsidRDefault="00AE7691" w:rsidP="00FC0959">
      <w:pPr>
        <w:pStyle w:val="Odstavecsmlouvy"/>
        <w:numPr>
          <w:ilvl w:val="0"/>
          <w:numId w:val="0"/>
        </w:numPr>
        <w:ind w:left="567"/>
      </w:pPr>
    </w:p>
    <w:p w14:paraId="75136A5D" w14:textId="77777777" w:rsidR="003A1056" w:rsidRPr="00D859C2" w:rsidRDefault="003A1056" w:rsidP="00D859C2">
      <w:pPr>
        <w:pStyle w:val="Nadpis1"/>
      </w:pPr>
      <w:r w:rsidRPr="00D859C2">
        <w:lastRenderedPageBreak/>
        <w:t>Zboží</w:t>
      </w:r>
    </w:p>
    <w:p w14:paraId="583B187E" w14:textId="77777777" w:rsidR="00D859C2" w:rsidRDefault="00D859C2" w:rsidP="00D859C2">
      <w:pPr>
        <w:pStyle w:val="Odstavecsmlouvy"/>
        <w:numPr>
          <w:ilvl w:val="0"/>
          <w:numId w:val="0"/>
        </w:numPr>
        <w:ind w:left="567"/>
      </w:pPr>
    </w:p>
    <w:p w14:paraId="75136A5F" w14:textId="4C3637F8"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03DA7">
        <w:t xml:space="preserve">vysokofrekvenční tryskový ventilátor </w:t>
      </w:r>
      <w:r w:rsidR="00ED1DCF">
        <w:t>k</w:t>
      </w:r>
      <w:r w:rsidR="002F4F30" w:rsidRPr="00D859C2">
        <w:t xml:space="preserve">s </w:t>
      </w:r>
      <w:r w:rsidR="00ED1DCF">
        <w:t>1</w:t>
      </w:r>
      <w:r w:rsidR="008645D8" w:rsidRPr="00D859C2">
        <w:rPr>
          <w:b/>
        </w:rPr>
        <w:t xml:space="preserve">, typ: </w:t>
      </w:r>
      <w:r w:rsidR="00ED1DCF">
        <w:rPr>
          <w:b/>
        </w:rPr>
        <w:t>Twinstream</w:t>
      </w:r>
      <w:r w:rsidR="004453FF" w:rsidRPr="00D859C2">
        <w:rPr>
          <w:b/>
        </w:rPr>
        <w:t xml:space="preserve">, výrobce </w:t>
      </w:r>
      <w:r w:rsidR="00ED1DCF" w:rsidRPr="00ED1DCF">
        <w:rPr>
          <w:b/>
        </w:rPr>
        <w:t>CARL REINER GmbH</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6FEB9B8F" w14:textId="77777777" w:rsidR="004975C3" w:rsidRPr="00D859C2" w:rsidRDefault="004975C3" w:rsidP="004975C3">
      <w:pPr>
        <w:pStyle w:val="Odstavecsmlouvy"/>
      </w:pPr>
      <w:r w:rsidRPr="00D859C2">
        <w:t>Prodávající se zavazuje dodat Kupujícímu společně se Zbožím i veškeré doklady, které se ke Zboží vztahují, tj. zejména doklady nutné k převzetí a k řádnému užívání zboží:</w:t>
      </w:r>
    </w:p>
    <w:p w14:paraId="3CBBC133" w14:textId="77777777" w:rsidR="004975C3" w:rsidRPr="00D859C2" w:rsidRDefault="004975C3" w:rsidP="004975C3">
      <w:pPr>
        <w:pStyle w:val="Psmenoodstavce"/>
      </w:pPr>
      <w:r w:rsidRPr="00D859C2">
        <w:t xml:space="preserve">návod k ovládání Zboží v českém jazyce ve dvou vyhotoveních (1x v listinné podobě, 1x v datové podobě ve formátu </w:t>
      </w:r>
      <w:r>
        <w:t>RTF, DOC, DOCX</w:t>
      </w:r>
      <w:r w:rsidRPr="00D859C2">
        <w:t xml:space="preserve"> nebo </w:t>
      </w:r>
      <w:r>
        <w:t>PDF</w:t>
      </w:r>
      <w:r w:rsidRPr="00D859C2">
        <w:t>);</w:t>
      </w:r>
    </w:p>
    <w:p w14:paraId="09EF8BEF" w14:textId="77777777" w:rsidR="004975C3" w:rsidRPr="00D859C2" w:rsidRDefault="004975C3" w:rsidP="004975C3">
      <w:pPr>
        <w:pStyle w:val="Psmenoodstavce"/>
      </w:pPr>
      <w:r w:rsidRPr="00D231CC">
        <w:t>v elektronické podobě na CD/DVD/USB flash disku ve formátu PDF, PNG nebo JPG CE certifikát a prohlášení o shodě dle zákona č. 22/1997 Sb., o technických požadavcích na výrobky, ve znění pozdějších předpisů</w:t>
      </w:r>
      <w:r>
        <w:t xml:space="preserve"> (dále jen „</w:t>
      </w:r>
      <w:r w:rsidRPr="00994805">
        <w:rPr>
          <w:b/>
        </w:rPr>
        <w:t>ZoTPV</w:t>
      </w:r>
      <w:r>
        <w:t>“)</w:t>
      </w:r>
      <w:r w:rsidRPr="00D231CC">
        <w:t>, a pokud se jedná o zdravotnický prostředek</w:t>
      </w:r>
      <w:r>
        <w:t>,</w:t>
      </w:r>
      <w:r w:rsidRPr="00D231CC">
        <w:t xml:space="preserve"> dle </w:t>
      </w:r>
      <w:r>
        <w:t xml:space="preserve">ZoZP, </w:t>
      </w:r>
      <w:r w:rsidRPr="00D231CC">
        <w:t>nařízení Evropského parlamentu a Rady (EU) 2017/745</w:t>
      </w:r>
      <w:r>
        <w:t>,</w:t>
      </w:r>
      <w:r w:rsidRPr="00D231CC">
        <w:t xml:space="preserve"> o zdravotnických prostředcích</w:t>
      </w:r>
      <w:r>
        <w:t xml:space="preserve"> (dále jen „</w:t>
      </w:r>
      <w:r w:rsidRPr="00994805">
        <w:rPr>
          <w:b/>
        </w:rPr>
        <w:t>MDR</w:t>
      </w:r>
      <w:r>
        <w:t>“)</w:t>
      </w:r>
      <w:r w:rsidRPr="00D231CC">
        <w:t>, příp. dle nařízení Evropského parlamentu a Rady (EU) 2017/746</w:t>
      </w:r>
      <w:r>
        <w:t>,</w:t>
      </w:r>
      <w:r w:rsidRPr="00D231CC">
        <w:t xml:space="preserve"> o diagnostických zdravotnických prostředcích in vitro</w:t>
      </w:r>
      <w:r>
        <w:t xml:space="preserve"> (dále jen „</w:t>
      </w:r>
      <w:r w:rsidRPr="00994805">
        <w:rPr>
          <w:b/>
        </w:rPr>
        <w:t>IVDR</w:t>
      </w:r>
      <w:r>
        <w:t>“)</w:t>
      </w:r>
      <w:r w:rsidRPr="00D231CC">
        <w:t>, s uvedením klasifikační třídy, v českém jazyce a ne starší než 5 let od data vystavení. Zároveň bude na Zboží a v uživatelském návodu ke Zboží grafické znázornění této shody prostřednictvím značky CE</w:t>
      </w:r>
      <w:r w:rsidRPr="00D859C2">
        <w:t>.</w:t>
      </w:r>
    </w:p>
    <w:p w14:paraId="75136A66" w14:textId="5308503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127D8B9"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665CE3">
        <w:rPr>
          <w:b/>
        </w:rPr>
        <w:t xml:space="preserve">do </w:t>
      </w:r>
      <w:r w:rsidR="00665CE3" w:rsidRPr="00665CE3">
        <w:rPr>
          <w:b/>
        </w:rPr>
        <w:t>8</w:t>
      </w:r>
      <w:r w:rsidR="0042712C" w:rsidRPr="00665CE3">
        <w:rPr>
          <w:b/>
        </w:rPr>
        <w:t xml:space="preserve"> </w:t>
      </w:r>
      <w:r w:rsidR="006C3751" w:rsidRPr="00665CE3">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5C3DAC68" w:rsidR="00BE2371" w:rsidRPr="00D859C2" w:rsidRDefault="003F7B02" w:rsidP="00D859C2">
      <w:pPr>
        <w:pStyle w:val="Odstavecsmlouvy"/>
      </w:pPr>
      <w:r w:rsidRPr="00D859C2">
        <w:t xml:space="preserve">Místem dodání Zboží </w:t>
      </w:r>
      <w:r w:rsidR="00665CE3">
        <w:t xml:space="preserve">je Klinika dětské </w:t>
      </w:r>
      <w:r w:rsidR="00665CE3">
        <w:rPr>
          <w:rStyle w:val="slostrnky"/>
          <w:color w:val="000000"/>
        </w:rPr>
        <w:t xml:space="preserve">anesteziologie a resuscitace, </w:t>
      </w:r>
      <w:r w:rsidR="00665CE3" w:rsidRPr="00C47032">
        <w:rPr>
          <w:rStyle w:val="slostrnky"/>
          <w:color w:val="000000"/>
        </w:rPr>
        <w:t xml:space="preserve">Fakultní nemocnice Brno, </w:t>
      </w:r>
      <w:r w:rsidR="00665CE3">
        <w:rPr>
          <w:rStyle w:val="slostrnky"/>
          <w:color w:val="000000"/>
        </w:rPr>
        <w:t>Pracoviště Dětská nemocnice, Černopolní 9</w:t>
      </w:r>
      <w:r w:rsidR="00665CE3" w:rsidRPr="00C47032">
        <w:rPr>
          <w:rStyle w:val="slostrnky"/>
          <w:color w:val="000000"/>
        </w:rPr>
        <w:t>, 6</w:t>
      </w:r>
      <w:r w:rsidR="00665CE3">
        <w:rPr>
          <w:rStyle w:val="slostrnky"/>
          <w:color w:val="000000"/>
        </w:rPr>
        <w:t>13</w:t>
      </w:r>
      <w:r w:rsidR="00665CE3" w:rsidRPr="00C47032">
        <w:rPr>
          <w:rStyle w:val="slostrnky"/>
          <w:color w:val="000000"/>
        </w:rPr>
        <w:t xml:space="preserve"> 00 Brno</w:t>
      </w:r>
      <w:r w:rsidR="00665CE3">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425790DD"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F36DFD">
        <w:t xml:space="preserve"> …………… </w:t>
      </w:r>
      <w:r w:rsidR="00DE3A3F" w:rsidRPr="00D859C2">
        <w:t xml:space="preserve">, tel.: </w:t>
      </w:r>
      <w:r w:rsidR="00F36DFD">
        <w:t xml:space="preserve">……….. </w:t>
      </w:r>
      <w:r w:rsidR="00DE3A3F" w:rsidRPr="00D859C2">
        <w:t>a písemně na e-mail:</w:t>
      </w:r>
      <w:r w:rsidR="00F36DFD">
        <w:t xml:space="preserve"> ………………….</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1" w14:textId="2A26DFC6" w:rsidR="00250E90" w:rsidRDefault="00A131FD" w:rsidP="00665CE3">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modalit (nastavení workflow),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ZoZP</w:t>
      </w:r>
      <w:r w:rsidRPr="00D859C2">
        <w:t>.</w:t>
      </w:r>
    </w:p>
    <w:p w14:paraId="345D4B1F" w14:textId="77777777" w:rsidR="00F36DFD" w:rsidRPr="00D859C2" w:rsidRDefault="00F36DFD" w:rsidP="00F36DFD">
      <w:pPr>
        <w:pStyle w:val="Odstavecsmlouvy"/>
        <w:numPr>
          <w:ilvl w:val="0"/>
          <w:numId w:val="0"/>
        </w:numPr>
      </w:pPr>
    </w:p>
    <w:p w14:paraId="3A2F254D" w14:textId="77777777" w:rsidR="008E314A" w:rsidRPr="00D859C2" w:rsidRDefault="008E314A" w:rsidP="008E314A">
      <w:pPr>
        <w:pStyle w:val="Odstavecsmlouvy"/>
        <w:numPr>
          <w:ilvl w:val="1"/>
          <w:numId w:val="1"/>
        </w:numPr>
      </w:pPr>
      <w:r w:rsidRPr="00D859C2">
        <w:lastRenderedPageBreak/>
        <w:t xml:space="preserve">Zástupci Prodávajícího a Kupujícího sepíší a podepíší </w:t>
      </w:r>
      <w:r>
        <w:t>o</w:t>
      </w:r>
      <w:r w:rsidRPr="00D859C2">
        <w:t xml:space="preserve"> dodání </w:t>
      </w:r>
      <w:r>
        <w:t xml:space="preserve">a převzetí Zboží (všech jeho položek), jakož i o řádném provedení Montáže, jestliže Prodávající byl dle této smlouvy povinen Montáž provést, </w:t>
      </w:r>
      <w:r w:rsidRPr="00D859C2">
        <w:t>předávací protokol</w:t>
      </w:r>
      <w:r>
        <w:t xml:space="preserve"> (dále a výše též pouze „</w:t>
      </w:r>
      <w:r w:rsidRPr="00841443">
        <w:rPr>
          <w:b/>
        </w:rPr>
        <w:t>předávací protokol</w:t>
      </w:r>
      <w:r>
        <w:t>“)</w:t>
      </w:r>
      <w:r w:rsidRPr="00D859C2">
        <w:t xml:space="preserve">. Prodávající i Kupující jsou oprávněni v předávacím protokolu uvést jakékoliv záznamy, </w:t>
      </w:r>
      <w:r>
        <w:t xml:space="preserve">vady, nedodělky, </w:t>
      </w:r>
      <w:r w:rsidRPr="00D859C2">
        <w:t xml:space="preserve">připomínky či výhrady; tyto se však nepovažují za změnu této smlouvy či dodatek k této smlouvě. </w:t>
      </w:r>
      <w:r>
        <w:t xml:space="preserve">Kupující je v předávacím protokolu oprávněn stanovit přiměřenou lhůtu pro odstranění vad a nedodělků, které do předávacího protokolu uvedl. </w:t>
      </w:r>
      <w:r w:rsidRPr="00D859C2">
        <w:t xml:space="preserve">Neuvedení jakýchkoliv (i zjevných) vad </w:t>
      </w:r>
      <w:r>
        <w:t xml:space="preserve">či nedodělků </w:t>
      </w:r>
      <w:r w:rsidRPr="00D859C2">
        <w:t xml:space="preserve">do předávacího protokolu neomezuje Kupujícího v právu oznamovat zjištěné vady </w:t>
      </w:r>
      <w:r>
        <w:t xml:space="preserve">a nedodělky </w:t>
      </w:r>
      <w:r w:rsidRPr="00D859C2">
        <w:t>Prodávajícímu i po dodání Zboží v průběhu záruční doby</w:t>
      </w:r>
      <w:r>
        <w:t>, resp. po provedení Montáže</w:t>
      </w:r>
      <w:r w:rsidRPr="00D859C2">
        <w:t xml:space="preserve">. </w:t>
      </w:r>
      <w:r>
        <w:t>Řádné odstranění vad a nedodělků uvedených Kupujícím v předávacím protokolu Kupující Prodávajícímu na jeho žádost písemně potvrdí.</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25F67A2D"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1D1600">
        <w:t xml:space="preserve"> </w:t>
      </w:r>
      <w:r w:rsidR="001D1600" w:rsidRPr="007B18E0">
        <w:t>a včetně doložení proškolení osoby provádějící servis dle § 46 ZoZP</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4" w:name="_Ref31278541"/>
      <w:r>
        <w:t>Montáž</w:t>
      </w:r>
      <w:bookmarkEnd w:id="4"/>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4765CCC7" w14:textId="7F6F4E63" w:rsidR="00271FDF" w:rsidRDefault="00271FDF" w:rsidP="0049101B">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76DC609" w14:textId="77777777" w:rsidR="00271FDF" w:rsidRDefault="00271FDF" w:rsidP="00271FDF">
      <w:pPr>
        <w:pStyle w:val="Odstavecsmlouvy"/>
        <w:numPr>
          <w:ilvl w:val="1"/>
          <w:numId w:val="1"/>
        </w:numPr>
      </w:pPr>
      <w:r>
        <w:lastRenderedPageBreak/>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40"/>
        <w:gridCol w:w="3823"/>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25384AEC" w:rsidR="00D859C2" w:rsidRPr="005B49AA" w:rsidRDefault="00733832" w:rsidP="000E79CE">
            <w:pPr>
              <w:pStyle w:val="Zkladntext3"/>
              <w:rPr>
                <w:b/>
                <w:sz w:val="22"/>
                <w:szCs w:val="22"/>
              </w:rPr>
            </w:pPr>
            <w:r>
              <w:rPr>
                <w:b/>
                <w:sz w:val="22"/>
                <w:szCs w:val="22"/>
              </w:rPr>
              <w:t>2 602 619,00</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3DF2CA3F" w:rsidR="00D859C2" w:rsidRPr="005B49AA" w:rsidRDefault="00D859C2" w:rsidP="000E79CE">
            <w:pPr>
              <w:pStyle w:val="Zkladntext3"/>
              <w:rPr>
                <w:b/>
                <w:sz w:val="22"/>
                <w:szCs w:val="22"/>
              </w:rPr>
            </w:pPr>
            <w:r w:rsidRPr="005B49AA">
              <w:rPr>
                <w:b/>
                <w:sz w:val="22"/>
                <w:szCs w:val="22"/>
              </w:rPr>
              <w:t xml:space="preserve">DPH </w:t>
            </w:r>
            <w:r w:rsidR="00203DA7">
              <w:rPr>
                <w:b/>
                <w:sz w:val="22"/>
                <w:szCs w:val="22"/>
              </w:rPr>
              <w:t>21</w:t>
            </w:r>
            <w:r w:rsidRPr="005B49AA">
              <w:rPr>
                <w:b/>
                <w:sz w:val="22"/>
                <w:szCs w:val="22"/>
              </w:rPr>
              <w:t xml:space="preserve"> %:</w:t>
            </w:r>
          </w:p>
        </w:tc>
        <w:tc>
          <w:tcPr>
            <w:tcW w:w="4253" w:type="dxa"/>
            <w:shd w:val="clear" w:color="auto" w:fill="auto"/>
          </w:tcPr>
          <w:p w14:paraId="44D4CFEA" w14:textId="7598FDDB" w:rsidR="00D859C2" w:rsidRPr="005B49AA" w:rsidRDefault="00733832" w:rsidP="000E79CE">
            <w:pPr>
              <w:pStyle w:val="Zkladntext3"/>
              <w:rPr>
                <w:b/>
                <w:sz w:val="22"/>
                <w:szCs w:val="22"/>
              </w:rPr>
            </w:pPr>
            <w:r>
              <w:rPr>
                <w:b/>
                <w:sz w:val="22"/>
                <w:szCs w:val="22"/>
              </w:rPr>
              <w:t xml:space="preserve">   546 549,99</w:t>
            </w:r>
            <w:r w:rsidR="00D859C2"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15D34EDE" w:rsidR="00D859C2" w:rsidRPr="005B49AA" w:rsidRDefault="00733832" w:rsidP="000E79CE">
            <w:pPr>
              <w:pStyle w:val="Zkladntext3"/>
              <w:rPr>
                <w:b/>
                <w:sz w:val="22"/>
                <w:szCs w:val="22"/>
              </w:rPr>
            </w:pPr>
            <w:r>
              <w:rPr>
                <w:b/>
                <w:sz w:val="22"/>
                <w:szCs w:val="22"/>
              </w:rPr>
              <w:t>3 149 168,99</w:t>
            </w:r>
            <w:r w:rsidR="00D859C2" w:rsidRPr="005B49AA">
              <w:rPr>
                <w:b/>
                <w:sz w:val="22"/>
                <w:szCs w:val="22"/>
              </w:rPr>
              <w:t xml:space="preserve"> Kč</w:t>
            </w:r>
          </w:p>
        </w:tc>
      </w:tr>
    </w:tbl>
    <w:p w14:paraId="183039AC" w14:textId="77777777" w:rsidR="00D859C2" w:rsidRDefault="00D859C2" w:rsidP="003E4543"/>
    <w:p w14:paraId="5A41E830" w14:textId="2D7F4B23"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3E3C07F7" w14:textId="77777777" w:rsidR="008E314A" w:rsidRPr="00D859C2" w:rsidRDefault="008E314A" w:rsidP="008E314A">
      <w:pPr>
        <w:pStyle w:val="Odstavecsmlouvy"/>
        <w:numPr>
          <w:ilvl w:val="1"/>
          <w:numId w:val="1"/>
        </w:numPr>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Pr="00D859C2">
        <w:t xml:space="preserve">60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6A31F4EE" w14:textId="77777777" w:rsidR="004975C3" w:rsidRPr="00D859C2" w:rsidRDefault="004975C3" w:rsidP="004975C3">
      <w:pPr>
        <w:pStyle w:val="Odstavecsmlouvy"/>
        <w:numPr>
          <w:ilvl w:val="1"/>
          <w:numId w:val="1"/>
        </w:numPr>
      </w:pPr>
      <w:r w:rsidRPr="00D859C2">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w:t>
      </w:r>
      <w:r>
        <w:t>ZoZP, MDR, IVDR a ZoTPV</w:t>
      </w:r>
      <w:r w:rsidRPr="00D859C2">
        <w:t>.</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5"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1B485A61" w:rsidR="006C6CD1" w:rsidRDefault="00C71D12" w:rsidP="00841443">
      <w:pPr>
        <w:pStyle w:val="Odstavecsmlouvy"/>
      </w:pPr>
      <w:bookmarkStart w:id="6"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r w:rsidRPr="00A030DF">
        <w:t>Common Vulnerabilities and Exposures</w:t>
      </w:r>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5"/>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severitou 5, ledaže se smluvní strany dohodnou jinak. </w:t>
      </w:r>
      <w:r w:rsidR="00AC06B9">
        <w:t xml:space="preserve">Odstraněním vady dle tohoto odstavce se rozumí zejména provedení aktualizace programového vybavení nebo implementace bezpečnostního opatření, které zamezí možnosti využití zjištěné </w:t>
      </w:r>
      <w:r w:rsidR="00AC06B9">
        <w:lastRenderedPageBreak/>
        <w:t>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6"/>
    </w:p>
    <w:p w14:paraId="30637D62" w14:textId="77777777" w:rsidR="00665CE3" w:rsidRDefault="00665CE3" w:rsidP="00665CE3">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7715D123"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F96338">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F96338">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7BDFEE98" w14:textId="00F08BD5" w:rsidR="00D52AAC" w:rsidRPr="00D859C2" w:rsidRDefault="00D52AAC" w:rsidP="00D52AAC">
      <w:pPr>
        <w:pStyle w:val="Odstavecsmlouvy"/>
      </w:pPr>
      <w:r>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737A2401" w14:textId="77777777" w:rsidR="00D52AAC" w:rsidRDefault="00D52AAC" w:rsidP="00D52AAC">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lastRenderedPageBreak/>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2D4DCC55"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F96338">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7116604E"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F96338">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08E7DB22"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F96338">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87BC581" w14:textId="3D0254B3" w:rsidR="00FC0959" w:rsidRDefault="00FC0959" w:rsidP="00FC0959">
      <w:pPr>
        <w:pStyle w:val="Odstavecsmlouvy"/>
        <w:numPr>
          <w:ilvl w:val="1"/>
          <w:numId w:val="1"/>
        </w:numPr>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3000,- Kč (slovy: třitisíce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7"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lastRenderedPageBreak/>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8" w:name="_Ref41464712"/>
      <w:bookmarkStart w:id="9"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8"/>
    </w:p>
    <w:bookmarkEnd w:id="9"/>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0" w:name="_Ref41464266"/>
      <w:r>
        <w:t>Ochrana osobních údajů a kybernetická bezpečnost</w:t>
      </w:r>
      <w:bookmarkEnd w:id="10"/>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1"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1"/>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2" w:name="_Ref46315956"/>
      <w:r>
        <w:t xml:space="preserve">V případě výskytu události s dopadem na bezpečnost Osobních údajů je Prodávající povinen předat Kupujícímu bez zbytečného odkladu, nejpozději však do 12 hodin od okamžiku, kdy Prodávající takovou událost při poskytování plnění dle této smlouvy měl </w:t>
      </w:r>
      <w:r>
        <w:lastRenderedPageBreak/>
        <w:t>nebo mohl zjistit, veškeré Prodávajícímu dostupné informace o takové bezpečnostní události.</w:t>
      </w:r>
      <w:bookmarkEnd w:id="12"/>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245A015D"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F96338">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7"/>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w:t>
      </w:r>
      <w:r w:rsidRPr="00D859C2">
        <w:lastRenderedPageBreak/>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7BAAF1F" w:rsidR="00327588" w:rsidRPr="00D859C2" w:rsidRDefault="00497922" w:rsidP="00094B12">
      <w:pPr>
        <w:pStyle w:val="Odstavecsmlouvy"/>
        <w:rPr>
          <w:snapToGrid w:val="0"/>
        </w:rPr>
      </w:pPr>
      <w:r>
        <w:rPr>
          <w:snapToGrid w:val="0"/>
        </w:rPr>
        <w:t xml:space="preserve">Tato smlouva je </w:t>
      </w:r>
      <w:r w:rsidRPr="00665CE3">
        <w:rPr>
          <w:snapToGrid w:val="0"/>
        </w:rPr>
        <w:t xml:space="preserve">sepsána ve </w:t>
      </w:r>
      <w:r w:rsidR="00665CE3" w:rsidRPr="00665CE3">
        <w:rPr>
          <w:snapToGrid w:val="0"/>
        </w:rPr>
        <w:t>třech</w:t>
      </w:r>
      <w:r w:rsidRPr="00665CE3">
        <w:rPr>
          <w:snapToGrid w:val="0"/>
        </w:rPr>
        <w:t xml:space="preserve"> vyhotoveních</w:t>
      </w:r>
      <w:r>
        <w:rPr>
          <w:snapToGrid w:val="0"/>
        </w:rPr>
        <w:t xml:space="preserve"> stejné platnosti a závaznosti, přičemž Prodávající obdrží jedno vyhotovení a </w:t>
      </w:r>
      <w:r w:rsidRPr="00665CE3">
        <w:rPr>
          <w:snapToGrid w:val="0"/>
        </w:rPr>
        <w:t xml:space="preserve">Kupující obdrží </w:t>
      </w:r>
      <w:r w:rsidR="00665CE3" w:rsidRPr="00665CE3">
        <w:rPr>
          <w:snapToGrid w:val="0"/>
        </w:rPr>
        <w:t>„dvě“</w:t>
      </w:r>
      <w:r w:rsidRPr="00665CE3">
        <w:rPr>
          <w:snapToGrid w:val="0"/>
        </w:rPr>
        <w:t xml:space="preserve"> vyhotovení</w:t>
      </w:r>
      <w:r>
        <w:rPr>
          <w:snapToGrid w:val="0"/>
        </w:rPr>
        <w:t>. Případně je tato smlouva vyhotovena elektronicky a podepsána uznávaným elektronickým podpisem. V takovém případě obdrží každá smluvní strana elektronický originál oboustranně podepsané smlouvy.</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22ECCA96" w:rsidR="0096600E" w:rsidRDefault="0096600E" w:rsidP="0096600E">
      <w:pPr>
        <w:pStyle w:val="Odstavecsmlouvy"/>
        <w:numPr>
          <w:ilvl w:val="0"/>
          <w:numId w:val="13"/>
        </w:numPr>
      </w:pPr>
      <w:r>
        <w:t xml:space="preserve">Příloha č. 1 – Specifikace </w:t>
      </w:r>
      <w:r w:rsidR="00F83E0D">
        <w:t>Zboží,</w:t>
      </w:r>
      <w:r>
        <w:t xml:space="preserve"> Služeb</w:t>
      </w:r>
      <w:r w:rsidR="00F83E0D">
        <w:t xml:space="preserve"> a Montáže</w:t>
      </w:r>
    </w:p>
    <w:p w14:paraId="629C0848" w14:textId="481D18D5" w:rsidR="0096600E" w:rsidRPr="00D768BA" w:rsidRDefault="0096600E" w:rsidP="0096600E">
      <w:pPr>
        <w:pStyle w:val="Odstavecsmlouvy"/>
        <w:numPr>
          <w:ilvl w:val="0"/>
          <w:numId w:val="13"/>
        </w:numPr>
        <w:rPr>
          <w:rStyle w:val="normaltextrun"/>
        </w:rPr>
      </w:pPr>
      <w:r>
        <w:t xml:space="preserve">Příloha č. 2 – </w:t>
      </w:r>
      <w:r w:rsidRPr="002B6FEC">
        <w:rPr>
          <w:rStyle w:val="normaltextrun"/>
          <w:bCs/>
        </w:rPr>
        <w:t>Požadavky z oblasti informačních a komunikačních technologií</w:t>
      </w:r>
    </w:p>
    <w:p w14:paraId="50C37144" w14:textId="30C27650" w:rsidR="0096600E" w:rsidRPr="00D768BA" w:rsidRDefault="00D768BA" w:rsidP="00D768BA">
      <w:pPr>
        <w:pStyle w:val="Odstavecseseznamem"/>
        <w:numPr>
          <w:ilvl w:val="0"/>
          <w:numId w:val="13"/>
        </w:numPr>
        <w:rPr>
          <w:rFonts w:ascii="Arial" w:eastAsia="Times New Roman" w:hAnsi="Arial"/>
          <w:lang w:eastAsia="cs-CZ"/>
        </w:rPr>
      </w:pPr>
      <w:r w:rsidRPr="0039766A">
        <w:rPr>
          <w:rFonts w:ascii="Arial" w:eastAsia="Times New Roman" w:hAnsi="Arial"/>
          <w:lang w:eastAsia="cs-CZ"/>
        </w:rPr>
        <w:t>P</w:t>
      </w:r>
      <w:r>
        <w:rPr>
          <w:rFonts w:ascii="Arial" w:eastAsia="Times New Roman" w:hAnsi="Arial"/>
          <w:lang w:eastAsia="cs-CZ"/>
        </w:rPr>
        <w:t>říloha č. 3 – Prohlášení o shodě</w:t>
      </w: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6A715E4" w14:textId="77777777" w:rsidR="00742A74" w:rsidRPr="00D859C2" w:rsidRDefault="00742A74"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C32599F"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203DA7">
              <w:rPr>
                <w:sz w:val="22"/>
                <w:szCs w:val="22"/>
              </w:rPr>
              <w:t>Praze</w:t>
            </w:r>
            <w:r w:rsidRPr="001150C5">
              <w:rPr>
                <w:sz w:val="22"/>
                <w:szCs w:val="22"/>
              </w:rPr>
              <w:t xml:space="preserve"> dne</w:t>
            </w:r>
            <w:r w:rsidR="00F36DFD">
              <w:rPr>
                <w:sz w:val="22"/>
                <w:szCs w:val="22"/>
              </w:rPr>
              <w:t xml:space="preserve"> 8. 1. 2024</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32A52C69"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r w:rsidR="00F36DFD">
              <w:rPr>
                <w:sz w:val="22"/>
                <w:szCs w:val="22"/>
              </w:rPr>
              <w:t xml:space="preserve"> 15. 1. 2024</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69DE08A0" w14:textId="77777777" w:rsidR="00094B12" w:rsidRDefault="00094B12" w:rsidP="000E79CE">
            <w:pPr>
              <w:pStyle w:val="slovn"/>
              <w:numPr>
                <w:ilvl w:val="0"/>
                <w:numId w:val="0"/>
              </w:numPr>
              <w:tabs>
                <w:tab w:val="num" w:pos="567"/>
              </w:tabs>
              <w:spacing w:after="0" w:line="280" w:lineRule="atLeast"/>
              <w:rPr>
                <w:sz w:val="22"/>
                <w:szCs w:val="22"/>
              </w:rPr>
            </w:pPr>
          </w:p>
          <w:p w14:paraId="05FDC6D5" w14:textId="77777777" w:rsidR="00742A74" w:rsidRDefault="00742A74" w:rsidP="000E79CE">
            <w:pPr>
              <w:pStyle w:val="slovn"/>
              <w:numPr>
                <w:ilvl w:val="0"/>
                <w:numId w:val="0"/>
              </w:numPr>
              <w:tabs>
                <w:tab w:val="num" w:pos="567"/>
              </w:tabs>
              <w:spacing w:after="0" w:line="280" w:lineRule="atLeast"/>
              <w:rPr>
                <w:sz w:val="22"/>
                <w:szCs w:val="22"/>
              </w:rPr>
            </w:pPr>
          </w:p>
          <w:p w14:paraId="73C191A6" w14:textId="77777777" w:rsidR="00742A74" w:rsidRDefault="00742A74" w:rsidP="000E79CE">
            <w:pPr>
              <w:pStyle w:val="slovn"/>
              <w:numPr>
                <w:ilvl w:val="0"/>
                <w:numId w:val="0"/>
              </w:numPr>
              <w:tabs>
                <w:tab w:val="num" w:pos="567"/>
              </w:tabs>
              <w:spacing w:after="0" w:line="280" w:lineRule="atLeast"/>
              <w:rPr>
                <w:sz w:val="22"/>
                <w:szCs w:val="22"/>
              </w:rPr>
            </w:pPr>
          </w:p>
          <w:p w14:paraId="63FD76F4" w14:textId="77777777" w:rsidR="00742A74" w:rsidRDefault="00742A74" w:rsidP="000E79CE">
            <w:pPr>
              <w:pStyle w:val="slovn"/>
              <w:numPr>
                <w:ilvl w:val="0"/>
                <w:numId w:val="0"/>
              </w:numPr>
              <w:tabs>
                <w:tab w:val="num" w:pos="567"/>
              </w:tabs>
              <w:spacing w:after="0" w:line="280" w:lineRule="atLeast"/>
              <w:rPr>
                <w:sz w:val="22"/>
                <w:szCs w:val="22"/>
              </w:rPr>
            </w:pPr>
          </w:p>
          <w:p w14:paraId="0DC94CFB" w14:textId="77777777" w:rsidR="00742A74" w:rsidRDefault="00742A74" w:rsidP="000E79CE">
            <w:pPr>
              <w:pStyle w:val="slovn"/>
              <w:numPr>
                <w:ilvl w:val="0"/>
                <w:numId w:val="0"/>
              </w:numPr>
              <w:tabs>
                <w:tab w:val="num" w:pos="567"/>
              </w:tabs>
              <w:spacing w:after="0" w:line="280" w:lineRule="atLeast"/>
              <w:rPr>
                <w:sz w:val="22"/>
                <w:szCs w:val="22"/>
              </w:rPr>
            </w:pPr>
          </w:p>
          <w:p w14:paraId="7E9AE098" w14:textId="77777777" w:rsidR="00742A74" w:rsidRDefault="00742A74" w:rsidP="000E79CE">
            <w:pPr>
              <w:pStyle w:val="slovn"/>
              <w:numPr>
                <w:ilvl w:val="0"/>
                <w:numId w:val="0"/>
              </w:numPr>
              <w:tabs>
                <w:tab w:val="num" w:pos="567"/>
              </w:tabs>
              <w:spacing w:after="0" w:line="280" w:lineRule="atLeast"/>
              <w:rPr>
                <w:sz w:val="22"/>
                <w:szCs w:val="22"/>
              </w:rPr>
            </w:pPr>
          </w:p>
          <w:p w14:paraId="46137A47" w14:textId="77777777" w:rsidR="00742A74" w:rsidRPr="00D722DC" w:rsidRDefault="00742A74"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268423FE" w:rsidR="00094B12" w:rsidRPr="001150C5" w:rsidRDefault="00203DA7" w:rsidP="000E79CE">
            <w:pPr>
              <w:pStyle w:val="slovn"/>
              <w:numPr>
                <w:ilvl w:val="0"/>
                <w:numId w:val="0"/>
              </w:numPr>
              <w:tabs>
                <w:tab w:val="num" w:pos="567"/>
              </w:tabs>
              <w:spacing w:after="0" w:line="280" w:lineRule="atLeast"/>
              <w:jc w:val="center"/>
              <w:rPr>
                <w:b/>
                <w:sz w:val="22"/>
                <w:szCs w:val="22"/>
              </w:rPr>
            </w:pPr>
            <w:r w:rsidRPr="00203DA7">
              <w:rPr>
                <w:b/>
                <w:sz w:val="22"/>
                <w:szCs w:val="22"/>
              </w:rPr>
              <w:t>CHEIRÓN a.s.</w:t>
            </w:r>
          </w:p>
          <w:p w14:paraId="0B5DF56C" w14:textId="77777777" w:rsidR="00094B12" w:rsidRDefault="00203DA7" w:rsidP="000E79CE">
            <w:pPr>
              <w:pStyle w:val="slovn"/>
              <w:numPr>
                <w:ilvl w:val="0"/>
                <w:numId w:val="0"/>
              </w:numPr>
              <w:tabs>
                <w:tab w:val="num" w:pos="567"/>
              </w:tabs>
              <w:spacing w:after="0" w:line="280" w:lineRule="atLeast"/>
              <w:jc w:val="center"/>
              <w:rPr>
                <w:sz w:val="22"/>
                <w:szCs w:val="22"/>
              </w:rPr>
            </w:pPr>
            <w:r>
              <w:rPr>
                <w:sz w:val="22"/>
                <w:szCs w:val="22"/>
              </w:rPr>
              <w:t>Ing. Jindřich Petřík, MBA</w:t>
            </w:r>
          </w:p>
          <w:p w14:paraId="17D23793" w14:textId="2388E326" w:rsidR="00203DA7" w:rsidRPr="00D722DC" w:rsidRDefault="00203DA7" w:rsidP="000E79CE">
            <w:pPr>
              <w:pStyle w:val="slovn"/>
              <w:numPr>
                <w:ilvl w:val="0"/>
                <w:numId w:val="0"/>
              </w:numPr>
              <w:tabs>
                <w:tab w:val="num" w:pos="567"/>
              </w:tabs>
              <w:spacing w:after="0" w:line="280" w:lineRule="atLeast"/>
              <w:jc w:val="center"/>
              <w:rPr>
                <w:sz w:val="22"/>
                <w:szCs w:val="22"/>
              </w:rPr>
            </w:pPr>
            <w:r>
              <w:rPr>
                <w:sz w:val="22"/>
                <w:szCs w:val="22"/>
              </w:rPr>
              <w:t>člen představenstva</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18FDD3" w:rsidR="00094B12" w:rsidRPr="001150C5" w:rsidRDefault="00094B12" w:rsidP="00F83E0D">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F83E0D">
              <w:rPr>
                <w:sz w:val="22"/>
                <w:szCs w:val="22"/>
              </w:rPr>
              <w:t>Ivo Rovný</w:t>
            </w:r>
            <w:r w:rsidRPr="001150C5">
              <w:rPr>
                <w:sz w:val="22"/>
                <w:szCs w:val="22"/>
              </w:rPr>
              <w:t xml:space="preserve">, </w:t>
            </w:r>
            <w:r w:rsidR="00F83E0D">
              <w:rPr>
                <w:sz w:val="22"/>
                <w:szCs w:val="22"/>
              </w:rPr>
              <w:t>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tbl>
      <w:tblPr>
        <w:tblW w:w="10344" w:type="dxa"/>
        <w:tblInd w:w="-30" w:type="dxa"/>
        <w:tblLayout w:type="fixed"/>
        <w:tblCellMar>
          <w:left w:w="70" w:type="dxa"/>
          <w:right w:w="70" w:type="dxa"/>
        </w:tblCellMar>
        <w:tblLook w:val="0000" w:firstRow="0" w:lastRow="0" w:firstColumn="0" w:lastColumn="0" w:noHBand="0" w:noVBand="0"/>
      </w:tblPr>
      <w:tblGrid>
        <w:gridCol w:w="40"/>
        <w:gridCol w:w="4941"/>
        <w:gridCol w:w="327"/>
        <w:gridCol w:w="2957"/>
        <w:gridCol w:w="1270"/>
        <w:gridCol w:w="160"/>
        <w:gridCol w:w="649"/>
      </w:tblGrid>
      <w:tr w:rsidR="00733832" w14:paraId="1F48F2F8" w14:textId="77777777" w:rsidTr="007278E2">
        <w:trPr>
          <w:trHeight w:val="305"/>
        </w:trPr>
        <w:tc>
          <w:tcPr>
            <w:tcW w:w="5350" w:type="dxa"/>
            <w:gridSpan w:val="3"/>
            <w:tcBorders>
              <w:top w:val="nil"/>
              <w:left w:val="nil"/>
              <w:bottom w:val="nil"/>
              <w:right w:val="nil"/>
            </w:tcBorders>
          </w:tcPr>
          <w:p w14:paraId="4754E87B" w14:textId="77777777" w:rsidR="00733832" w:rsidRDefault="00733832">
            <w:pPr>
              <w:autoSpaceDE w:val="0"/>
              <w:autoSpaceDN w:val="0"/>
              <w:adjustRightInd w:val="0"/>
              <w:spacing w:line="240" w:lineRule="auto"/>
              <w:jc w:val="right"/>
              <w:rPr>
                <w:rFonts w:ascii="Calibri" w:eastAsia="Calibri" w:hAnsi="Calibri" w:cs="Calibri"/>
                <w:color w:val="000000"/>
              </w:rPr>
            </w:pPr>
          </w:p>
        </w:tc>
        <w:tc>
          <w:tcPr>
            <w:tcW w:w="2980" w:type="dxa"/>
            <w:tcBorders>
              <w:top w:val="nil"/>
              <w:left w:val="nil"/>
              <w:bottom w:val="nil"/>
              <w:right w:val="nil"/>
            </w:tcBorders>
          </w:tcPr>
          <w:p w14:paraId="1F678237" w14:textId="77777777" w:rsidR="00733832" w:rsidRDefault="00733832">
            <w:pPr>
              <w:autoSpaceDE w:val="0"/>
              <w:autoSpaceDN w:val="0"/>
              <w:adjustRightInd w:val="0"/>
              <w:spacing w:line="240" w:lineRule="auto"/>
              <w:jc w:val="right"/>
              <w:rPr>
                <w:rFonts w:ascii="Calibri" w:eastAsia="Calibri" w:hAnsi="Calibri" w:cs="Calibri"/>
                <w:color w:val="000000"/>
              </w:rPr>
            </w:pPr>
          </w:p>
        </w:tc>
        <w:tc>
          <w:tcPr>
            <w:tcW w:w="2014" w:type="dxa"/>
            <w:gridSpan w:val="3"/>
            <w:tcBorders>
              <w:top w:val="nil"/>
              <w:left w:val="nil"/>
              <w:bottom w:val="nil"/>
              <w:right w:val="nil"/>
            </w:tcBorders>
          </w:tcPr>
          <w:p w14:paraId="60FB2F0D" w14:textId="77777777" w:rsidR="00733832" w:rsidRDefault="00733832">
            <w:pPr>
              <w:autoSpaceDE w:val="0"/>
              <w:autoSpaceDN w:val="0"/>
              <w:adjustRightInd w:val="0"/>
              <w:spacing w:line="240" w:lineRule="auto"/>
              <w:jc w:val="right"/>
              <w:rPr>
                <w:rFonts w:ascii="Calibri" w:eastAsia="Calibri" w:hAnsi="Calibri" w:cs="Calibri"/>
                <w:color w:val="000000"/>
              </w:rPr>
            </w:pPr>
          </w:p>
        </w:tc>
      </w:tr>
      <w:tr w:rsidR="007278E2" w:rsidRPr="007278E2" w14:paraId="00A659D0"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2CDC457F"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Výběrové řízení:</w:t>
            </w:r>
          </w:p>
        </w:tc>
        <w:tc>
          <w:tcPr>
            <w:tcW w:w="4670" w:type="dxa"/>
            <w:gridSpan w:val="4"/>
            <w:tcBorders>
              <w:top w:val="single" w:sz="8" w:space="0" w:color="auto"/>
              <w:left w:val="nil"/>
              <w:bottom w:val="single" w:sz="4" w:space="0" w:color="auto"/>
              <w:right w:val="single" w:sz="8" w:space="0" w:color="000000"/>
            </w:tcBorders>
            <w:shd w:val="clear" w:color="000000" w:fill="DDEBF7"/>
            <w:noWrap/>
            <w:vAlign w:val="bottom"/>
            <w:hideMark/>
          </w:tcPr>
          <w:p w14:paraId="1962DC33" w14:textId="77777777" w:rsidR="007278E2" w:rsidRPr="007278E2" w:rsidRDefault="007278E2" w:rsidP="007278E2">
            <w:pPr>
              <w:spacing w:line="240" w:lineRule="auto"/>
              <w:jc w:val="center"/>
              <w:rPr>
                <w:rFonts w:ascii="Calibri" w:hAnsi="Calibri" w:cs="Calibri"/>
              </w:rPr>
            </w:pPr>
            <w:r w:rsidRPr="007278E2">
              <w:rPr>
                <w:rFonts w:ascii="Calibri" w:hAnsi="Calibri" w:cs="Calibri"/>
              </w:rPr>
              <w:t>VZVZ</w:t>
            </w:r>
          </w:p>
        </w:tc>
      </w:tr>
      <w:tr w:rsidR="007278E2" w:rsidRPr="007278E2" w14:paraId="171F8E21"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4" w:space="0" w:color="auto"/>
            </w:tcBorders>
            <w:shd w:val="clear" w:color="000000" w:fill="D6DCE4"/>
            <w:noWrap/>
            <w:vAlign w:val="bottom"/>
            <w:hideMark/>
          </w:tcPr>
          <w:p w14:paraId="08D02668"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Číslo:</w:t>
            </w:r>
          </w:p>
        </w:tc>
        <w:tc>
          <w:tcPr>
            <w:tcW w:w="4670" w:type="dxa"/>
            <w:gridSpan w:val="4"/>
            <w:tcBorders>
              <w:top w:val="single" w:sz="4" w:space="0" w:color="auto"/>
              <w:left w:val="nil"/>
              <w:bottom w:val="single" w:sz="4" w:space="0" w:color="auto"/>
              <w:right w:val="single" w:sz="8" w:space="0" w:color="000000"/>
            </w:tcBorders>
            <w:shd w:val="clear" w:color="000000" w:fill="DDEBF7"/>
            <w:noWrap/>
            <w:vAlign w:val="bottom"/>
            <w:hideMark/>
          </w:tcPr>
          <w:p w14:paraId="345E0CD8" w14:textId="77777777" w:rsidR="007278E2" w:rsidRPr="007278E2" w:rsidRDefault="007278E2" w:rsidP="007278E2">
            <w:pPr>
              <w:spacing w:line="240" w:lineRule="auto"/>
              <w:jc w:val="center"/>
              <w:rPr>
                <w:rFonts w:ascii="Calibri" w:hAnsi="Calibri" w:cs="Calibri"/>
              </w:rPr>
            </w:pPr>
            <w:r w:rsidRPr="007278E2">
              <w:rPr>
                <w:rFonts w:ascii="Calibri" w:hAnsi="Calibri" w:cs="Calibri"/>
              </w:rPr>
              <w:t>119/23</w:t>
            </w:r>
          </w:p>
        </w:tc>
      </w:tr>
      <w:tr w:rsidR="007278E2" w:rsidRPr="007278E2" w14:paraId="16AE006B"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4" w:space="0" w:color="auto"/>
            </w:tcBorders>
            <w:shd w:val="clear" w:color="000000" w:fill="D6DCE4"/>
            <w:noWrap/>
            <w:vAlign w:val="bottom"/>
            <w:hideMark/>
          </w:tcPr>
          <w:p w14:paraId="309C470B"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Název:</w:t>
            </w:r>
          </w:p>
        </w:tc>
        <w:tc>
          <w:tcPr>
            <w:tcW w:w="4670" w:type="dxa"/>
            <w:gridSpan w:val="4"/>
            <w:tcBorders>
              <w:top w:val="single" w:sz="4" w:space="0" w:color="auto"/>
              <w:left w:val="nil"/>
              <w:bottom w:val="single" w:sz="4" w:space="0" w:color="auto"/>
              <w:right w:val="single" w:sz="8" w:space="0" w:color="000000"/>
            </w:tcBorders>
            <w:shd w:val="clear" w:color="000000" w:fill="DDEBF7"/>
            <w:noWrap/>
            <w:vAlign w:val="bottom"/>
            <w:hideMark/>
          </w:tcPr>
          <w:p w14:paraId="765E31EB" w14:textId="77777777" w:rsidR="007278E2" w:rsidRPr="007278E2" w:rsidRDefault="007278E2" w:rsidP="007278E2">
            <w:pPr>
              <w:spacing w:line="240" w:lineRule="auto"/>
              <w:jc w:val="center"/>
              <w:rPr>
                <w:rFonts w:ascii="Calibri" w:hAnsi="Calibri" w:cs="Calibri"/>
              </w:rPr>
            </w:pPr>
            <w:r w:rsidRPr="007278E2">
              <w:rPr>
                <w:rFonts w:ascii="Calibri" w:hAnsi="Calibri" w:cs="Calibri"/>
              </w:rPr>
              <w:t>Vysokofrekvenční tryskový ventilátor</w:t>
            </w:r>
          </w:p>
        </w:tc>
      </w:tr>
      <w:tr w:rsidR="007278E2" w:rsidRPr="007278E2" w14:paraId="2466FC2A" w14:textId="77777777" w:rsidTr="007278E2">
        <w:tblPrEx>
          <w:tblLook w:val="04A0" w:firstRow="1" w:lastRow="0" w:firstColumn="1" w:lastColumn="0" w:noHBand="0" w:noVBand="1"/>
        </w:tblPrEx>
        <w:trPr>
          <w:gridBefore w:val="1"/>
          <w:gridAfter w:val="1"/>
          <w:wBefore w:w="40" w:type="dxa"/>
          <w:wAfter w:w="654" w:type="dxa"/>
          <w:trHeight w:val="315"/>
        </w:trPr>
        <w:tc>
          <w:tcPr>
            <w:tcW w:w="4980" w:type="dxa"/>
            <w:tcBorders>
              <w:top w:val="nil"/>
              <w:left w:val="single" w:sz="8" w:space="0" w:color="auto"/>
              <w:bottom w:val="single" w:sz="8" w:space="0" w:color="auto"/>
              <w:right w:val="single" w:sz="4" w:space="0" w:color="auto"/>
            </w:tcBorders>
            <w:shd w:val="clear" w:color="000000" w:fill="D6DCE4"/>
            <w:noWrap/>
            <w:vAlign w:val="bottom"/>
            <w:hideMark/>
          </w:tcPr>
          <w:p w14:paraId="2C52C44A"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Klinika:</w:t>
            </w:r>
          </w:p>
        </w:tc>
        <w:tc>
          <w:tcPr>
            <w:tcW w:w="4670" w:type="dxa"/>
            <w:gridSpan w:val="4"/>
            <w:tcBorders>
              <w:top w:val="single" w:sz="4" w:space="0" w:color="auto"/>
              <w:left w:val="nil"/>
              <w:bottom w:val="single" w:sz="8" w:space="0" w:color="auto"/>
              <w:right w:val="single" w:sz="8" w:space="0" w:color="000000"/>
            </w:tcBorders>
            <w:shd w:val="clear" w:color="000000" w:fill="DDEBF7"/>
            <w:noWrap/>
            <w:vAlign w:val="bottom"/>
            <w:hideMark/>
          </w:tcPr>
          <w:p w14:paraId="7E41264B" w14:textId="77777777" w:rsidR="007278E2" w:rsidRPr="007278E2" w:rsidRDefault="007278E2" w:rsidP="007278E2">
            <w:pPr>
              <w:spacing w:line="240" w:lineRule="auto"/>
              <w:jc w:val="center"/>
              <w:rPr>
                <w:rFonts w:ascii="Calibri" w:hAnsi="Calibri" w:cs="Calibri"/>
              </w:rPr>
            </w:pPr>
            <w:r w:rsidRPr="007278E2">
              <w:rPr>
                <w:rFonts w:ascii="Calibri" w:hAnsi="Calibri" w:cs="Calibri"/>
              </w:rPr>
              <w:t>KDAR - DN</w:t>
            </w:r>
          </w:p>
        </w:tc>
      </w:tr>
      <w:tr w:rsidR="007278E2" w:rsidRPr="007278E2" w14:paraId="79109D82" w14:textId="77777777" w:rsidTr="007278E2">
        <w:tblPrEx>
          <w:tblLook w:val="04A0" w:firstRow="1" w:lastRow="0" w:firstColumn="1" w:lastColumn="0" w:noHBand="0" w:noVBand="1"/>
        </w:tblPrEx>
        <w:trPr>
          <w:gridBefore w:val="1"/>
          <w:gridAfter w:val="1"/>
          <w:wBefore w:w="40" w:type="dxa"/>
          <w:wAfter w:w="654" w:type="dxa"/>
          <w:trHeight w:val="315"/>
        </w:trPr>
        <w:tc>
          <w:tcPr>
            <w:tcW w:w="4980" w:type="dxa"/>
            <w:tcBorders>
              <w:top w:val="nil"/>
              <w:left w:val="nil"/>
              <w:bottom w:val="nil"/>
              <w:right w:val="nil"/>
            </w:tcBorders>
            <w:shd w:val="clear" w:color="auto" w:fill="auto"/>
            <w:noWrap/>
            <w:vAlign w:val="bottom"/>
            <w:hideMark/>
          </w:tcPr>
          <w:p w14:paraId="1DE4A6E9" w14:textId="77777777" w:rsidR="007278E2" w:rsidRPr="007278E2" w:rsidRDefault="007278E2" w:rsidP="007278E2">
            <w:pPr>
              <w:spacing w:line="240" w:lineRule="auto"/>
              <w:jc w:val="center"/>
              <w:rPr>
                <w:rFonts w:ascii="Calibri" w:hAnsi="Calibri" w:cs="Calibri"/>
              </w:rPr>
            </w:pPr>
          </w:p>
        </w:tc>
        <w:tc>
          <w:tcPr>
            <w:tcW w:w="4590" w:type="dxa"/>
            <w:gridSpan w:val="3"/>
            <w:tcBorders>
              <w:top w:val="nil"/>
              <w:left w:val="nil"/>
              <w:bottom w:val="nil"/>
              <w:right w:val="nil"/>
            </w:tcBorders>
            <w:shd w:val="clear" w:color="auto" w:fill="auto"/>
            <w:noWrap/>
            <w:vAlign w:val="bottom"/>
            <w:hideMark/>
          </w:tcPr>
          <w:p w14:paraId="67E3EF57" w14:textId="77777777" w:rsidR="007278E2" w:rsidRPr="007278E2" w:rsidRDefault="007278E2" w:rsidP="007278E2">
            <w:pPr>
              <w:spacing w:line="240" w:lineRule="auto"/>
              <w:jc w:val="left"/>
              <w:rPr>
                <w:rFonts w:ascii="Times New Roman" w:hAnsi="Times New Roman" w:cs="Times New Roman"/>
                <w:sz w:val="20"/>
                <w:szCs w:val="20"/>
              </w:rPr>
            </w:pPr>
          </w:p>
        </w:tc>
        <w:tc>
          <w:tcPr>
            <w:tcW w:w="80" w:type="dxa"/>
            <w:tcBorders>
              <w:top w:val="nil"/>
              <w:left w:val="nil"/>
              <w:bottom w:val="nil"/>
              <w:right w:val="nil"/>
            </w:tcBorders>
            <w:shd w:val="clear" w:color="auto" w:fill="auto"/>
            <w:noWrap/>
            <w:vAlign w:val="bottom"/>
            <w:hideMark/>
          </w:tcPr>
          <w:p w14:paraId="2E61CD60" w14:textId="77777777" w:rsidR="007278E2" w:rsidRPr="007278E2" w:rsidRDefault="007278E2" w:rsidP="007278E2">
            <w:pPr>
              <w:spacing w:line="240" w:lineRule="auto"/>
              <w:jc w:val="left"/>
              <w:rPr>
                <w:rFonts w:ascii="Times New Roman" w:hAnsi="Times New Roman" w:cs="Times New Roman"/>
                <w:sz w:val="20"/>
                <w:szCs w:val="20"/>
              </w:rPr>
            </w:pPr>
          </w:p>
        </w:tc>
      </w:tr>
      <w:tr w:rsidR="007278E2" w:rsidRPr="007278E2" w14:paraId="72066E8C"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0D7788EE"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Dodavatel:</w:t>
            </w:r>
          </w:p>
        </w:tc>
        <w:tc>
          <w:tcPr>
            <w:tcW w:w="4670" w:type="dxa"/>
            <w:gridSpan w:val="4"/>
            <w:tcBorders>
              <w:top w:val="single" w:sz="8" w:space="0" w:color="auto"/>
              <w:left w:val="nil"/>
              <w:bottom w:val="single" w:sz="4" w:space="0" w:color="auto"/>
              <w:right w:val="single" w:sz="8" w:space="0" w:color="000000"/>
            </w:tcBorders>
            <w:shd w:val="clear" w:color="000000" w:fill="FFFF00"/>
            <w:noWrap/>
            <w:vAlign w:val="bottom"/>
            <w:hideMark/>
          </w:tcPr>
          <w:p w14:paraId="3DCCB9F3"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CHEIRÓN a.s.</w:t>
            </w:r>
          </w:p>
        </w:tc>
      </w:tr>
      <w:tr w:rsidR="007278E2" w:rsidRPr="007278E2" w14:paraId="09A1BC8C"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4" w:space="0" w:color="auto"/>
            </w:tcBorders>
            <w:shd w:val="clear" w:color="000000" w:fill="D6DCE4"/>
            <w:noWrap/>
            <w:vAlign w:val="bottom"/>
            <w:hideMark/>
          </w:tcPr>
          <w:p w14:paraId="7BCBF7CD"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Výrobce:</w:t>
            </w:r>
          </w:p>
        </w:tc>
        <w:tc>
          <w:tcPr>
            <w:tcW w:w="4670" w:type="dxa"/>
            <w:gridSpan w:val="4"/>
            <w:tcBorders>
              <w:top w:val="single" w:sz="4" w:space="0" w:color="auto"/>
              <w:left w:val="nil"/>
              <w:bottom w:val="single" w:sz="4" w:space="0" w:color="auto"/>
              <w:right w:val="single" w:sz="8" w:space="0" w:color="000000"/>
            </w:tcBorders>
            <w:shd w:val="clear" w:color="000000" w:fill="FFFF00"/>
            <w:noWrap/>
            <w:vAlign w:val="bottom"/>
            <w:hideMark/>
          </w:tcPr>
          <w:p w14:paraId="5AEE78EB"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CARL REINER GmbH</w:t>
            </w:r>
          </w:p>
        </w:tc>
      </w:tr>
      <w:tr w:rsidR="007278E2" w:rsidRPr="007278E2" w14:paraId="24F28DF8"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nil"/>
              <w:right w:val="single" w:sz="4" w:space="0" w:color="auto"/>
            </w:tcBorders>
            <w:shd w:val="clear" w:color="000000" w:fill="D6DCE4"/>
            <w:noWrap/>
            <w:vAlign w:val="bottom"/>
            <w:hideMark/>
          </w:tcPr>
          <w:p w14:paraId="1CCAECED"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Výrobní model:</w:t>
            </w:r>
          </w:p>
        </w:tc>
        <w:tc>
          <w:tcPr>
            <w:tcW w:w="4670" w:type="dxa"/>
            <w:gridSpan w:val="4"/>
            <w:tcBorders>
              <w:top w:val="single" w:sz="4" w:space="0" w:color="auto"/>
              <w:left w:val="nil"/>
              <w:bottom w:val="nil"/>
              <w:right w:val="single" w:sz="8" w:space="0" w:color="000000"/>
            </w:tcBorders>
            <w:shd w:val="clear" w:color="000000" w:fill="FFFF00"/>
            <w:noWrap/>
            <w:vAlign w:val="bottom"/>
            <w:hideMark/>
          </w:tcPr>
          <w:p w14:paraId="2FEFFE11"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TwinStream BRO/LAR/ICU</w:t>
            </w:r>
          </w:p>
        </w:tc>
      </w:tr>
      <w:tr w:rsidR="007278E2" w:rsidRPr="007278E2" w14:paraId="6E36FEFE" w14:textId="77777777" w:rsidTr="007278E2">
        <w:tblPrEx>
          <w:tblLook w:val="04A0" w:firstRow="1" w:lastRow="0" w:firstColumn="1" w:lastColumn="0" w:noHBand="0" w:noVBand="1"/>
        </w:tblPrEx>
        <w:trPr>
          <w:gridBefore w:val="1"/>
          <w:gridAfter w:val="1"/>
          <w:wBefore w:w="40" w:type="dxa"/>
          <w:wAfter w:w="654" w:type="dxa"/>
          <w:trHeight w:val="360"/>
        </w:trPr>
        <w:tc>
          <w:tcPr>
            <w:tcW w:w="4980" w:type="dxa"/>
            <w:tcBorders>
              <w:top w:val="single" w:sz="4" w:space="0" w:color="auto"/>
              <w:left w:val="single" w:sz="4" w:space="0" w:color="auto"/>
              <w:bottom w:val="single" w:sz="8" w:space="0" w:color="auto"/>
              <w:right w:val="single" w:sz="4" w:space="0" w:color="auto"/>
            </w:tcBorders>
            <w:shd w:val="clear" w:color="000000" w:fill="D6DCE4"/>
            <w:noWrap/>
            <w:vAlign w:val="bottom"/>
            <w:hideMark/>
          </w:tcPr>
          <w:p w14:paraId="083D3AFD"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Kód KZT</w:t>
            </w:r>
            <w:r w:rsidRPr="007278E2">
              <w:rPr>
                <w:rFonts w:ascii="Calibri" w:hAnsi="Calibri" w:cs="Calibri"/>
                <w:b/>
                <w:bCs/>
                <w:color w:val="000000"/>
                <w:vertAlign w:val="superscript"/>
              </w:rPr>
              <w:t xml:space="preserve"> 1</w:t>
            </w:r>
            <w:r w:rsidRPr="007278E2">
              <w:rPr>
                <w:rFonts w:ascii="Calibri" w:hAnsi="Calibri" w:cs="Calibri"/>
                <w:b/>
                <w:bCs/>
                <w:color w:val="000000"/>
              </w:rPr>
              <w:t>:</w:t>
            </w:r>
          </w:p>
        </w:tc>
        <w:tc>
          <w:tcPr>
            <w:tcW w:w="4590" w:type="dxa"/>
            <w:gridSpan w:val="3"/>
            <w:tcBorders>
              <w:top w:val="single" w:sz="4" w:space="0" w:color="auto"/>
              <w:left w:val="nil"/>
              <w:bottom w:val="single" w:sz="8" w:space="0" w:color="auto"/>
              <w:right w:val="nil"/>
            </w:tcBorders>
            <w:shd w:val="clear" w:color="000000" w:fill="FFFF00"/>
            <w:noWrap/>
            <w:vAlign w:val="bottom"/>
            <w:hideMark/>
          </w:tcPr>
          <w:p w14:paraId="300CB1DC"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 xml:space="preserve">                      T.3.1.2.2.H3, kód EMDN: Z1203010501</w:t>
            </w:r>
          </w:p>
        </w:tc>
        <w:tc>
          <w:tcPr>
            <w:tcW w:w="80" w:type="dxa"/>
            <w:tcBorders>
              <w:top w:val="single" w:sz="4" w:space="0" w:color="auto"/>
              <w:left w:val="nil"/>
              <w:bottom w:val="single" w:sz="8" w:space="0" w:color="auto"/>
              <w:right w:val="single" w:sz="8" w:space="0" w:color="auto"/>
            </w:tcBorders>
            <w:shd w:val="clear" w:color="000000" w:fill="FFFF00"/>
            <w:noWrap/>
            <w:vAlign w:val="bottom"/>
            <w:hideMark/>
          </w:tcPr>
          <w:p w14:paraId="7210165E"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 </w:t>
            </w:r>
          </w:p>
        </w:tc>
      </w:tr>
      <w:tr w:rsidR="007278E2" w:rsidRPr="007278E2" w14:paraId="008B6850" w14:textId="77777777" w:rsidTr="007278E2">
        <w:tblPrEx>
          <w:tblLook w:val="04A0" w:firstRow="1" w:lastRow="0" w:firstColumn="1" w:lastColumn="0" w:noHBand="0" w:noVBand="1"/>
        </w:tblPrEx>
        <w:trPr>
          <w:gridBefore w:val="1"/>
          <w:gridAfter w:val="1"/>
          <w:wBefore w:w="40" w:type="dxa"/>
          <w:wAfter w:w="654" w:type="dxa"/>
          <w:trHeight w:val="315"/>
        </w:trPr>
        <w:tc>
          <w:tcPr>
            <w:tcW w:w="4980" w:type="dxa"/>
            <w:tcBorders>
              <w:top w:val="nil"/>
              <w:left w:val="nil"/>
              <w:bottom w:val="nil"/>
              <w:right w:val="nil"/>
            </w:tcBorders>
            <w:shd w:val="clear" w:color="auto" w:fill="auto"/>
            <w:noWrap/>
            <w:vAlign w:val="bottom"/>
            <w:hideMark/>
          </w:tcPr>
          <w:p w14:paraId="4EE15760" w14:textId="77777777" w:rsidR="007278E2" w:rsidRPr="007278E2" w:rsidRDefault="007278E2" w:rsidP="007278E2">
            <w:pPr>
              <w:spacing w:line="240" w:lineRule="auto"/>
              <w:jc w:val="center"/>
              <w:rPr>
                <w:rFonts w:ascii="Calibri" w:hAnsi="Calibri" w:cs="Calibri"/>
                <w:color w:val="375623"/>
              </w:rPr>
            </w:pPr>
          </w:p>
        </w:tc>
        <w:tc>
          <w:tcPr>
            <w:tcW w:w="4590" w:type="dxa"/>
            <w:gridSpan w:val="3"/>
            <w:tcBorders>
              <w:top w:val="nil"/>
              <w:left w:val="nil"/>
              <w:bottom w:val="nil"/>
              <w:right w:val="nil"/>
            </w:tcBorders>
            <w:shd w:val="clear" w:color="auto" w:fill="auto"/>
            <w:noWrap/>
            <w:vAlign w:val="bottom"/>
            <w:hideMark/>
          </w:tcPr>
          <w:p w14:paraId="35E1D684" w14:textId="77777777" w:rsidR="007278E2" w:rsidRPr="007278E2" w:rsidRDefault="007278E2" w:rsidP="007278E2">
            <w:pPr>
              <w:spacing w:line="240" w:lineRule="auto"/>
              <w:jc w:val="left"/>
              <w:rPr>
                <w:rFonts w:ascii="Times New Roman" w:hAnsi="Times New Roman" w:cs="Times New Roman"/>
                <w:sz w:val="20"/>
                <w:szCs w:val="20"/>
              </w:rPr>
            </w:pPr>
          </w:p>
        </w:tc>
        <w:tc>
          <w:tcPr>
            <w:tcW w:w="80" w:type="dxa"/>
            <w:tcBorders>
              <w:top w:val="nil"/>
              <w:left w:val="nil"/>
              <w:bottom w:val="nil"/>
              <w:right w:val="nil"/>
            </w:tcBorders>
            <w:shd w:val="clear" w:color="auto" w:fill="auto"/>
            <w:noWrap/>
            <w:vAlign w:val="bottom"/>
            <w:hideMark/>
          </w:tcPr>
          <w:p w14:paraId="33EF5B39" w14:textId="77777777" w:rsidR="007278E2" w:rsidRPr="007278E2" w:rsidRDefault="007278E2" w:rsidP="007278E2">
            <w:pPr>
              <w:spacing w:line="240" w:lineRule="auto"/>
              <w:jc w:val="left"/>
              <w:rPr>
                <w:rFonts w:ascii="Times New Roman" w:hAnsi="Times New Roman" w:cs="Times New Roman"/>
                <w:sz w:val="20"/>
                <w:szCs w:val="20"/>
              </w:rPr>
            </w:pPr>
          </w:p>
        </w:tc>
      </w:tr>
      <w:tr w:rsidR="007278E2" w:rsidRPr="007278E2" w14:paraId="0BD29633" w14:textId="77777777" w:rsidTr="007278E2">
        <w:tblPrEx>
          <w:tblLook w:val="04A0" w:firstRow="1" w:lastRow="0" w:firstColumn="1" w:lastColumn="0" w:noHBand="0" w:noVBand="1"/>
        </w:tblPrEx>
        <w:trPr>
          <w:gridBefore w:val="1"/>
          <w:gridAfter w:val="1"/>
          <w:wBefore w:w="40" w:type="dxa"/>
          <w:wAfter w:w="654" w:type="dxa"/>
          <w:trHeight w:val="720"/>
        </w:trPr>
        <w:tc>
          <w:tcPr>
            <w:tcW w:w="9650" w:type="dxa"/>
            <w:gridSpan w:val="5"/>
            <w:tcBorders>
              <w:top w:val="single" w:sz="8" w:space="0" w:color="auto"/>
              <w:left w:val="single" w:sz="8" w:space="0" w:color="auto"/>
              <w:bottom w:val="single" w:sz="8" w:space="0" w:color="auto"/>
              <w:right w:val="single" w:sz="8" w:space="0" w:color="000000"/>
            </w:tcBorders>
            <w:shd w:val="clear" w:color="000000" w:fill="D6DCE4"/>
            <w:vAlign w:val="center"/>
            <w:hideMark/>
          </w:tcPr>
          <w:p w14:paraId="7F2D66ED"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Zadavatel upozorňuje, že v případě číselně vyjádřených technických parametrů je možné se od nich odchýlit o +/- 10 %, pokud nejsou blíže specifikovány, např. min., max., interval hodnot.</w:t>
            </w:r>
          </w:p>
        </w:tc>
      </w:tr>
      <w:tr w:rsidR="007278E2" w:rsidRPr="007278E2" w14:paraId="001B092F" w14:textId="77777777" w:rsidTr="007278E2">
        <w:tblPrEx>
          <w:tblLook w:val="04A0" w:firstRow="1" w:lastRow="0" w:firstColumn="1" w:lastColumn="0" w:noHBand="0" w:noVBand="1"/>
        </w:tblPrEx>
        <w:trPr>
          <w:gridBefore w:val="1"/>
          <w:gridAfter w:val="1"/>
          <w:wBefore w:w="40" w:type="dxa"/>
          <w:wAfter w:w="654" w:type="dxa"/>
          <w:trHeight w:val="315"/>
        </w:trPr>
        <w:tc>
          <w:tcPr>
            <w:tcW w:w="4980" w:type="dxa"/>
            <w:tcBorders>
              <w:top w:val="nil"/>
              <w:left w:val="nil"/>
              <w:bottom w:val="nil"/>
              <w:right w:val="nil"/>
            </w:tcBorders>
            <w:shd w:val="clear" w:color="auto" w:fill="auto"/>
            <w:noWrap/>
            <w:vAlign w:val="bottom"/>
            <w:hideMark/>
          </w:tcPr>
          <w:p w14:paraId="28D8EA89" w14:textId="77777777" w:rsidR="007278E2" w:rsidRPr="007278E2" w:rsidRDefault="007278E2" w:rsidP="007278E2">
            <w:pPr>
              <w:spacing w:line="240" w:lineRule="auto"/>
              <w:jc w:val="left"/>
              <w:rPr>
                <w:rFonts w:ascii="Calibri" w:hAnsi="Calibri" w:cs="Calibri"/>
                <w:b/>
                <w:bCs/>
                <w:color w:val="000000"/>
              </w:rPr>
            </w:pPr>
          </w:p>
        </w:tc>
        <w:tc>
          <w:tcPr>
            <w:tcW w:w="4590" w:type="dxa"/>
            <w:gridSpan w:val="3"/>
            <w:tcBorders>
              <w:top w:val="nil"/>
              <w:left w:val="nil"/>
              <w:bottom w:val="nil"/>
              <w:right w:val="nil"/>
            </w:tcBorders>
            <w:shd w:val="clear" w:color="auto" w:fill="auto"/>
            <w:noWrap/>
            <w:vAlign w:val="bottom"/>
            <w:hideMark/>
          </w:tcPr>
          <w:p w14:paraId="24AA529A" w14:textId="77777777" w:rsidR="007278E2" w:rsidRPr="007278E2" w:rsidRDefault="007278E2" w:rsidP="007278E2">
            <w:pPr>
              <w:spacing w:line="240" w:lineRule="auto"/>
              <w:jc w:val="left"/>
              <w:rPr>
                <w:rFonts w:ascii="Times New Roman" w:hAnsi="Times New Roman" w:cs="Times New Roman"/>
                <w:sz w:val="20"/>
                <w:szCs w:val="20"/>
              </w:rPr>
            </w:pPr>
          </w:p>
        </w:tc>
        <w:tc>
          <w:tcPr>
            <w:tcW w:w="80" w:type="dxa"/>
            <w:tcBorders>
              <w:top w:val="nil"/>
              <w:left w:val="nil"/>
              <w:bottom w:val="nil"/>
              <w:right w:val="nil"/>
            </w:tcBorders>
            <w:shd w:val="clear" w:color="auto" w:fill="auto"/>
            <w:noWrap/>
            <w:vAlign w:val="bottom"/>
            <w:hideMark/>
          </w:tcPr>
          <w:p w14:paraId="352FA6B4" w14:textId="77777777" w:rsidR="007278E2" w:rsidRPr="007278E2" w:rsidRDefault="007278E2" w:rsidP="007278E2">
            <w:pPr>
              <w:spacing w:line="240" w:lineRule="auto"/>
              <w:jc w:val="left"/>
              <w:rPr>
                <w:rFonts w:ascii="Times New Roman" w:hAnsi="Times New Roman" w:cs="Times New Roman"/>
                <w:sz w:val="20"/>
                <w:szCs w:val="20"/>
              </w:rPr>
            </w:pPr>
          </w:p>
        </w:tc>
      </w:tr>
      <w:tr w:rsidR="007278E2" w:rsidRPr="007278E2" w14:paraId="0D9B770E" w14:textId="77777777" w:rsidTr="007278E2">
        <w:tblPrEx>
          <w:tblLook w:val="04A0" w:firstRow="1" w:lastRow="0" w:firstColumn="1" w:lastColumn="0" w:noHBand="0" w:noVBand="1"/>
        </w:tblPrEx>
        <w:trPr>
          <w:gridBefore w:val="1"/>
          <w:gridAfter w:val="1"/>
          <w:wBefore w:w="40" w:type="dxa"/>
          <w:wAfter w:w="654" w:type="dxa"/>
          <w:trHeight w:val="420"/>
        </w:trPr>
        <w:tc>
          <w:tcPr>
            <w:tcW w:w="4980"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283BEF9F" w14:textId="77777777" w:rsidR="007278E2" w:rsidRPr="007278E2" w:rsidRDefault="007278E2" w:rsidP="007278E2">
            <w:pPr>
              <w:spacing w:line="240" w:lineRule="auto"/>
              <w:jc w:val="center"/>
              <w:rPr>
                <w:rFonts w:ascii="Calibri" w:hAnsi="Calibri" w:cs="Calibri"/>
                <w:b/>
                <w:bCs/>
                <w:color w:val="000000"/>
              </w:rPr>
            </w:pPr>
            <w:r w:rsidRPr="007278E2">
              <w:rPr>
                <w:rFonts w:ascii="Calibri" w:hAnsi="Calibri" w:cs="Calibri"/>
                <w:b/>
                <w:bCs/>
                <w:color w:val="000000"/>
              </w:rPr>
              <w:t>Technická specifikace</w:t>
            </w:r>
          </w:p>
        </w:tc>
        <w:tc>
          <w:tcPr>
            <w:tcW w:w="4670" w:type="dxa"/>
            <w:gridSpan w:val="4"/>
            <w:tcBorders>
              <w:top w:val="single" w:sz="8" w:space="0" w:color="auto"/>
              <w:left w:val="nil"/>
              <w:bottom w:val="single" w:sz="8" w:space="0" w:color="auto"/>
              <w:right w:val="single" w:sz="8" w:space="0" w:color="000000"/>
            </w:tcBorders>
            <w:shd w:val="clear" w:color="000000" w:fill="D6DCE4"/>
            <w:vAlign w:val="center"/>
            <w:hideMark/>
          </w:tcPr>
          <w:p w14:paraId="1E646C4D" w14:textId="77777777" w:rsidR="007278E2" w:rsidRPr="007278E2" w:rsidRDefault="007278E2" w:rsidP="007278E2">
            <w:pPr>
              <w:spacing w:line="240" w:lineRule="auto"/>
              <w:jc w:val="center"/>
              <w:rPr>
                <w:rFonts w:ascii="Calibri" w:hAnsi="Calibri" w:cs="Calibri"/>
                <w:b/>
                <w:bCs/>
                <w:color w:val="000000"/>
              </w:rPr>
            </w:pPr>
            <w:r w:rsidRPr="007278E2">
              <w:rPr>
                <w:rFonts w:ascii="Calibri" w:hAnsi="Calibri" w:cs="Calibri"/>
                <w:b/>
                <w:bCs/>
                <w:color w:val="000000"/>
              </w:rPr>
              <w:t>Poznámka dodavatele</w:t>
            </w:r>
          </w:p>
        </w:tc>
      </w:tr>
      <w:tr w:rsidR="007278E2" w:rsidRPr="007278E2" w14:paraId="25576C5C"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0330697" w14:textId="77777777" w:rsidR="007278E2" w:rsidRPr="007278E2" w:rsidRDefault="007278E2" w:rsidP="007278E2">
            <w:pPr>
              <w:spacing w:line="240" w:lineRule="auto"/>
              <w:jc w:val="left"/>
              <w:rPr>
                <w:rFonts w:ascii="Calibri" w:hAnsi="Calibri" w:cs="Calibri"/>
                <w:b/>
                <w:bCs/>
              </w:rPr>
            </w:pPr>
            <w:r w:rsidRPr="007278E2">
              <w:rPr>
                <w:rFonts w:ascii="Calibri" w:hAnsi="Calibri" w:cs="Calibri"/>
                <w:b/>
                <w:bCs/>
              </w:rPr>
              <w:t>Vysokofrekvenční tryskový ventilátor</w:t>
            </w:r>
            <w:r w:rsidRPr="007278E2">
              <w:rPr>
                <w:rFonts w:ascii="Calibri" w:hAnsi="Calibri" w:cs="Calibri"/>
              </w:rPr>
              <w:t xml:space="preserve"> použitelný na lůžkovém oddělení i na operačnch sálech</w:t>
            </w:r>
          </w:p>
        </w:tc>
        <w:tc>
          <w:tcPr>
            <w:tcW w:w="4670" w:type="dxa"/>
            <w:gridSpan w:val="4"/>
            <w:tcBorders>
              <w:top w:val="single" w:sz="8" w:space="0" w:color="auto"/>
              <w:left w:val="nil"/>
              <w:bottom w:val="single" w:sz="4" w:space="0" w:color="auto"/>
              <w:right w:val="single" w:sz="8" w:space="0" w:color="000000"/>
            </w:tcBorders>
            <w:shd w:val="clear" w:color="000000" w:fill="FFFF00"/>
            <w:vAlign w:val="bottom"/>
            <w:hideMark/>
          </w:tcPr>
          <w:p w14:paraId="609092AA"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2CD64F89" w14:textId="77777777" w:rsidTr="007278E2">
        <w:tblPrEx>
          <w:tblLook w:val="04A0" w:firstRow="1" w:lastRow="0" w:firstColumn="1" w:lastColumn="0" w:noHBand="0" w:noVBand="1"/>
        </w:tblPrEx>
        <w:trPr>
          <w:gridBefore w:val="1"/>
          <w:gridAfter w:val="1"/>
          <w:wBefore w:w="40" w:type="dxa"/>
          <w:wAfter w:w="654" w:type="dxa"/>
          <w:trHeight w:val="9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5E4CEC7" w14:textId="77777777" w:rsidR="007278E2" w:rsidRPr="007278E2" w:rsidRDefault="007278E2" w:rsidP="007278E2">
            <w:pPr>
              <w:spacing w:line="240" w:lineRule="auto"/>
              <w:jc w:val="left"/>
              <w:rPr>
                <w:rFonts w:ascii="Calibri" w:hAnsi="Calibri" w:cs="Calibri"/>
              </w:rPr>
            </w:pPr>
            <w:r w:rsidRPr="007278E2">
              <w:rPr>
                <w:rFonts w:ascii="Calibri" w:hAnsi="Calibri" w:cs="Calibri"/>
              </w:rPr>
              <w:t>Multifunkční mikroprocesorem řízený ventilátor pro superponovanou vysokofrekvenční tryskovou ventilaci (SHFJV)</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55DD7B7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režim SHFJV</w:t>
            </w:r>
          </w:p>
        </w:tc>
      </w:tr>
      <w:tr w:rsidR="007278E2" w:rsidRPr="007278E2" w14:paraId="10DC5A9E"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4B6034D" w14:textId="77777777" w:rsidR="007278E2" w:rsidRPr="007278E2" w:rsidRDefault="007278E2" w:rsidP="007278E2">
            <w:pPr>
              <w:spacing w:line="240" w:lineRule="auto"/>
              <w:jc w:val="left"/>
              <w:rPr>
                <w:rFonts w:ascii="Calibri" w:hAnsi="Calibri" w:cs="Calibri"/>
              </w:rPr>
            </w:pPr>
            <w:r w:rsidRPr="007278E2">
              <w:rPr>
                <w:rFonts w:ascii="Calibri" w:hAnsi="Calibri" w:cs="Calibri"/>
              </w:rPr>
              <w:t>Trysková ventilace neonatálních, dětských i dospělých pacientů, včetně obézních</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5A97438"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neonatálních , dětských i dosplěých pacintů</w:t>
            </w:r>
          </w:p>
        </w:tc>
      </w:tr>
      <w:tr w:rsidR="007278E2" w:rsidRPr="007278E2" w14:paraId="2AD13A0A"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708D23CE" w14:textId="77777777" w:rsidR="007278E2" w:rsidRPr="007278E2" w:rsidRDefault="007278E2" w:rsidP="007278E2">
            <w:pPr>
              <w:spacing w:line="240" w:lineRule="auto"/>
              <w:jc w:val="left"/>
              <w:rPr>
                <w:rFonts w:ascii="Calibri" w:hAnsi="Calibri" w:cs="Calibri"/>
              </w:rPr>
            </w:pPr>
            <w:r w:rsidRPr="007278E2">
              <w:rPr>
                <w:rFonts w:ascii="Calibri" w:hAnsi="Calibri" w:cs="Calibri"/>
              </w:rPr>
              <w:t>Nastavení hmotnosti v minimálním rozsahu 1 – 200 kg s krokováním po 1 kg</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1A38FD1"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xml:space="preserve">ano - 1 - 200 kg </w:t>
            </w:r>
          </w:p>
        </w:tc>
      </w:tr>
      <w:tr w:rsidR="007278E2" w:rsidRPr="007278E2" w14:paraId="36A06920" w14:textId="77777777" w:rsidTr="007278E2">
        <w:tblPrEx>
          <w:tblLook w:val="04A0" w:firstRow="1" w:lastRow="0" w:firstColumn="1" w:lastColumn="0" w:noHBand="0" w:noVBand="1"/>
        </w:tblPrEx>
        <w:trPr>
          <w:gridBefore w:val="1"/>
          <w:gridAfter w:val="1"/>
          <w:wBefore w:w="40" w:type="dxa"/>
          <w:wAfter w:w="654" w:type="dxa"/>
          <w:trHeight w:val="9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7AC67E0" w14:textId="77777777" w:rsidR="007278E2" w:rsidRPr="007278E2" w:rsidRDefault="007278E2" w:rsidP="007278E2">
            <w:pPr>
              <w:spacing w:line="240" w:lineRule="auto"/>
              <w:jc w:val="left"/>
              <w:rPr>
                <w:rFonts w:ascii="Calibri" w:hAnsi="Calibri" w:cs="Calibri"/>
              </w:rPr>
            </w:pPr>
            <w:r w:rsidRPr="007278E2">
              <w:rPr>
                <w:rFonts w:ascii="Calibri" w:hAnsi="Calibri" w:cs="Calibri"/>
              </w:rPr>
              <w:t>Automatické přednastavení vhodných ventilačních parametrů zvoleného režimu při nastavení hmotnosti pacienta</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C19D8D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27402E68"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42EDD34E" w14:textId="77777777" w:rsidR="007278E2" w:rsidRPr="007278E2" w:rsidRDefault="007278E2" w:rsidP="007278E2">
            <w:pPr>
              <w:spacing w:line="240" w:lineRule="auto"/>
              <w:jc w:val="left"/>
              <w:rPr>
                <w:rFonts w:ascii="Calibri" w:hAnsi="Calibri" w:cs="Calibri"/>
              </w:rPr>
            </w:pPr>
            <w:r w:rsidRPr="007278E2">
              <w:rPr>
                <w:rFonts w:ascii="Calibri" w:hAnsi="Calibri" w:cs="Calibri"/>
              </w:rPr>
              <w:t>Barevná dotyková obrazovka o velikosti min. 10“</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8D039A5"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xml:space="preserve">ano - 10" dotyková obrazovka </w:t>
            </w:r>
          </w:p>
        </w:tc>
      </w:tr>
      <w:tr w:rsidR="007278E2" w:rsidRPr="007278E2" w14:paraId="2734A022"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4411FD9" w14:textId="77777777" w:rsidR="007278E2" w:rsidRPr="007278E2" w:rsidRDefault="007278E2" w:rsidP="007278E2">
            <w:pPr>
              <w:spacing w:line="240" w:lineRule="auto"/>
              <w:jc w:val="left"/>
              <w:rPr>
                <w:rFonts w:ascii="Calibri" w:hAnsi="Calibri" w:cs="Calibri"/>
              </w:rPr>
            </w:pPr>
            <w:r w:rsidRPr="007278E2">
              <w:rPr>
                <w:rFonts w:ascii="Calibri" w:hAnsi="Calibri" w:cs="Calibri"/>
              </w:rPr>
              <w:t> </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16FC065"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2F9C6D69"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8F01018" w14:textId="77777777" w:rsidR="007278E2" w:rsidRPr="007278E2" w:rsidRDefault="007278E2" w:rsidP="007278E2">
            <w:pPr>
              <w:spacing w:line="240" w:lineRule="auto"/>
              <w:jc w:val="left"/>
              <w:rPr>
                <w:rFonts w:ascii="Calibri" w:hAnsi="Calibri" w:cs="Calibri"/>
                <w:b/>
                <w:bCs/>
              </w:rPr>
            </w:pPr>
            <w:r w:rsidRPr="007278E2">
              <w:rPr>
                <w:rFonts w:ascii="Calibri" w:hAnsi="Calibri" w:cs="Calibri"/>
                <w:b/>
                <w:bCs/>
              </w:rPr>
              <w:t>Mechanismus ventilace: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1CA63719"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741776FC"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1F1E18E2" w14:textId="77777777" w:rsidR="007278E2" w:rsidRPr="007278E2" w:rsidRDefault="007278E2" w:rsidP="007278E2">
            <w:pPr>
              <w:spacing w:line="240" w:lineRule="auto"/>
              <w:jc w:val="left"/>
              <w:rPr>
                <w:rFonts w:ascii="Calibri" w:hAnsi="Calibri" w:cs="Calibri"/>
              </w:rPr>
            </w:pPr>
            <w:r w:rsidRPr="007278E2">
              <w:rPr>
                <w:rFonts w:ascii="Calibri" w:hAnsi="Calibri" w:cs="Calibri"/>
              </w:rPr>
              <w:t>Ventilace pomocí kanyly nebo katétru (subglottická)</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0AD515E"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54424AC5"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433C9AB5" w14:textId="77777777" w:rsidR="007278E2" w:rsidRPr="007278E2" w:rsidRDefault="007278E2" w:rsidP="007278E2">
            <w:pPr>
              <w:spacing w:line="240" w:lineRule="auto"/>
              <w:jc w:val="left"/>
              <w:rPr>
                <w:rFonts w:ascii="Calibri" w:hAnsi="Calibri" w:cs="Calibri"/>
              </w:rPr>
            </w:pPr>
            <w:r w:rsidRPr="007278E2">
              <w:rPr>
                <w:rFonts w:ascii="Calibri" w:hAnsi="Calibri" w:cs="Calibri"/>
              </w:rPr>
              <w:t>Bezkanylová ventilace (supraglottická)</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0707E0A8"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44DAF9EB"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E3B5B2F" w14:textId="77777777" w:rsidR="007278E2" w:rsidRPr="007278E2" w:rsidRDefault="007278E2" w:rsidP="007278E2">
            <w:pPr>
              <w:spacing w:line="240" w:lineRule="auto"/>
              <w:jc w:val="left"/>
              <w:rPr>
                <w:rFonts w:ascii="Calibri" w:hAnsi="Calibri" w:cs="Calibri"/>
              </w:rPr>
            </w:pPr>
            <w:r w:rsidRPr="007278E2">
              <w:rPr>
                <w:rFonts w:ascii="Calibri" w:hAnsi="Calibri" w:cs="Calibri"/>
              </w:rPr>
              <w:t>Trysková laryngoskopie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1625D7F8"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3459CA1A"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1FB28863" w14:textId="77777777" w:rsidR="007278E2" w:rsidRPr="007278E2" w:rsidRDefault="007278E2" w:rsidP="007278E2">
            <w:pPr>
              <w:spacing w:line="240" w:lineRule="auto"/>
              <w:jc w:val="left"/>
              <w:rPr>
                <w:rFonts w:ascii="Calibri" w:hAnsi="Calibri" w:cs="Calibri"/>
              </w:rPr>
            </w:pPr>
            <w:r w:rsidRPr="007278E2">
              <w:rPr>
                <w:rFonts w:ascii="Calibri" w:hAnsi="Calibri" w:cs="Calibri"/>
              </w:rPr>
              <w:t>Trysková tracheoskopie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1F26F38A"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727B7148"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73AB2088" w14:textId="77777777" w:rsidR="007278E2" w:rsidRPr="007278E2" w:rsidRDefault="007278E2" w:rsidP="007278E2">
            <w:pPr>
              <w:spacing w:line="240" w:lineRule="auto"/>
              <w:jc w:val="left"/>
              <w:rPr>
                <w:rFonts w:ascii="Calibri" w:hAnsi="Calibri" w:cs="Calibri"/>
              </w:rPr>
            </w:pPr>
            <w:r w:rsidRPr="007278E2">
              <w:rPr>
                <w:rFonts w:ascii="Calibri" w:hAnsi="Calibri" w:cs="Calibri"/>
              </w:rPr>
              <w:t>Trysková bronchoskopie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070C007D"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73E08443"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4B5C801" w14:textId="77777777" w:rsidR="007278E2" w:rsidRPr="007278E2" w:rsidRDefault="007278E2" w:rsidP="007278E2">
            <w:pPr>
              <w:spacing w:line="240" w:lineRule="auto"/>
              <w:jc w:val="left"/>
              <w:rPr>
                <w:rFonts w:ascii="Calibri" w:hAnsi="Calibri" w:cs="Calibri"/>
              </w:rPr>
            </w:pPr>
            <w:r w:rsidRPr="007278E2">
              <w:rPr>
                <w:rFonts w:ascii="Calibri" w:hAnsi="Calibri" w:cs="Calibri"/>
              </w:rPr>
              <w:t> </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CC670C1"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13C4DFF8"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73EEA9D" w14:textId="77777777" w:rsidR="007278E2" w:rsidRPr="007278E2" w:rsidRDefault="007278E2" w:rsidP="007278E2">
            <w:pPr>
              <w:spacing w:line="240" w:lineRule="auto"/>
              <w:jc w:val="left"/>
              <w:rPr>
                <w:rFonts w:ascii="Calibri" w:hAnsi="Calibri" w:cs="Calibri"/>
                <w:b/>
                <w:bCs/>
              </w:rPr>
            </w:pPr>
            <w:r w:rsidRPr="007278E2">
              <w:rPr>
                <w:rFonts w:ascii="Calibri" w:hAnsi="Calibri" w:cs="Calibri"/>
                <w:b/>
                <w:bCs/>
              </w:rPr>
              <w:t xml:space="preserve">Režimy ventilace : </w:t>
            </w:r>
            <w:r w:rsidRPr="007278E2">
              <w:rPr>
                <w:rFonts w:ascii="Calibri" w:hAnsi="Calibri" w:cs="Calibri"/>
              </w:rPr>
              <w:t>*název módu se může lišit, ale musí být zachován účel použití</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13BB4EA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6F7501F2"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2D0E046" w14:textId="77777777" w:rsidR="007278E2" w:rsidRPr="007278E2" w:rsidRDefault="007278E2" w:rsidP="007278E2">
            <w:pPr>
              <w:spacing w:line="240" w:lineRule="auto"/>
              <w:jc w:val="left"/>
              <w:rPr>
                <w:rFonts w:ascii="Calibri" w:hAnsi="Calibri" w:cs="Calibri"/>
              </w:rPr>
            </w:pPr>
            <w:r w:rsidRPr="007278E2">
              <w:rPr>
                <w:rFonts w:ascii="Calibri" w:hAnsi="Calibri" w:cs="Calibri"/>
              </w:rPr>
              <w:t>ICU p-BLV -Pulsatilní Bi-level ventilace (dlouhodobá)</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238933B"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p-BLV</w:t>
            </w:r>
          </w:p>
        </w:tc>
      </w:tr>
      <w:tr w:rsidR="007278E2" w:rsidRPr="007278E2" w14:paraId="2FBDE4EC"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76D884A4" w14:textId="77777777" w:rsidR="007278E2" w:rsidRPr="007278E2" w:rsidRDefault="007278E2" w:rsidP="007278E2">
            <w:pPr>
              <w:spacing w:line="240" w:lineRule="auto"/>
              <w:jc w:val="left"/>
              <w:rPr>
                <w:rFonts w:ascii="Calibri" w:hAnsi="Calibri" w:cs="Calibri"/>
              </w:rPr>
            </w:pPr>
            <w:r w:rsidRPr="007278E2">
              <w:rPr>
                <w:rFonts w:ascii="Calibri" w:hAnsi="Calibri" w:cs="Calibri"/>
              </w:rPr>
              <w:t>BM – (Bronchoskopic Mode) (bezkanylová ventilace) supraglottická ventilace SHFJV</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B657EC9"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BRO</w:t>
            </w:r>
          </w:p>
        </w:tc>
      </w:tr>
      <w:tr w:rsidR="007278E2" w:rsidRPr="007278E2" w14:paraId="1B0766CC"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3040DF9" w14:textId="77777777" w:rsidR="007278E2" w:rsidRPr="007278E2" w:rsidRDefault="007278E2" w:rsidP="007278E2">
            <w:pPr>
              <w:spacing w:line="240" w:lineRule="auto"/>
              <w:jc w:val="left"/>
              <w:rPr>
                <w:rFonts w:ascii="Calibri" w:hAnsi="Calibri" w:cs="Calibri"/>
              </w:rPr>
            </w:pPr>
            <w:r w:rsidRPr="007278E2">
              <w:rPr>
                <w:rFonts w:ascii="Calibri" w:hAnsi="Calibri" w:cs="Calibri"/>
              </w:rPr>
              <w:lastRenderedPageBreak/>
              <w:t>LM - (Laryngeal Mode) Laryngeální mód</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D98D3EF"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LAR</w:t>
            </w:r>
          </w:p>
        </w:tc>
      </w:tr>
      <w:tr w:rsidR="007278E2" w:rsidRPr="007278E2" w14:paraId="6C9366FD"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5FF540A" w14:textId="77777777" w:rsidR="007278E2" w:rsidRPr="007278E2" w:rsidRDefault="007278E2" w:rsidP="007278E2">
            <w:pPr>
              <w:spacing w:line="240" w:lineRule="auto"/>
              <w:jc w:val="left"/>
              <w:rPr>
                <w:rFonts w:ascii="Calibri" w:hAnsi="Calibri" w:cs="Calibri"/>
              </w:rPr>
            </w:pPr>
            <w:r w:rsidRPr="007278E2">
              <w:rPr>
                <w:rFonts w:ascii="Calibri" w:hAnsi="Calibri" w:cs="Calibri"/>
              </w:rPr>
              <w:t>LSM – (Laser Safe Mode) bezpečnostní režim pro laserovou chirurgii</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F47B264"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LSM</w:t>
            </w:r>
          </w:p>
        </w:tc>
      </w:tr>
      <w:tr w:rsidR="007278E2" w:rsidRPr="007278E2" w14:paraId="047DD021"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DE2EEBE" w14:textId="77777777" w:rsidR="007278E2" w:rsidRPr="007278E2" w:rsidRDefault="007278E2" w:rsidP="007278E2">
            <w:pPr>
              <w:spacing w:line="240" w:lineRule="auto"/>
              <w:jc w:val="left"/>
              <w:rPr>
                <w:rFonts w:ascii="Calibri" w:hAnsi="Calibri" w:cs="Calibri"/>
              </w:rPr>
            </w:pPr>
            <w:r w:rsidRPr="007278E2">
              <w:rPr>
                <w:rFonts w:ascii="Calibri" w:hAnsi="Calibri" w:cs="Calibri"/>
              </w:rPr>
              <w:t>Přístroj musí umožnit použití laseru do koncentrace FiO2 40%</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5EDF28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do 40% FiO2</w:t>
            </w:r>
          </w:p>
        </w:tc>
      </w:tr>
      <w:tr w:rsidR="007278E2" w:rsidRPr="007278E2" w14:paraId="7E06477C"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9A64678" w14:textId="77777777" w:rsidR="007278E2" w:rsidRPr="007278E2" w:rsidRDefault="007278E2" w:rsidP="007278E2">
            <w:pPr>
              <w:spacing w:line="240" w:lineRule="auto"/>
              <w:jc w:val="left"/>
              <w:rPr>
                <w:rFonts w:ascii="Calibri" w:hAnsi="Calibri" w:cs="Calibri"/>
              </w:rPr>
            </w:pPr>
            <w:r w:rsidRPr="007278E2">
              <w:rPr>
                <w:rFonts w:ascii="Calibri" w:hAnsi="Calibri" w:cs="Calibri"/>
              </w:rPr>
              <w:t>Automatické snížení FiO2jet na přednastavenou hodnotu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AEA6A8C"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7C110BCD"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1F15CF4"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Režim pro infraglottickou ventilaci (monofrekvenční) s 1 lumenovým katetrem</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387CEB0"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3D11479D"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4FEBDD2"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Režim pro infraglottickou ventilaci SHFJV se 4 lumenovým katetrem</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BC4EEFE"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780751DC"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AF5147F" w14:textId="77777777" w:rsidR="007278E2" w:rsidRPr="007278E2" w:rsidRDefault="007278E2" w:rsidP="007278E2">
            <w:pPr>
              <w:spacing w:line="240" w:lineRule="auto"/>
              <w:jc w:val="left"/>
              <w:rPr>
                <w:rFonts w:ascii="Calibri" w:hAnsi="Calibri" w:cs="Calibri"/>
              </w:rPr>
            </w:pPr>
            <w:r w:rsidRPr="007278E2">
              <w:rPr>
                <w:rFonts w:ascii="Calibri" w:hAnsi="Calibri" w:cs="Calibri"/>
              </w:rPr>
              <w:t>Režim Autostart umožňující automatické nastavení parametrů dle zvoleného režimu a hmotnosti</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07202A6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142C8893"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4BDC57B6" w14:textId="77777777" w:rsidR="007278E2" w:rsidRPr="007278E2" w:rsidRDefault="007278E2" w:rsidP="007278E2">
            <w:pPr>
              <w:spacing w:line="240" w:lineRule="auto"/>
              <w:jc w:val="left"/>
              <w:rPr>
                <w:rFonts w:ascii="Calibri" w:hAnsi="Calibri" w:cs="Calibri"/>
              </w:rPr>
            </w:pPr>
            <w:r w:rsidRPr="007278E2">
              <w:rPr>
                <w:rFonts w:ascii="Calibri" w:hAnsi="Calibri" w:cs="Calibri"/>
              </w:rPr>
              <w:t> </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5F1DC572"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2EE84B61"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B8020EF" w14:textId="77777777" w:rsidR="007278E2" w:rsidRPr="007278E2" w:rsidRDefault="007278E2" w:rsidP="007278E2">
            <w:pPr>
              <w:spacing w:line="240" w:lineRule="auto"/>
              <w:jc w:val="left"/>
              <w:rPr>
                <w:rFonts w:ascii="Calibri" w:hAnsi="Calibri" w:cs="Calibri"/>
                <w:b/>
                <w:bCs/>
              </w:rPr>
            </w:pPr>
            <w:r w:rsidRPr="007278E2">
              <w:rPr>
                <w:rFonts w:ascii="Calibri" w:hAnsi="Calibri" w:cs="Calibri"/>
                <w:b/>
                <w:bCs/>
              </w:rPr>
              <w:t>Monitorace a zobrazení:</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D7C26C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1824AFBE"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0A08CBA" w14:textId="77777777" w:rsidR="007278E2" w:rsidRPr="007278E2" w:rsidRDefault="007278E2" w:rsidP="007278E2">
            <w:pPr>
              <w:spacing w:line="240" w:lineRule="auto"/>
              <w:jc w:val="left"/>
              <w:rPr>
                <w:rFonts w:ascii="Calibri" w:hAnsi="Calibri" w:cs="Calibri"/>
              </w:rPr>
            </w:pPr>
            <w:r w:rsidRPr="007278E2">
              <w:rPr>
                <w:rFonts w:ascii="Calibri" w:hAnsi="Calibri" w:cs="Calibri"/>
              </w:rPr>
              <w:t>Monitorace a zobrazení činnosti LSM – (Laser Safe Mode)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A436FCC"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LSM</w:t>
            </w:r>
          </w:p>
        </w:tc>
      </w:tr>
      <w:tr w:rsidR="007278E2" w:rsidRPr="007278E2" w14:paraId="2CD83530" w14:textId="77777777" w:rsidTr="007278E2">
        <w:tblPrEx>
          <w:tblLook w:val="04A0" w:firstRow="1" w:lastRow="0" w:firstColumn="1" w:lastColumn="0" w:noHBand="0" w:noVBand="1"/>
        </w:tblPrEx>
        <w:trPr>
          <w:gridBefore w:val="1"/>
          <w:gridAfter w:val="1"/>
          <w:wBefore w:w="40" w:type="dxa"/>
          <w:wAfter w:w="654" w:type="dxa"/>
          <w:trHeight w:val="615"/>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276BC34" w14:textId="77777777" w:rsidR="007278E2" w:rsidRPr="007278E2" w:rsidRDefault="007278E2" w:rsidP="007278E2">
            <w:pPr>
              <w:spacing w:line="240" w:lineRule="auto"/>
              <w:jc w:val="left"/>
              <w:rPr>
                <w:rFonts w:ascii="Calibri" w:hAnsi="Calibri" w:cs="Calibri"/>
              </w:rPr>
            </w:pPr>
            <w:r w:rsidRPr="007278E2">
              <w:rPr>
                <w:rFonts w:ascii="Calibri" w:hAnsi="Calibri" w:cs="Calibri"/>
              </w:rPr>
              <w:t>Monitorace Paw a grafické zobrazení křivky tlaku v pacientském okruhu v čase, včetně tlakových limitů</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01EE8DD"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2159BEB3"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7D7D302D"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Monitorace a zobrazení PIP (špičkový tlak), MAP (střední tlak), PEEP (minimální tlak), PP (tlak v pause)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6AE21F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63220505"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AF594D3" w14:textId="77777777" w:rsidR="007278E2" w:rsidRPr="007278E2" w:rsidRDefault="007278E2" w:rsidP="007278E2">
            <w:pPr>
              <w:spacing w:line="240" w:lineRule="auto"/>
              <w:jc w:val="left"/>
              <w:rPr>
                <w:rFonts w:ascii="Calibri" w:hAnsi="Calibri" w:cs="Calibri"/>
              </w:rPr>
            </w:pPr>
            <w:r w:rsidRPr="007278E2">
              <w:rPr>
                <w:rFonts w:ascii="Calibri" w:hAnsi="Calibri" w:cs="Calibri"/>
              </w:rPr>
              <w:t>Monitorace FiO2jet a zobrazení inspirované koncentrace O2 před tryskou – směšovačem</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0A5B142F"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7AE2C70B"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B2788A1" w14:textId="77777777" w:rsidR="007278E2" w:rsidRPr="007278E2" w:rsidRDefault="007278E2" w:rsidP="007278E2">
            <w:pPr>
              <w:spacing w:line="240" w:lineRule="auto"/>
              <w:jc w:val="left"/>
              <w:rPr>
                <w:rFonts w:ascii="Calibri" w:hAnsi="Calibri" w:cs="Calibri"/>
              </w:rPr>
            </w:pPr>
            <w:r w:rsidRPr="007278E2">
              <w:rPr>
                <w:rFonts w:ascii="Calibri" w:hAnsi="Calibri" w:cs="Calibri"/>
              </w:rPr>
              <w:t>Monitorace FiO2aw a zobrazení inspirované koncentrace O2 za tryskou – v pacientském okruhu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6B14CFA"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09259D1E"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8FAE1FC" w14:textId="77777777" w:rsidR="007278E2" w:rsidRPr="007278E2" w:rsidRDefault="007278E2" w:rsidP="007278E2">
            <w:pPr>
              <w:spacing w:line="240" w:lineRule="auto"/>
              <w:jc w:val="left"/>
              <w:rPr>
                <w:rFonts w:ascii="Calibri" w:hAnsi="Calibri" w:cs="Calibri"/>
              </w:rPr>
            </w:pPr>
            <w:r w:rsidRPr="007278E2">
              <w:rPr>
                <w:rFonts w:ascii="Calibri" w:hAnsi="Calibri" w:cs="Calibri"/>
              </w:rPr>
              <w:t>Monitorace EtCO2 a zobrazení koncentrace CO2 na výdechu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BBC7D73"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2DEE7AFF"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3093097" w14:textId="77777777" w:rsidR="007278E2" w:rsidRPr="007278E2" w:rsidRDefault="007278E2" w:rsidP="007278E2">
            <w:pPr>
              <w:spacing w:line="240" w:lineRule="auto"/>
              <w:jc w:val="left"/>
              <w:rPr>
                <w:rFonts w:ascii="Calibri" w:hAnsi="Calibri" w:cs="Calibri"/>
              </w:rPr>
            </w:pPr>
            <w:r w:rsidRPr="007278E2">
              <w:rPr>
                <w:rFonts w:ascii="Calibri" w:hAnsi="Calibri" w:cs="Calibri"/>
              </w:rPr>
              <w:t> </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1299B62C"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34ADC6C9"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0F15E48" w14:textId="77777777" w:rsidR="007278E2" w:rsidRPr="007278E2" w:rsidRDefault="007278E2" w:rsidP="007278E2">
            <w:pPr>
              <w:spacing w:line="240" w:lineRule="auto"/>
              <w:jc w:val="left"/>
              <w:rPr>
                <w:rFonts w:ascii="Calibri" w:hAnsi="Calibri" w:cs="Calibri"/>
                <w:b/>
                <w:bCs/>
              </w:rPr>
            </w:pPr>
            <w:r w:rsidRPr="007278E2">
              <w:rPr>
                <w:rFonts w:ascii="Calibri" w:hAnsi="Calibri" w:cs="Calibri"/>
                <w:b/>
                <w:bCs/>
              </w:rPr>
              <w:t>Samostatně nastavitelná NF jednotka</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6BABB3C"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03B31531"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9AFECA2" w14:textId="77777777" w:rsidR="007278E2" w:rsidRPr="007278E2" w:rsidRDefault="007278E2" w:rsidP="007278E2">
            <w:pPr>
              <w:spacing w:line="240" w:lineRule="auto"/>
              <w:jc w:val="left"/>
              <w:rPr>
                <w:rFonts w:ascii="Calibri" w:hAnsi="Calibri" w:cs="Calibri"/>
              </w:rPr>
            </w:pPr>
            <w:r w:rsidRPr="007278E2">
              <w:rPr>
                <w:rFonts w:ascii="Calibri" w:hAnsi="Calibri" w:cs="Calibri"/>
              </w:rPr>
              <w:t>Trysková ventilace s frekvencí v rozmezí minimálně 1 – 100 dechů za minutu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D15ADA3"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- 1-100</w:t>
            </w:r>
          </w:p>
        </w:tc>
      </w:tr>
      <w:tr w:rsidR="007278E2" w:rsidRPr="007278E2" w14:paraId="0F085E7A"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840BD84" w14:textId="77777777" w:rsidR="007278E2" w:rsidRPr="007278E2" w:rsidRDefault="007278E2" w:rsidP="007278E2">
            <w:pPr>
              <w:spacing w:line="240" w:lineRule="auto"/>
              <w:jc w:val="left"/>
              <w:rPr>
                <w:rFonts w:ascii="Calibri" w:hAnsi="Calibri" w:cs="Calibri"/>
              </w:rPr>
            </w:pPr>
            <w:r w:rsidRPr="007278E2">
              <w:rPr>
                <w:rFonts w:ascii="Calibri" w:hAnsi="Calibri" w:cs="Calibri"/>
              </w:rPr>
              <w:t>Poměr I:E v rozmezí minimálně 1:5 – 3:1</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6B313B9"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- 1:5 - 3:1</w:t>
            </w:r>
          </w:p>
        </w:tc>
      </w:tr>
      <w:tr w:rsidR="007278E2" w:rsidRPr="007278E2" w14:paraId="2AE1B338"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4F1D1F9F" w14:textId="77777777" w:rsidR="007278E2" w:rsidRPr="007278E2" w:rsidRDefault="007278E2" w:rsidP="007278E2">
            <w:pPr>
              <w:spacing w:line="240" w:lineRule="auto"/>
              <w:jc w:val="left"/>
              <w:rPr>
                <w:rFonts w:ascii="Calibri" w:hAnsi="Calibri" w:cs="Calibri"/>
              </w:rPr>
            </w:pPr>
            <w:r w:rsidRPr="007278E2">
              <w:rPr>
                <w:rFonts w:ascii="Calibri" w:hAnsi="Calibri" w:cs="Calibri"/>
              </w:rPr>
              <w:t>Emisní tlak (tlak s tryskou) v rozmezí minimálně 0,1 – 3,5 bar</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B530489"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- 0,1 - 3,5</w:t>
            </w:r>
          </w:p>
        </w:tc>
      </w:tr>
      <w:tr w:rsidR="007278E2" w:rsidRPr="007278E2" w14:paraId="11387A95"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FA52EB5" w14:textId="77777777" w:rsidR="007278E2" w:rsidRPr="007278E2" w:rsidRDefault="007278E2" w:rsidP="007278E2">
            <w:pPr>
              <w:spacing w:line="240" w:lineRule="auto"/>
              <w:jc w:val="left"/>
              <w:rPr>
                <w:rFonts w:ascii="Calibri" w:hAnsi="Calibri" w:cs="Calibri"/>
              </w:rPr>
            </w:pPr>
            <w:r w:rsidRPr="007278E2">
              <w:rPr>
                <w:rFonts w:ascii="Calibri" w:hAnsi="Calibri" w:cs="Calibri"/>
              </w:rPr>
              <w:t> </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EFD948B"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638D8779"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EC350C3" w14:textId="77777777" w:rsidR="007278E2" w:rsidRPr="007278E2" w:rsidRDefault="007278E2" w:rsidP="007278E2">
            <w:pPr>
              <w:spacing w:line="240" w:lineRule="auto"/>
              <w:jc w:val="left"/>
              <w:rPr>
                <w:rFonts w:ascii="Calibri" w:hAnsi="Calibri" w:cs="Calibri"/>
                <w:b/>
                <w:bCs/>
              </w:rPr>
            </w:pPr>
            <w:r w:rsidRPr="007278E2">
              <w:rPr>
                <w:rFonts w:ascii="Calibri" w:hAnsi="Calibri" w:cs="Calibri"/>
                <w:b/>
                <w:bCs/>
              </w:rPr>
              <w:t>Samostatně nastavitelná VF jednotka</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5FE303D"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513AE68A"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47931BB3" w14:textId="77777777" w:rsidR="007278E2" w:rsidRPr="007278E2" w:rsidRDefault="007278E2" w:rsidP="007278E2">
            <w:pPr>
              <w:spacing w:line="240" w:lineRule="auto"/>
              <w:jc w:val="left"/>
              <w:rPr>
                <w:rFonts w:ascii="Calibri" w:hAnsi="Calibri" w:cs="Calibri"/>
              </w:rPr>
            </w:pPr>
            <w:r w:rsidRPr="007278E2">
              <w:rPr>
                <w:rFonts w:ascii="Calibri" w:hAnsi="Calibri" w:cs="Calibri"/>
              </w:rPr>
              <w:t>Trysková ventilace s frekvencí v rozmezí minimálně 1 – 1500 dechů za minutu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19A8DB2"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- 1 - 1500</w:t>
            </w:r>
          </w:p>
        </w:tc>
      </w:tr>
      <w:tr w:rsidR="007278E2" w:rsidRPr="007278E2" w14:paraId="6B91FAC2"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BAB2628" w14:textId="77777777" w:rsidR="007278E2" w:rsidRPr="007278E2" w:rsidRDefault="007278E2" w:rsidP="007278E2">
            <w:pPr>
              <w:spacing w:line="240" w:lineRule="auto"/>
              <w:jc w:val="left"/>
              <w:rPr>
                <w:rFonts w:ascii="Calibri" w:hAnsi="Calibri" w:cs="Calibri"/>
              </w:rPr>
            </w:pPr>
            <w:r w:rsidRPr="007278E2">
              <w:rPr>
                <w:rFonts w:ascii="Calibri" w:hAnsi="Calibri" w:cs="Calibri"/>
              </w:rPr>
              <w:t>Poměr I:E v rozmezí minimálně 1:5 – 3:1</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FE3A732"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- 1:5 - 3:1</w:t>
            </w:r>
          </w:p>
        </w:tc>
      </w:tr>
      <w:tr w:rsidR="007278E2" w:rsidRPr="007278E2" w14:paraId="1D689C51"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A4DDD42" w14:textId="77777777" w:rsidR="007278E2" w:rsidRPr="007278E2" w:rsidRDefault="007278E2" w:rsidP="007278E2">
            <w:pPr>
              <w:spacing w:line="240" w:lineRule="auto"/>
              <w:jc w:val="left"/>
              <w:rPr>
                <w:rFonts w:ascii="Calibri" w:hAnsi="Calibri" w:cs="Calibri"/>
              </w:rPr>
            </w:pPr>
            <w:r w:rsidRPr="007278E2">
              <w:rPr>
                <w:rFonts w:ascii="Calibri" w:hAnsi="Calibri" w:cs="Calibri"/>
              </w:rPr>
              <w:t>Emisní tlak (tlak s tryskou) v rozmezí minimálně 0,1 – 2,0 bar</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82E25AF"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24AD6623"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1419F13" w14:textId="77777777" w:rsidR="007278E2" w:rsidRPr="007278E2" w:rsidRDefault="007278E2" w:rsidP="007278E2">
            <w:pPr>
              <w:spacing w:line="240" w:lineRule="auto"/>
              <w:jc w:val="left"/>
              <w:rPr>
                <w:rFonts w:ascii="Calibri" w:hAnsi="Calibri" w:cs="Calibri"/>
              </w:rPr>
            </w:pPr>
            <w:r w:rsidRPr="007278E2">
              <w:rPr>
                <w:rFonts w:ascii="Calibri" w:hAnsi="Calibri" w:cs="Calibri"/>
              </w:rPr>
              <w:t> </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5D8078F6"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29580DAF"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B340E5B" w14:textId="77777777" w:rsidR="007278E2" w:rsidRPr="007278E2" w:rsidRDefault="007278E2" w:rsidP="007278E2">
            <w:pPr>
              <w:spacing w:line="240" w:lineRule="auto"/>
              <w:jc w:val="left"/>
              <w:rPr>
                <w:rFonts w:ascii="Calibri" w:hAnsi="Calibri" w:cs="Calibri"/>
              </w:rPr>
            </w:pPr>
            <w:r w:rsidRPr="007278E2">
              <w:rPr>
                <w:rFonts w:ascii="Calibri" w:hAnsi="Calibri" w:cs="Calibri"/>
              </w:rPr>
              <w:t>Celkový emisní tlak minimálně 5,5 baru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07177109"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- 5,5 bar</w:t>
            </w:r>
          </w:p>
        </w:tc>
      </w:tr>
      <w:tr w:rsidR="007278E2" w:rsidRPr="007278E2" w14:paraId="127183B0"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211BAE2" w14:textId="77777777" w:rsidR="007278E2" w:rsidRPr="007278E2" w:rsidRDefault="007278E2" w:rsidP="007278E2">
            <w:pPr>
              <w:spacing w:line="240" w:lineRule="auto"/>
              <w:jc w:val="left"/>
              <w:rPr>
                <w:rFonts w:ascii="Calibri" w:hAnsi="Calibri" w:cs="Calibri"/>
              </w:rPr>
            </w:pPr>
            <w:r w:rsidRPr="007278E2">
              <w:rPr>
                <w:rFonts w:ascii="Calibri" w:hAnsi="Calibri" w:cs="Calibri"/>
              </w:rPr>
              <w:t>Bias Flow (klidový průtok) - 0, 20, 40, 55 l/min.</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D3B2E71"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- 0, 20, 40 , 55 l/min</w:t>
            </w:r>
          </w:p>
        </w:tc>
      </w:tr>
      <w:tr w:rsidR="007278E2" w:rsidRPr="007278E2" w14:paraId="64CD4CEB"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27D5BA4D" w14:textId="77777777" w:rsidR="007278E2" w:rsidRPr="007278E2" w:rsidRDefault="007278E2" w:rsidP="007278E2">
            <w:pPr>
              <w:spacing w:line="240" w:lineRule="auto"/>
              <w:jc w:val="left"/>
              <w:rPr>
                <w:rFonts w:ascii="Calibri" w:hAnsi="Calibri" w:cs="Calibri"/>
              </w:rPr>
            </w:pPr>
            <w:r w:rsidRPr="007278E2">
              <w:rPr>
                <w:rFonts w:ascii="Calibri" w:hAnsi="Calibri" w:cs="Calibri"/>
              </w:rPr>
              <w:t>Audiovizuální alarmové zabezpečení</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D58DAC3"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5A0BF94D"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330CCAA8" w14:textId="77777777" w:rsidR="007278E2" w:rsidRPr="007278E2" w:rsidRDefault="007278E2" w:rsidP="007278E2">
            <w:pPr>
              <w:spacing w:line="240" w:lineRule="auto"/>
              <w:jc w:val="left"/>
              <w:rPr>
                <w:rFonts w:ascii="Calibri" w:hAnsi="Calibri" w:cs="Calibri"/>
              </w:rPr>
            </w:pPr>
            <w:r w:rsidRPr="007278E2">
              <w:rPr>
                <w:rFonts w:ascii="Calibri" w:hAnsi="Calibri" w:cs="Calibri"/>
              </w:rPr>
              <w:t>Alarmový management stavu O2, vzduch, vypnutí LSM (Laser Safe Mode) při výpadku vzduchu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0CC76F78"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04FCAE3B" w14:textId="77777777" w:rsidTr="007278E2">
        <w:tblPrEx>
          <w:tblLook w:val="04A0" w:firstRow="1" w:lastRow="0" w:firstColumn="1" w:lastColumn="0" w:noHBand="0" w:noVBand="1"/>
        </w:tblPrEx>
        <w:trPr>
          <w:gridBefore w:val="1"/>
          <w:gridAfter w:val="1"/>
          <w:wBefore w:w="40" w:type="dxa"/>
          <w:wAfter w:w="654" w:type="dxa"/>
          <w:trHeight w:val="9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1867ED58" w14:textId="77777777" w:rsidR="007278E2" w:rsidRPr="007278E2" w:rsidRDefault="007278E2" w:rsidP="007278E2">
            <w:pPr>
              <w:spacing w:line="240" w:lineRule="auto"/>
              <w:jc w:val="left"/>
              <w:rPr>
                <w:rFonts w:ascii="Calibri" w:hAnsi="Calibri" w:cs="Calibri"/>
              </w:rPr>
            </w:pPr>
            <w:r w:rsidRPr="007278E2">
              <w:rPr>
                <w:rFonts w:ascii="Calibri" w:hAnsi="Calibri" w:cs="Calibri"/>
              </w:rPr>
              <w:lastRenderedPageBreak/>
              <w:t>Plně automatický test celého systému – musí automaticky kontrolovat všechny ventily a trysky, O2 senzory, tlakové snímače a celý pneumatický systém</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60911CC"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638C0A01"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CB4CF38" w14:textId="77777777" w:rsidR="007278E2" w:rsidRPr="007278E2" w:rsidRDefault="007278E2" w:rsidP="007278E2">
            <w:pPr>
              <w:spacing w:line="240" w:lineRule="auto"/>
              <w:jc w:val="left"/>
              <w:rPr>
                <w:rFonts w:ascii="Calibri" w:hAnsi="Calibri" w:cs="Calibri"/>
              </w:rPr>
            </w:pPr>
            <w:r w:rsidRPr="007278E2">
              <w:rPr>
                <w:rFonts w:ascii="Calibri" w:hAnsi="Calibri" w:cs="Calibri"/>
              </w:rPr>
              <w:t>Horní alarmový limit tlaku v dýchacích cestách Paw min. 0 – 100 mbar</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F7E839D"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- 0- 100 mbar</w:t>
            </w:r>
          </w:p>
        </w:tc>
      </w:tr>
      <w:tr w:rsidR="007278E2" w:rsidRPr="007278E2" w14:paraId="7B9A4DEF"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E68BED4" w14:textId="77777777" w:rsidR="007278E2" w:rsidRPr="007278E2" w:rsidRDefault="007278E2" w:rsidP="007278E2">
            <w:pPr>
              <w:spacing w:line="240" w:lineRule="auto"/>
              <w:jc w:val="left"/>
              <w:rPr>
                <w:rFonts w:ascii="Calibri" w:hAnsi="Calibri" w:cs="Calibri"/>
              </w:rPr>
            </w:pPr>
            <w:r w:rsidRPr="007278E2">
              <w:rPr>
                <w:rFonts w:ascii="Calibri" w:hAnsi="Calibri" w:cs="Calibri"/>
              </w:rPr>
              <w:t>Dolní alarmový limit tlaku v dýchacích cestách Paw min. 0 – 60 mbar</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36D8528"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- 0- 60 mbar</w:t>
            </w:r>
          </w:p>
        </w:tc>
      </w:tr>
      <w:tr w:rsidR="007278E2" w:rsidRPr="007278E2" w14:paraId="074DE527"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9ACB412" w14:textId="77777777" w:rsidR="007278E2" w:rsidRPr="007278E2" w:rsidRDefault="007278E2" w:rsidP="007278E2">
            <w:pPr>
              <w:spacing w:line="240" w:lineRule="auto"/>
              <w:jc w:val="left"/>
              <w:rPr>
                <w:rFonts w:ascii="Calibri" w:hAnsi="Calibri" w:cs="Calibri"/>
              </w:rPr>
            </w:pPr>
            <w:r w:rsidRPr="007278E2">
              <w:rPr>
                <w:rFonts w:ascii="Calibri" w:hAnsi="Calibri" w:cs="Calibri"/>
              </w:rPr>
              <w:t>Alarmový limit tlaku v pause (Pause press) v rozmezí min. 5 – 100 mbar</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1850642"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 - 5 - 100 mbar</w:t>
            </w:r>
          </w:p>
        </w:tc>
      </w:tr>
      <w:tr w:rsidR="007278E2" w:rsidRPr="007278E2" w14:paraId="5EA93CA2"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25CAE1B"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Kompatibilní se zvlhčovači různých výrobců, např. Fisher Paykel</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89030B4"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776711E8"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FFFFFF"/>
            <w:vAlign w:val="bottom"/>
            <w:hideMark/>
          </w:tcPr>
          <w:p w14:paraId="1D880B7D"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 </w:t>
            </w:r>
          </w:p>
        </w:tc>
        <w:tc>
          <w:tcPr>
            <w:tcW w:w="4670" w:type="dxa"/>
            <w:gridSpan w:val="4"/>
            <w:tcBorders>
              <w:top w:val="single" w:sz="4" w:space="0" w:color="auto"/>
              <w:left w:val="nil"/>
              <w:bottom w:val="single" w:sz="4" w:space="0" w:color="auto"/>
              <w:right w:val="single" w:sz="8" w:space="0" w:color="000000"/>
            </w:tcBorders>
            <w:shd w:val="clear" w:color="000000" w:fill="FFFFFF"/>
            <w:vAlign w:val="bottom"/>
            <w:hideMark/>
          </w:tcPr>
          <w:p w14:paraId="072D7ED3"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 </w:t>
            </w:r>
          </w:p>
        </w:tc>
      </w:tr>
      <w:tr w:rsidR="007278E2" w:rsidRPr="007278E2" w14:paraId="13825B4A"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6DCE4"/>
            <w:vAlign w:val="bottom"/>
            <w:hideMark/>
          </w:tcPr>
          <w:p w14:paraId="4826E665" w14:textId="77777777" w:rsidR="007278E2" w:rsidRPr="007278E2" w:rsidRDefault="007278E2" w:rsidP="007278E2">
            <w:pPr>
              <w:spacing w:line="240" w:lineRule="auto"/>
              <w:jc w:val="left"/>
              <w:rPr>
                <w:rFonts w:ascii="Calibri" w:hAnsi="Calibri" w:cs="Calibri"/>
                <w:b/>
                <w:bCs/>
                <w:color w:val="000000"/>
              </w:rPr>
            </w:pPr>
            <w:r w:rsidRPr="007278E2">
              <w:rPr>
                <w:rFonts w:ascii="Calibri" w:hAnsi="Calibri" w:cs="Calibri"/>
                <w:b/>
                <w:bCs/>
                <w:color w:val="000000"/>
              </w:rPr>
              <w:t>Příslušenství v rámci dodávky</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176186F0" w14:textId="77777777" w:rsidR="007278E2" w:rsidRPr="007278E2" w:rsidRDefault="007278E2" w:rsidP="007278E2">
            <w:pPr>
              <w:spacing w:line="240" w:lineRule="auto"/>
              <w:jc w:val="center"/>
              <w:rPr>
                <w:rFonts w:ascii="Calibri" w:hAnsi="Calibri" w:cs="Calibri"/>
                <w:color w:val="375623"/>
              </w:rPr>
            </w:pPr>
            <w:r w:rsidRPr="007278E2">
              <w:rPr>
                <w:rFonts w:ascii="Calibri" w:hAnsi="Calibri" w:cs="Calibri"/>
                <w:color w:val="375623"/>
              </w:rPr>
              <w:t> </w:t>
            </w:r>
          </w:p>
        </w:tc>
      </w:tr>
      <w:tr w:rsidR="007278E2" w:rsidRPr="007278E2" w14:paraId="0C8ABE05"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AF4DEE8" w14:textId="77777777" w:rsidR="007278E2" w:rsidRPr="007278E2" w:rsidRDefault="007278E2" w:rsidP="007278E2">
            <w:pPr>
              <w:spacing w:line="240" w:lineRule="auto"/>
              <w:jc w:val="left"/>
              <w:rPr>
                <w:rFonts w:ascii="Calibri" w:hAnsi="Calibri" w:cs="Calibri"/>
              </w:rPr>
            </w:pPr>
            <w:r w:rsidRPr="007278E2">
              <w:rPr>
                <w:rFonts w:ascii="Calibri" w:hAnsi="Calibri" w:cs="Calibri"/>
              </w:rPr>
              <w:t>Stabilní mobilní stojan, brzditelná antistatická kolečka</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F182685"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46068025" w14:textId="77777777" w:rsidTr="007278E2">
        <w:tblPrEx>
          <w:tblLook w:val="04A0" w:firstRow="1" w:lastRow="0" w:firstColumn="1" w:lastColumn="0" w:noHBand="0" w:noVBand="1"/>
        </w:tblPrEx>
        <w:trPr>
          <w:gridBefore w:val="1"/>
          <w:gridAfter w:val="1"/>
          <w:wBefore w:w="40" w:type="dxa"/>
          <w:wAfter w:w="654" w:type="dxa"/>
          <w:trHeight w:val="315"/>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41A8897A" w14:textId="77777777" w:rsidR="007278E2" w:rsidRPr="007278E2" w:rsidRDefault="007278E2" w:rsidP="007278E2">
            <w:pPr>
              <w:spacing w:line="240" w:lineRule="auto"/>
              <w:jc w:val="left"/>
              <w:rPr>
                <w:rFonts w:ascii="Calibri" w:hAnsi="Calibri" w:cs="Calibri"/>
              </w:rPr>
            </w:pPr>
            <w:r w:rsidRPr="007278E2">
              <w:rPr>
                <w:rFonts w:ascii="Calibri" w:hAnsi="Calibri" w:cs="Calibri"/>
              </w:rPr>
              <w:t>Universální držák dýchacího okruhu a endoskopů</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9AEE7FB"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5FF0311F"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026EDDF1" w14:textId="77777777" w:rsidR="007278E2" w:rsidRPr="007278E2" w:rsidRDefault="007278E2" w:rsidP="007278E2">
            <w:pPr>
              <w:spacing w:line="240" w:lineRule="auto"/>
              <w:jc w:val="left"/>
              <w:rPr>
                <w:rFonts w:ascii="Calibri" w:hAnsi="Calibri" w:cs="Calibri"/>
              </w:rPr>
            </w:pPr>
            <w:r w:rsidRPr="007278E2">
              <w:rPr>
                <w:rFonts w:ascii="Calibri" w:hAnsi="Calibri" w:cs="Calibri"/>
              </w:rPr>
              <w:t>Adaptér pro použití s endotracheální kanylou nebo laryngeální maskou</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2451980"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ano</w:t>
            </w:r>
          </w:p>
        </w:tc>
      </w:tr>
      <w:tr w:rsidR="007278E2" w:rsidRPr="007278E2" w14:paraId="34A27844"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1C995924" w14:textId="77777777" w:rsidR="007278E2" w:rsidRPr="007278E2" w:rsidRDefault="007278E2" w:rsidP="007278E2">
            <w:pPr>
              <w:spacing w:line="240" w:lineRule="auto"/>
              <w:jc w:val="left"/>
              <w:rPr>
                <w:rFonts w:ascii="Calibri" w:hAnsi="Calibri" w:cs="Calibri"/>
              </w:rPr>
            </w:pPr>
            <w:r w:rsidRPr="007278E2">
              <w:rPr>
                <w:rFonts w:ascii="Calibri" w:hAnsi="Calibri" w:cs="Calibri"/>
              </w:rPr>
              <w:t>Laryngoskop typu Kleinsasser, 3ks</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41FD7C9D" w14:textId="77777777" w:rsidR="007278E2" w:rsidRPr="007278E2" w:rsidRDefault="007278E2" w:rsidP="007278E2">
            <w:pPr>
              <w:spacing w:line="240" w:lineRule="auto"/>
              <w:jc w:val="left"/>
              <w:rPr>
                <w:rFonts w:ascii="Calibri" w:hAnsi="Calibri" w:cs="Calibri"/>
                <w:color w:val="375623"/>
              </w:rPr>
            </w:pPr>
            <w:r w:rsidRPr="007278E2">
              <w:rPr>
                <w:rFonts w:ascii="Calibri" w:hAnsi="Calibri" w:cs="Calibri"/>
                <w:color w:val="375623"/>
              </w:rPr>
              <w:t> </w:t>
            </w:r>
          </w:p>
        </w:tc>
      </w:tr>
      <w:tr w:rsidR="007278E2" w:rsidRPr="007278E2" w14:paraId="7457FACB" w14:textId="77777777" w:rsidTr="007278E2">
        <w:tblPrEx>
          <w:tblLook w:val="04A0" w:firstRow="1" w:lastRow="0" w:firstColumn="1" w:lastColumn="0" w:noHBand="0" w:noVBand="1"/>
        </w:tblPrEx>
        <w:trPr>
          <w:gridBefore w:val="1"/>
          <w:gridAfter w:val="1"/>
          <w:wBefore w:w="40" w:type="dxa"/>
          <w:wAfter w:w="654" w:type="dxa"/>
          <w:trHeight w:val="9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7EC8B63"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1. laryngoskop: délka 190 mm, vnitřní proximální rozměr 23 x 28,5 mm, vnitřní distální rozměr 15,7 x 18,1 mm; bez tolerance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28AC4822"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ano</w:t>
            </w:r>
          </w:p>
        </w:tc>
      </w:tr>
      <w:tr w:rsidR="007278E2" w:rsidRPr="007278E2" w14:paraId="6CDAA18B"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E3D31A8"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2. laryngoskop: délka 190 mm, vnější rozměr 18 x 30 mm, vnitřní rozměr 14,5 x 19,5 mm; bez tolerance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3CA6FA3C"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ano</w:t>
            </w:r>
          </w:p>
        </w:tc>
      </w:tr>
      <w:tr w:rsidR="007278E2" w:rsidRPr="007278E2" w14:paraId="5C26CDA0"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1A7431DB"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3. laryngoskop: délka 190 mm, vnější rozměr 16,5 x 20 mm, vnitřní rozměr 13 mm průměr; bez tolerance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76A968CF"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ano</w:t>
            </w:r>
          </w:p>
        </w:tc>
      </w:tr>
      <w:tr w:rsidR="007278E2" w:rsidRPr="007278E2" w14:paraId="79BE7B00" w14:textId="77777777" w:rsidTr="007278E2">
        <w:tblPrEx>
          <w:tblLook w:val="04A0" w:firstRow="1" w:lastRow="0" w:firstColumn="1" w:lastColumn="0" w:noHBand="0" w:noVBand="1"/>
        </w:tblPrEx>
        <w:trPr>
          <w:gridBefore w:val="1"/>
          <w:gridAfter w:val="1"/>
          <w:wBefore w:w="40" w:type="dxa"/>
          <w:wAfter w:w="654" w:type="dxa"/>
          <w:trHeight w:val="9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57AB59DA"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Tracheoskop typu Friedrich, délka 230 mm, vnitřní proximální rozměr 18,4 x 22,8 mm, vnitřní distální rozměr 12 mm průměr; bez tolerance</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3A2DB28"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ano</w:t>
            </w:r>
          </w:p>
        </w:tc>
      </w:tr>
      <w:tr w:rsidR="007278E2" w:rsidRPr="007278E2" w14:paraId="7F0E8D94" w14:textId="77777777" w:rsidTr="007278E2">
        <w:tblPrEx>
          <w:tblLook w:val="04A0" w:firstRow="1" w:lastRow="0" w:firstColumn="1" w:lastColumn="0" w:noHBand="0" w:noVBand="1"/>
        </w:tblPrEx>
        <w:trPr>
          <w:gridBefore w:val="1"/>
          <w:gridAfter w:val="1"/>
          <w:wBefore w:w="40" w:type="dxa"/>
          <w:wAfter w:w="654" w:type="dxa"/>
          <w:trHeight w:val="6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1B81974D"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Hadičkový set (včetně konektorů) a tryskové spojky musí být autoklávovatelné při teplotě 134 °C</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559638D1"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ano</w:t>
            </w:r>
          </w:p>
        </w:tc>
      </w:tr>
      <w:tr w:rsidR="007278E2" w:rsidRPr="007278E2" w14:paraId="2302D8F0" w14:textId="77777777" w:rsidTr="007278E2">
        <w:tblPrEx>
          <w:tblLook w:val="04A0" w:firstRow="1" w:lastRow="0" w:firstColumn="1" w:lastColumn="0" w:noHBand="0" w:noVBand="1"/>
        </w:tblPrEx>
        <w:trPr>
          <w:gridBefore w:val="1"/>
          <w:gridAfter w:val="1"/>
          <w:wBefore w:w="40" w:type="dxa"/>
          <w:wAfter w:w="654" w:type="dxa"/>
          <w:trHeight w:val="300"/>
        </w:trPr>
        <w:tc>
          <w:tcPr>
            <w:tcW w:w="4980" w:type="dxa"/>
            <w:tcBorders>
              <w:top w:val="nil"/>
              <w:left w:val="single" w:sz="8" w:space="0" w:color="auto"/>
              <w:bottom w:val="single" w:sz="4" w:space="0" w:color="auto"/>
              <w:right w:val="single" w:sz="8" w:space="0" w:color="auto"/>
            </w:tcBorders>
            <w:shd w:val="clear" w:color="000000" w:fill="DDEBF7"/>
            <w:vAlign w:val="bottom"/>
            <w:hideMark/>
          </w:tcPr>
          <w:p w14:paraId="6C5A56EE"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Ekvipotenciální kabel o minimální délce 3 m</w:t>
            </w:r>
          </w:p>
        </w:tc>
        <w:tc>
          <w:tcPr>
            <w:tcW w:w="4670" w:type="dxa"/>
            <w:gridSpan w:val="4"/>
            <w:tcBorders>
              <w:top w:val="single" w:sz="4" w:space="0" w:color="auto"/>
              <w:left w:val="nil"/>
              <w:bottom w:val="single" w:sz="4" w:space="0" w:color="auto"/>
              <w:right w:val="single" w:sz="8" w:space="0" w:color="000000"/>
            </w:tcBorders>
            <w:shd w:val="clear" w:color="000000" w:fill="FFFF00"/>
            <w:vAlign w:val="bottom"/>
            <w:hideMark/>
          </w:tcPr>
          <w:p w14:paraId="60C5E584"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 xml:space="preserve">ano - 5 m </w:t>
            </w:r>
          </w:p>
        </w:tc>
      </w:tr>
      <w:tr w:rsidR="007278E2" w:rsidRPr="007278E2" w14:paraId="09ACA232" w14:textId="77777777" w:rsidTr="007278E2">
        <w:tblPrEx>
          <w:tblLook w:val="04A0" w:firstRow="1" w:lastRow="0" w:firstColumn="1" w:lastColumn="0" w:noHBand="0" w:noVBand="1"/>
        </w:tblPrEx>
        <w:trPr>
          <w:gridBefore w:val="1"/>
          <w:gridAfter w:val="1"/>
          <w:wBefore w:w="40" w:type="dxa"/>
          <w:wAfter w:w="654" w:type="dxa"/>
          <w:trHeight w:val="615"/>
        </w:trPr>
        <w:tc>
          <w:tcPr>
            <w:tcW w:w="4980" w:type="dxa"/>
            <w:tcBorders>
              <w:top w:val="nil"/>
              <w:left w:val="single" w:sz="8" w:space="0" w:color="auto"/>
              <w:bottom w:val="single" w:sz="8" w:space="0" w:color="auto"/>
              <w:right w:val="single" w:sz="8" w:space="0" w:color="auto"/>
            </w:tcBorders>
            <w:shd w:val="clear" w:color="000000" w:fill="DDEBF7"/>
            <w:vAlign w:val="bottom"/>
            <w:hideMark/>
          </w:tcPr>
          <w:p w14:paraId="3F493CD0"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Spotřební materiál nutný k prvotnímu použití a ověření funkce přístroje</w:t>
            </w:r>
          </w:p>
        </w:tc>
        <w:tc>
          <w:tcPr>
            <w:tcW w:w="4670" w:type="dxa"/>
            <w:gridSpan w:val="4"/>
            <w:tcBorders>
              <w:top w:val="single" w:sz="4" w:space="0" w:color="auto"/>
              <w:left w:val="nil"/>
              <w:bottom w:val="single" w:sz="8" w:space="0" w:color="auto"/>
              <w:right w:val="single" w:sz="8" w:space="0" w:color="000000"/>
            </w:tcBorders>
            <w:shd w:val="clear" w:color="000000" w:fill="FFFF00"/>
            <w:vAlign w:val="bottom"/>
            <w:hideMark/>
          </w:tcPr>
          <w:p w14:paraId="77AED84B" w14:textId="77777777" w:rsidR="007278E2" w:rsidRPr="007278E2" w:rsidRDefault="007278E2" w:rsidP="007278E2">
            <w:pPr>
              <w:spacing w:line="240" w:lineRule="auto"/>
              <w:jc w:val="left"/>
              <w:rPr>
                <w:rFonts w:ascii="Calibri" w:hAnsi="Calibri" w:cs="Calibri"/>
                <w:color w:val="000000"/>
              </w:rPr>
            </w:pPr>
            <w:r w:rsidRPr="007278E2">
              <w:rPr>
                <w:rFonts w:ascii="Calibri" w:hAnsi="Calibri" w:cs="Calibri"/>
                <w:color w:val="000000"/>
              </w:rPr>
              <w:t>ano</w:t>
            </w:r>
          </w:p>
        </w:tc>
      </w:tr>
    </w:tbl>
    <w:p w14:paraId="652F20A5" w14:textId="247AEF3A" w:rsidR="00094B12" w:rsidRDefault="00094B12" w:rsidP="00094B12">
      <w:pPr>
        <w:ind w:left="284" w:hanging="5"/>
      </w:pP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70799AA" w14:textId="77777777" w:rsidR="00754172" w:rsidRDefault="00754172" w:rsidP="0075417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99F0DE8" w14:textId="77777777" w:rsidR="00754172" w:rsidRDefault="00754172" w:rsidP="00754172">
      <w:pPr>
        <w:autoSpaceDE w:val="0"/>
        <w:autoSpaceDN w:val="0"/>
        <w:adjustRightInd w:val="0"/>
        <w:rPr>
          <w:b/>
          <w:u w:val="single"/>
        </w:rPr>
      </w:pPr>
      <w:r w:rsidRPr="00132C85">
        <w:rPr>
          <w:b/>
          <w:u w:val="single"/>
        </w:rPr>
        <w:t>Požadované zboží nesmí být připojeno k datové síti zadavatele ani uchovávat osobní údaje na externím úložišti.</w:t>
      </w:r>
    </w:p>
    <w:p w14:paraId="139CD13C" w14:textId="67AA003E" w:rsidR="00A05D45" w:rsidRDefault="00A05D45" w:rsidP="00A05D45">
      <w:pPr>
        <w:pStyle w:val="paragraph"/>
        <w:spacing w:before="0" w:beforeAutospacing="0" w:after="0" w:afterAutospacing="0"/>
        <w:jc w:val="both"/>
        <w:textAlignment w:val="baseline"/>
        <w:rPr>
          <w:rFonts w:ascii="Segoe UI" w:hAnsi="Segoe UI" w:cs="Segoe UI"/>
          <w:sz w:val="18"/>
          <w:szCs w:val="18"/>
        </w:rPr>
      </w:pPr>
    </w:p>
    <w:p w14:paraId="7339DFCC"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E4B78EB"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06A80C1"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0DA1421"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942E951"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36FD97AA"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39B01EAD"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3495A0C6"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6B45A22B"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696B4E72"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54AD4AF2"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7211676"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6B67599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6E52D47"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5106EFCF"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22AAB26"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9F48735"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4F3AACA"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2EBB325"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74448E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1AE14E0"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5E637D2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29C5790B"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7C16B1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236583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29E3811D"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7DCF97F"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35C4D50"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570EB72D"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6A960D44"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987D454"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AE96034"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361C5B85"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8EFD2BB"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237452D6"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409A9BCE"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658134B"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BE8D578"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2E5269C3"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2AB0196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40CB9421"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5CFE9EA9"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2F19B015"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0784E4AF"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045B2E4"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5CEC99D6"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BD68BBE"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0BBF287"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755424A5"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380EB4AB" w14:textId="77777777" w:rsidR="00D768BA" w:rsidRDefault="00D768BA" w:rsidP="00A05D45">
      <w:pPr>
        <w:pStyle w:val="paragraph"/>
        <w:spacing w:before="0" w:beforeAutospacing="0" w:after="0" w:afterAutospacing="0"/>
        <w:jc w:val="both"/>
        <w:textAlignment w:val="baseline"/>
        <w:rPr>
          <w:rFonts w:ascii="Segoe UI" w:hAnsi="Segoe UI" w:cs="Segoe UI"/>
          <w:sz w:val="18"/>
          <w:szCs w:val="18"/>
        </w:rPr>
      </w:pPr>
    </w:p>
    <w:p w14:paraId="12D34841" w14:textId="493CD4A9" w:rsidR="00D768BA" w:rsidRPr="00A05D45" w:rsidRDefault="00D768BA" w:rsidP="006C71C2">
      <w:pPr>
        <w:jc w:val="left"/>
        <w:rPr>
          <w:rFonts w:ascii="Segoe UI" w:hAnsi="Segoe UI" w:cs="Segoe UI"/>
          <w:sz w:val="18"/>
          <w:szCs w:val="18"/>
        </w:rPr>
      </w:pPr>
      <w:bookmarkStart w:id="13" w:name="_GoBack"/>
      <w:bookmarkEnd w:id="13"/>
    </w:p>
    <w:sectPr w:rsidR="00D768BA"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310452E4" w:rsidR="00094B12" w:rsidRPr="004A1880" w:rsidRDefault="008B6161" w:rsidP="008B6161">
        <w:pPr>
          <w:pStyle w:val="Zpat"/>
          <w:rPr>
            <w:rFonts w:ascii="Arial" w:hAnsi="Arial"/>
            <w:sz w:val="20"/>
          </w:rPr>
        </w:pPr>
        <w:r w:rsidRPr="008B6161">
          <w:rPr>
            <w:sz w:val="18"/>
            <w:szCs w:val="18"/>
            <w:lang w:val="cs-CZ"/>
          </w:rPr>
          <w:t>KS 20230258</w:t>
        </w:r>
        <w:r>
          <w:rPr>
            <w:lang w:val="cs-CZ"/>
          </w:rPr>
          <w:tab/>
        </w:r>
        <w:r w:rsidR="00094B12" w:rsidRPr="004A1880">
          <w:rPr>
            <w:rFonts w:ascii="Arial" w:hAnsi="Arial"/>
            <w:sz w:val="20"/>
          </w:rPr>
          <w:fldChar w:fldCharType="begin"/>
        </w:r>
        <w:r w:rsidR="00094B12" w:rsidRPr="004A1880">
          <w:rPr>
            <w:rFonts w:ascii="Arial" w:hAnsi="Arial"/>
            <w:sz w:val="20"/>
          </w:rPr>
          <w:instrText>PAGE   \* MERGEFORMAT</w:instrText>
        </w:r>
        <w:r w:rsidR="00094B12" w:rsidRPr="004A1880">
          <w:rPr>
            <w:rFonts w:ascii="Arial" w:hAnsi="Arial"/>
            <w:sz w:val="20"/>
          </w:rPr>
          <w:fldChar w:fldCharType="separate"/>
        </w:r>
        <w:r w:rsidR="00A37C42" w:rsidRPr="00A37C42">
          <w:rPr>
            <w:rFonts w:ascii="Arial" w:hAnsi="Arial"/>
            <w:noProof/>
            <w:sz w:val="20"/>
            <w:lang w:val="cs-CZ"/>
          </w:rPr>
          <w:t>17</w:t>
        </w:r>
        <w:r w:rsidR="00094B12"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47E2"/>
    <w:rsid w:val="000177FB"/>
    <w:rsid w:val="000228F8"/>
    <w:rsid w:val="000242EC"/>
    <w:rsid w:val="00026FB0"/>
    <w:rsid w:val="00030B47"/>
    <w:rsid w:val="00032F0B"/>
    <w:rsid w:val="000333EF"/>
    <w:rsid w:val="000376D7"/>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20E"/>
    <w:rsid w:val="000D0498"/>
    <w:rsid w:val="000F4C59"/>
    <w:rsid w:val="00113B40"/>
    <w:rsid w:val="001254C1"/>
    <w:rsid w:val="00130E87"/>
    <w:rsid w:val="00133D51"/>
    <w:rsid w:val="001341A7"/>
    <w:rsid w:val="00134BC1"/>
    <w:rsid w:val="00142BD2"/>
    <w:rsid w:val="001470F0"/>
    <w:rsid w:val="0014717B"/>
    <w:rsid w:val="0015065A"/>
    <w:rsid w:val="00154F85"/>
    <w:rsid w:val="00160D16"/>
    <w:rsid w:val="001725F8"/>
    <w:rsid w:val="0018026C"/>
    <w:rsid w:val="00181B85"/>
    <w:rsid w:val="00182640"/>
    <w:rsid w:val="00183226"/>
    <w:rsid w:val="00183727"/>
    <w:rsid w:val="00185F96"/>
    <w:rsid w:val="001874D4"/>
    <w:rsid w:val="00196060"/>
    <w:rsid w:val="00196288"/>
    <w:rsid w:val="001966F7"/>
    <w:rsid w:val="001A2256"/>
    <w:rsid w:val="001A3D28"/>
    <w:rsid w:val="001B4519"/>
    <w:rsid w:val="001D1600"/>
    <w:rsid w:val="001D1D81"/>
    <w:rsid w:val="001D38E0"/>
    <w:rsid w:val="001D3902"/>
    <w:rsid w:val="001D3F7C"/>
    <w:rsid w:val="001D4983"/>
    <w:rsid w:val="001D6C04"/>
    <w:rsid w:val="001D7781"/>
    <w:rsid w:val="001E485C"/>
    <w:rsid w:val="001F13BA"/>
    <w:rsid w:val="001F2069"/>
    <w:rsid w:val="001F6852"/>
    <w:rsid w:val="00202E4E"/>
    <w:rsid w:val="002039E1"/>
    <w:rsid w:val="00203DA7"/>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C2981"/>
    <w:rsid w:val="002C4D9C"/>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B3C5B"/>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101B"/>
    <w:rsid w:val="0049170C"/>
    <w:rsid w:val="00494052"/>
    <w:rsid w:val="004975C3"/>
    <w:rsid w:val="0049792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4D9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65CE3"/>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C71C2"/>
    <w:rsid w:val="006D0F33"/>
    <w:rsid w:val="006D4738"/>
    <w:rsid w:val="006E005D"/>
    <w:rsid w:val="006E2FF9"/>
    <w:rsid w:val="006E4EF6"/>
    <w:rsid w:val="006E54D0"/>
    <w:rsid w:val="006E7930"/>
    <w:rsid w:val="00705FC9"/>
    <w:rsid w:val="00706012"/>
    <w:rsid w:val="0070757B"/>
    <w:rsid w:val="00713B7F"/>
    <w:rsid w:val="0071478F"/>
    <w:rsid w:val="007157D9"/>
    <w:rsid w:val="007278E2"/>
    <w:rsid w:val="00733832"/>
    <w:rsid w:val="00735D41"/>
    <w:rsid w:val="0073763C"/>
    <w:rsid w:val="00742A74"/>
    <w:rsid w:val="00743435"/>
    <w:rsid w:val="00744E5D"/>
    <w:rsid w:val="0075205D"/>
    <w:rsid w:val="00754172"/>
    <w:rsid w:val="00775695"/>
    <w:rsid w:val="00787C20"/>
    <w:rsid w:val="00794661"/>
    <w:rsid w:val="0079592F"/>
    <w:rsid w:val="007A084F"/>
    <w:rsid w:val="007A70F3"/>
    <w:rsid w:val="007C213B"/>
    <w:rsid w:val="007C2A6B"/>
    <w:rsid w:val="007C7279"/>
    <w:rsid w:val="007D3CF9"/>
    <w:rsid w:val="007D3EE5"/>
    <w:rsid w:val="007D7528"/>
    <w:rsid w:val="007E04AC"/>
    <w:rsid w:val="007E04EC"/>
    <w:rsid w:val="007E0700"/>
    <w:rsid w:val="007E5FA1"/>
    <w:rsid w:val="007F342E"/>
    <w:rsid w:val="00802C50"/>
    <w:rsid w:val="00802C99"/>
    <w:rsid w:val="00807207"/>
    <w:rsid w:val="00821D5C"/>
    <w:rsid w:val="008338EF"/>
    <w:rsid w:val="008342BB"/>
    <w:rsid w:val="00841443"/>
    <w:rsid w:val="00842E4D"/>
    <w:rsid w:val="00842E64"/>
    <w:rsid w:val="008510BD"/>
    <w:rsid w:val="0085307C"/>
    <w:rsid w:val="008645D8"/>
    <w:rsid w:val="00865A8C"/>
    <w:rsid w:val="00871625"/>
    <w:rsid w:val="008877B1"/>
    <w:rsid w:val="008903ED"/>
    <w:rsid w:val="008A4B00"/>
    <w:rsid w:val="008B6161"/>
    <w:rsid w:val="008C0647"/>
    <w:rsid w:val="008D0213"/>
    <w:rsid w:val="008D17FE"/>
    <w:rsid w:val="008D45BA"/>
    <w:rsid w:val="008E314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37C42"/>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E7691"/>
    <w:rsid w:val="00AF0406"/>
    <w:rsid w:val="00AF0AFE"/>
    <w:rsid w:val="00AF126C"/>
    <w:rsid w:val="00AF1391"/>
    <w:rsid w:val="00AF2763"/>
    <w:rsid w:val="00AF63B5"/>
    <w:rsid w:val="00B00389"/>
    <w:rsid w:val="00B02DCA"/>
    <w:rsid w:val="00B03FED"/>
    <w:rsid w:val="00B0477F"/>
    <w:rsid w:val="00B127BF"/>
    <w:rsid w:val="00B17D06"/>
    <w:rsid w:val="00B2012E"/>
    <w:rsid w:val="00B33673"/>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71"/>
    <w:rsid w:val="00BA5EEC"/>
    <w:rsid w:val="00BB16E5"/>
    <w:rsid w:val="00BB2CAF"/>
    <w:rsid w:val="00BC4516"/>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52AAC"/>
    <w:rsid w:val="00D70368"/>
    <w:rsid w:val="00D7425C"/>
    <w:rsid w:val="00D768BA"/>
    <w:rsid w:val="00D813B7"/>
    <w:rsid w:val="00D818EC"/>
    <w:rsid w:val="00D82704"/>
    <w:rsid w:val="00D859C2"/>
    <w:rsid w:val="00D86891"/>
    <w:rsid w:val="00D927B5"/>
    <w:rsid w:val="00DA1353"/>
    <w:rsid w:val="00DA5A63"/>
    <w:rsid w:val="00DA7CB9"/>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1DCF"/>
    <w:rsid w:val="00ED3A3E"/>
    <w:rsid w:val="00EE155A"/>
    <w:rsid w:val="00EE477D"/>
    <w:rsid w:val="00EF4125"/>
    <w:rsid w:val="00EF46EE"/>
    <w:rsid w:val="00F01FFB"/>
    <w:rsid w:val="00F06B76"/>
    <w:rsid w:val="00F1590C"/>
    <w:rsid w:val="00F17CE6"/>
    <w:rsid w:val="00F213A4"/>
    <w:rsid w:val="00F24FF5"/>
    <w:rsid w:val="00F25BC8"/>
    <w:rsid w:val="00F36DFD"/>
    <w:rsid w:val="00F42D93"/>
    <w:rsid w:val="00F45113"/>
    <w:rsid w:val="00F5269B"/>
    <w:rsid w:val="00F63181"/>
    <w:rsid w:val="00F7334F"/>
    <w:rsid w:val="00F74782"/>
    <w:rsid w:val="00F80942"/>
    <w:rsid w:val="00F8343D"/>
    <w:rsid w:val="00F83E0D"/>
    <w:rsid w:val="00F86F9D"/>
    <w:rsid w:val="00F91A23"/>
    <w:rsid w:val="00F958D2"/>
    <w:rsid w:val="00F96338"/>
    <w:rsid w:val="00F96C73"/>
    <w:rsid w:val="00F97FE0"/>
    <w:rsid w:val="00FB373A"/>
    <w:rsid w:val="00FB43BE"/>
    <w:rsid w:val="00FC0959"/>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character" w:styleId="slostrnky">
    <w:name w:val="page number"/>
    <w:basedOn w:val="Standardnpsmoodstavce"/>
    <w:rsid w:val="0066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601">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09194">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52127078">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terms/"/>
    <ds:schemaRef ds:uri="cc852e05-94eb-48de-a089-3a35c1dd6218"/>
    <ds:schemaRef ds:uri="http://purl.org/dc/dcmitype/"/>
    <ds:schemaRef ds:uri="http://schemas.microsoft.com/office/infopath/2007/PartnerControls"/>
    <ds:schemaRef ds:uri="http://purl.org/dc/elements/1.1/"/>
    <ds:schemaRef ds:uri="http://schemas.microsoft.com/office/2006/documentManagement/types"/>
    <ds:schemaRef ds:uri="f8073be8-ba4e-4991-92ef-8ca69007da5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FFD4585B-1A3E-419C-B1BA-0EBA0218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AB331-58B6-4A0D-AB62-8721CBA1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6925</Words>
  <Characters>40859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47689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Stravová Michaela</cp:lastModifiedBy>
  <cp:revision>7</cp:revision>
  <cp:lastPrinted>2024-01-18T11:53:00Z</cp:lastPrinted>
  <dcterms:created xsi:type="dcterms:W3CDTF">2023-12-19T08:03:00Z</dcterms:created>
  <dcterms:modified xsi:type="dcterms:W3CDTF">2024-01-18T12:19:00Z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