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599AE2F5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</w:t>
      </w:r>
      <w:r w:rsidR="00BB7FBB">
        <w:rPr>
          <w:rFonts w:ascii="Times New Roman" w:hAnsi="Times New Roman"/>
          <w:b w:val="0"/>
          <w:sz w:val="24"/>
        </w:rPr>
        <w:t>8</w:t>
      </w:r>
      <w:r w:rsidR="00982699">
        <w:rPr>
          <w:rFonts w:ascii="Times New Roman" w:hAnsi="Times New Roman"/>
          <w:b w:val="0"/>
          <w:sz w:val="24"/>
        </w:rPr>
        <w:t>5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2880C0E6" w:rsidR="00C8698E" w:rsidRPr="00717E8D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3E1D31" w:rsidRPr="00717E8D">
        <w:rPr>
          <w:rFonts w:ascii="Times New Roman" w:hAnsi="Times New Roman"/>
          <w:b/>
          <w:bCs/>
          <w:sz w:val="24"/>
        </w:rPr>
        <w:t>Česká republika -</w:t>
      </w:r>
      <w:r w:rsidR="003E1D31" w:rsidRPr="00717E8D">
        <w:rPr>
          <w:rFonts w:ascii="Times New Roman" w:hAnsi="Times New Roman"/>
          <w:sz w:val="24"/>
        </w:rPr>
        <w:t xml:space="preserve"> </w:t>
      </w:r>
      <w:r w:rsidR="00135BE7" w:rsidRPr="00717E8D">
        <w:rPr>
          <w:rFonts w:ascii="Times New Roman" w:hAnsi="Times New Roman"/>
          <w:b/>
          <w:sz w:val="24"/>
        </w:rPr>
        <w:t>Okresní</w:t>
      </w:r>
      <w:r w:rsidR="00810788" w:rsidRPr="00717E8D">
        <w:rPr>
          <w:rFonts w:ascii="Times New Roman" w:hAnsi="Times New Roman"/>
          <w:b/>
          <w:sz w:val="24"/>
        </w:rPr>
        <w:t xml:space="preserve"> soud </w:t>
      </w:r>
      <w:r w:rsidR="00583F81" w:rsidRPr="00717E8D">
        <w:rPr>
          <w:rFonts w:ascii="Times New Roman" w:hAnsi="Times New Roman"/>
          <w:b/>
          <w:sz w:val="24"/>
        </w:rPr>
        <w:t>v</w:t>
      </w:r>
      <w:r w:rsidR="00BB7FBB" w:rsidRPr="00717E8D">
        <w:rPr>
          <w:rFonts w:ascii="Times New Roman" w:hAnsi="Times New Roman"/>
          <w:b/>
          <w:sz w:val="24"/>
        </w:rPr>
        <w:t xml:space="preserve"> </w:t>
      </w:r>
      <w:r w:rsidR="00982699" w:rsidRPr="00717E8D">
        <w:rPr>
          <w:rFonts w:ascii="Times New Roman" w:hAnsi="Times New Roman"/>
          <w:b/>
          <w:sz w:val="24"/>
        </w:rPr>
        <w:t>Domažlicích</w:t>
      </w:r>
    </w:p>
    <w:p w14:paraId="3FB4C82E" w14:textId="06373EAF" w:rsidR="00E93149" w:rsidRPr="00717E8D" w:rsidRDefault="00E93149" w:rsidP="00E93149">
      <w:pPr>
        <w:rPr>
          <w:rFonts w:ascii="Times New Roman" w:hAnsi="Times New Roman"/>
          <w:sz w:val="24"/>
          <w:highlight w:val="green"/>
        </w:rPr>
      </w:pPr>
      <w:r w:rsidRPr="00717E8D">
        <w:rPr>
          <w:rFonts w:ascii="Times New Roman" w:hAnsi="Times New Roman"/>
          <w:sz w:val="24"/>
        </w:rPr>
        <w:t>se sídlem:</w:t>
      </w:r>
      <w:r w:rsidRPr="00717E8D">
        <w:rPr>
          <w:rFonts w:ascii="Times New Roman" w:hAnsi="Times New Roman"/>
          <w:sz w:val="24"/>
        </w:rPr>
        <w:tab/>
      </w:r>
      <w:r w:rsidRPr="00717E8D">
        <w:rPr>
          <w:rFonts w:ascii="Times New Roman" w:hAnsi="Times New Roman"/>
          <w:sz w:val="24"/>
        </w:rPr>
        <w:tab/>
      </w:r>
      <w:r w:rsidR="00982699" w:rsidRPr="00717E8D">
        <w:rPr>
          <w:rFonts w:ascii="Times New Roman" w:hAnsi="Times New Roman"/>
          <w:sz w:val="24"/>
        </w:rPr>
        <w:t xml:space="preserve">Paroubkova 228, </w:t>
      </w:r>
      <w:r w:rsidR="00717E8D">
        <w:rPr>
          <w:rFonts w:ascii="Times New Roman" w:hAnsi="Times New Roman"/>
          <w:sz w:val="24"/>
        </w:rPr>
        <w:t xml:space="preserve">344 01 </w:t>
      </w:r>
      <w:r w:rsidR="00982699" w:rsidRPr="00717E8D">
        <w:rPr>
          <w:rFonts w:ascii="Times New Roman" w:hAnsi="Times New Roman"/>
          <w:sz w:val="24"/>
        </w:rPr>
        <w:t>Domažlice</w:t>
      </w:r>
    </w:p>
    <w:p w14:paraId="157051A6" w14:textId="3844CCDD" w:rsidR="00E93149" w:rsidRPr="00717E8D" w:rsidRDefault="00E93149" w:rsidP="00E93149">
      <w:pPr>
        <w:rPr>
          <w:rFonts w:ascii="Times New Roman" w:hAnsi="Times New Roman"/>
          <w:sz w:val="24"/>
        </w:rPr>
      </w:pPr>
      <w:r w:rsidRPr="00717E8D">
        <w:rPr>
          <w:rFonts w:ascii="Times New Roman" w:hAnsi="Times New Roman"/>
          <w:sz w:val="24"/>
        </w:rPr>
        <w:t>zastoupen</w:t>
      </w:r>
      <w:r w:rsidR="000601FB" w:rsidRPr="00717E8D">
        <w:rPr>
          <w:rFonts w:ascii="Times New Roman" w:hAnsi="Times New Roman"/>
          <w:sz w:val="24"/>
        </w:rPr>
        <w:t>á</w:t>
      </w:r>
      <w:r w:rsidRPr="00717E8D">
        <w:rPr>
          <w:rFonts w:ascii="Times New Roman" w:hAnsi="Times New Roman"/>
          <w:sz w:val="24"/>
        </w:rPr>
        <w:t>:</w:t>
      </w:r>
      <w:r w:rsidRPr="00717E8D">
        <w:rPr>
          <w:rFonts w:ascii="Times New Roman" w:hAnsi="Times New Roman"/>
          <w:sz w:val="24"/>
        </w:rPr>
        <w:tab/>
      </w:r>
      <w:r w:rsidRPr="00717E8D">
        <w:rPr>
          <w:rFonts w:ascii="Arial" w:hAnsi="Arial" w:cs="Arial"/>
          <w:sz w:val="24"/>
        </w:rPr>
        <w:tab/>
      </w:r>
      <w:r w:rsidR="00982699" w:rsidRPr="00717E8D">
        <w:rPr>
          <w:rFonts w:ascii="Times New Roman" w:hAnsi="Times New Roman"/>
          <w:sz w:val="24"/>
        </w:rPr>
        <w:t>JUDr. Martinou Dufkovou</w:t>
      </w:r>
      <w:r w:rsidR="00052E4B" w:rsidRPr="00717E8D">
        <w:rPr>
          <w:rFonts w:ascii="Times New Roman" w:hAnsi="Times New Roman"/>
          <w:sz w:val="24"/>
        </w:rPr>
        <w:t>, předsed</w:t>
      </w:r>
      <w:r w:rsidR="00982699" w:rsidRPr="00717E8D">
        <w:rPr>
          <w:rFonts w:ascii="Times New Roman" w:hAnsi="Times New Roman"/>
          <w:sz w:val="24"/>
        </w:rPr>
        <w:t>kyní</w:t>
      </w:r>
      <w:r w:rsidR="00052E4B" w:rsidRPr="00717E8D">
        <w:rPr>
          <w:rFonts w:ascii="Times New Roman" w:hAnsi="Times New Roman"/>
          <w:sz w:val="24"/>
        </w:rPr>
        <w:t xml:space="preserve"> soudu</w:t>
      </w:r>
    </w:p>
    <w:p w14:paraId="10F904FB" w14:textId="6DF30B3F" w:rsidR="00E93149" w:rsidRPr="00717E8D" w:rsidRDefault="00E93149" w:rsidP="00E93149">
      <w:pPr>
        <w:rPr>
          <w:rFonts w:ascii="Times New Roman" w:hAnsi="Times New Roman"/>
          <w:sz w:val="24"/>
        </w:rPr>
      </w:pPr>
      <w:r w:rsidRPr="00717E8D">
        <w:rPr>
          <w:rFonts w:ascii="Times New Roman" w:hAnsi="Times New Roman"/>
          <w:sz w:val="24"/>
        </w:rPr>
        <w:t>IČO:</w:t>
      </w:r>
      <w:r w:rsidRPr="00717E8D">
        <w:rPr>
          <w:rFonts w:ascii="Times New Roman" w:hAnsi="Times New Roman"/>
          <w:sz w:val="24"/>
        </w:rPr>
        <w:tab/>
      </w:r>
      <w:r w:rsidRPr="00717E8D">
        <w:rPr>
          <w:rFonts w:ascii="Times New Roman" w:hAnsi="Times New Roman"/>
          <w:sz w:val="24"/>
        </w:rPr>
        <w:tab/>
      </w:r>
      <w:r w:rsidRPr="00717E8D">
        <w:rPr>
          <w:rFonts w:ascii="Times New Roman" w:hAnsi="Times New Roman"/>
          <w:sz w:val="24"/>
        </w:rPr>
        <w:tab/>
      </w:r>
      <w:r w:rsidR="001C0473" w:rsidRPr="00717E8D">
        <w:rPr>
          <w:rFonts w:ascii="Times New Roman" w:hAnsi="Times New Roman"/>
          <w:sz w:val="24"/>
        </w:rPr>
        <w:t>00024716</w:t>
      </w:r>
    </w:p>
    <w:p w14:paraId="1B88FBC9" w14:textId="2BE4337E" w:rsidR="00E93149" w:rsidRPr="00717E8D" w:rsidRDefault="00E93149" w:rsidP="00E93149">
      <w:pPr>
        <w:rPr>
          <w:rFonts w:ascii="Times New Roman" w:hAnsi="Times New Roman"/>
          <w:sz w:val="24"/>
        </w:rPr>
      </w:pPr>
      <w:r w:rsidRPr="00717E8D">
        <w:rPr>
          <w:rFonts w:ascii="Times New Roman" w:hAnsi="Times New Roman"/>
          <w:sz w:val="24"/>
        </w:rPr>
        <w:t>bankovní spojení:</w:t>
      </w:r>
      <w:r w:rsidRPr="00717E8D">
        <w:rPr>
          <w:rFonts w:ascii="Times New Roman" w:hAnsi="Times New Roman"/>
          <w:sz w:val="24"/>
        </w:rPr>
        <w:tab/>
      </w:r>
      <w:r w:rsidR="001300B5" w:rsidRPr="00717E8D">
        <w:rPr>
          <w:rFonts w:ascii="Times New Roman" w:hAnsi="Times New Roman"/>
          <w:sz w:val="24"/>
        </w:rPr>
        <w:t>Česká národní banka</w:t>
      </w:r>
    </w:p>
    <w:p w14:paraId="71300ADC" w14:textId="76E3958C" w:rsidR="00E93149" w:rsidRPr="00717E8D" w:rsidRDefault="00E93149" w:rsidP="00E93149">
      <w:pPr>
        <w:rPr>
          <w:rFonts w:ascii="Times New Roman" w:hAnsi="Times New Roman"/>
          <w:sz w:val="24"/>
        </w:rPr>
      </w:pPr>
      <w:r w:rsidRPr="00717E8D">
        <w:rPr>
          <w:rFonts w:ascii="Times New Roman" w:hAnsi="Times New Roman"/>
          <w:sz w:val="24"/>
        </w:rPr>
        <w:t>číslo účtu:</w:t>
      </w:r>
      <w:r w:rsidRPr="00717E8D">
        <w:rPr>
          <w:rFonts w:ascii="Times New Roman" w:hAnsi="Times New Roman"/>
          <w:sz w:val="24"/>
        </w:rPr>
        <w:tab/>
      </w:r>
      <w:r w:rsidRPr="00717E8D">
        <w:rPr>
          <w:rFonts w:ascii="Times New Roman" w:hAnsi="Times New Roman"/>
          <w:sz w:val="24"/>
        </w:rPr>
        <w:tab/>
      </w:r>
      <w:r w:rsidR="007441BA" w:rsidRPr="007441BA">
        <w:rPr>
          <w:rFonts w:ascii="Times New Roman" w:hAnsi="Times New Roman"/>
          <w:sz w:val="24"/>
          <w:highlight w:val="black"/>
        </w:rPr>
        <w:t>XXXXXXXXXX</w:t>
      </w:r>
    </w:p>
    <w:p w14:paraId="5B1D86A4" w14:textId="54CE222C" w:rsidR="00E93149" w:rsidRPr="00717E8D" w:rsidRDefault="00E93149" w:rsidP="00E93149">
      <w:pPr>
        <w:rPr>
          <w:rFonts w:ascii="Times New Roman" w:hAnsi="Times New Roman"/>
          <w:sz w:val="24"/>
        </w:rPr>
      </w:pPr>
      <w:r w:rsidRPr="00717E8D">
        <w:rPr>
          <w:rFonts w:ascii="Times New Roman" w:hAnsi="Times New Roman"/>
          <w:sz w:val="24"/>
        </w:rPr>
        <w:t>kontaktní osoba:</w:t>
      </w:r>
      <w:r w:rsidRPr="00717E8D">
        <w:rPr>
          <w:rFonts w:ascii="Times New Roman" w:hAnsi="Times New Roman"/>
          <w:sz w:val="24"/>
        </w:rPr>
        <w:tab/>
      </w:r>
      <w:r w:rsidR="007441BA" w:rsidRPr="007441BA">
        <w:rPr>
          <w:rFonts w:ascii="Times New Roman" w:hAnsi="Times New Roman"/>
          <w:sz w:val="24"/>
          <w:highlight w:val="black"/>
        </w:rPr>
        <w:t>XXXXXXXXXXXXXXXXXXXXXXXXXXXXXXXXXXXXXXX</w:t>
      </w:r>
    </w:p>
    <w:p w14:paraId="16C33100" w14:textId="644AE5BA" w:rsidR="00E93149" w:rsidRPr="00717E8D" w:rsidRDefault="00E93149" w:rsidP="00E93149">
      <w:pPr>
        <w:rPr>
          <w:rFonts w:ascii="Times New Roman" w:hAnsi="Times New Roman"/>
          <w:sz w:val="24"/>
        </w:rPr>
      </w:pPr>
      <w:r w:rsidRPr="00717E8D">
        <w:rPr>
          <w:rFonts w:ascii="Times New Roman" w:hAnsi="Times New Roman"/>
          <w:sz w:val="24"/>
        </w:rPr>
        <w:t>e-mail:</w:t>
      </w:r>
      <w:r w:rsidRPr="00717E8D">
        <w:rPr>
          <w:rFonts w:ascii="Times New Roman" w:hAnsi="Times New Roman"/>
          <w:sz w:val="24"/>
        </w:rPr>
        <w:tab/>
      </w:r>
      <w:r w:rsidRPr="00717E8D">
        <w:rPr>
          <w:rFonts w:ascii="Times New Roman" w:hAnsi="Times New Roman"/>
          <w:sz w:val="24"/>
        </w:rPr>
        <w:tab/>
      </w:r>
      <w:r w:rsidRPr="00717E8D">
        <w:rPr>
          <w:rFonts w:ascii="Times New Roman" w:hAnsi="Times New Roman"/>
          <w:sz w:val="24"/>
        </w:rPr>
        <w:tab/>
      </w:r>
      <w:r w:rsidR="003C0252" w:rsidRPr="00717E8D">
        <w:rPr>
          <w:rFonts w:ascii="Times New Roman" w:hAnsi="Times New Roman"/>
          <w:sz w:val="24"/>
        </w:rPr>
        <w:t>podatelna@osoud.</w:t>
      </w:r>
      <w:r w:rsidR="001C0473" w:rsidRPr="00717E8D">
        <w:rPr>
          <w:rFonts w:ascii="Times New Roman" w:hAnsi="Times New Roman"/>
          <w:sz w:val="24"/>
        </w:rPr>
        <w:t>dom</w:t>
      </w:r>
      <w:r w:rsidR="003C0252" w:rsidRPr="00717E8D">
        <w:rPr>
          <w:rFonts w:ascii="Times New Roman" w:hAnsi="Times New Roman"/>
          <w:sz w:val="24"/>
        </w:rPr>
        <w:t>.justice.cz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38F10821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7441BA" w:rsidRPr="007441BA">
        <w:rPr>
          <w:rFonts w:ascii="Times New Roman" w:hAnsi="Times New Roman"/>
          <w:sz w:val="24"/>
          <w:highlight w:val="black"/>
        </w:rPr>
        <w:t>XXXXXXXXXX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6C0DF56F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7441BA" w:rsidRPr="007441BA">
        <w:rPr>
          <w:rFonts w:ascii="Times New Roman" w:hAnsi="Times New Roman"/>
          <w:sz w:val="24"/>
          <w:highlight w:val="black"/>
        </w:rPr>
        <w:t>XXXXXXXXXXXXXX</w:t>
      </w:r>
    </w:p>
    <w:p w14:paraId="3EAD286B" w14:textId="1DB5E96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7441BA" w:rsidRPr="007441BA">
        <w:rPr>
          <w:rFonts w:ascii="Times New Roman" w:hAnsi="Times New Roman"/>
          <w:sz w:val="24"/>
          <w:highlight w:val="black"/>
        </w:rPr>
        <w:t>XXXXXXXXXXXXXXXXX</w:t>
      </w:r>
      <w:bookmarkStart w:id="0" w:name="_GoBack"/>
      <w:bookmarkEnd w:id="0"/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717E8D" w:rsidRDefault="00E93149" w:rsidP="00717E8D">
      <w:pPr>
        <w:pStyle w:val="CZodstavec"/>
        <w:numPr>
          <w:ilvl w:val="0"/>
          <w:numId w:val="12"/>
        </w:numPr>
        <w:rPr>
          <w:rFonts w:ascii="Times New Roman" w:hAnsi="Times New Roman"/>
          <w:sz w:val="24"/>
        </w:rPr>
      </w:pPr>
      <w:r w:rsidRPr="00717E8D">
        <w:rPr>
          <w:rFonts w:ascii="Times New Roman" w:hAnsi="Times New Roman"/>
          <w:sz w:val="24"/>
        </w:rPr>
        <w:t xml:space="preserve">Objednatel se zavazuje zaplatit </w:t>
      </w:r>
      <w:r w:rsidR="0035594B" w:rsidRPr="00717E8D">
        <w:rPr>
          <w:rFonts w:ascii="Times New Roman" w:hAnsi="Times New Roman"/>
          <w:sz w:val="24"/>
        </w:rPr>
        <w:t>Poskytovateli</w:t>
      </w:r>
      <w:r w:rsidRPr="00717E8D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 w:rsidRPr="00717E8D">
        <w:rPr>
          <w:rFonts w:ascii="Times New Roman" w:hAnsi="Times New Roman"/>
          <w:sz w:val="24"/>
        </w:rPr>
        <w:t xml:space="preserve">v Rámcové dohodě a zejména její příloze č. </w:t>
      </w:r>
      <w:r w:rsidR="000D7521" w:rsidRPr="00717E8D">
        <w:rPr>
          <w:rFonts w:ascii="Times New Roman" w:hAnsi="Times New Roman"/>
          <w:sz w:val="24"/>
        </w:rPr>
        <w:t>3 (Nabídková cena)</w:t>
      </w:r>
      <w:r w:rsidRPr="00717E8D">
        <w:rPr>
          <w:rFonts w:ascii="Times New Roman" w:hAnsi="Times New Roman"/>
          <w:sz w:val="24"/>
        </w:rPr>
        <w:t>.</w:t>
      </w:r>
    </w:p>
    <w:p w14:paraId="092980E5" w14:textId="40AB6910" w:rsidR="00E93149" w:rsidRPr="00717E8D" w:rsidRDefault="00E93149" w:rsidP="00717E8D">
      <w:pPr>
        <w:pStyle w:val="CZodstavec"/>
        <w:rPr>
          <w:rFonts w:ascii="Times New Roman" w:hAnsi="Times New Roman"/>
          <w:sz w:val="24"/>
        </w:rPr>
      </w:pPr>
      <w:r w:rsidRPr="00717E8D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717E8D">
        <w:rPr>
          <w:rFonts w:ascii="Times New Roman" w:hAnsi="Times New Roman"/>
          <w:sz w:val="24"/>
        </w:rPr>
        <w:t>Poskytovatelem</w:t>
      </w:r>
      <w:r w:rsidRPr="00717E8D">
        <w:rPr>
          <w:rFonts w:ascii="Times New Roman" w:hAnsi="Times New Roman"/>
          <w:sz w:val="24"/>
        </w:rPr>
        <w:t xml:space="preserve"> dle této Prováděcí </w:t>
      </w:r>
      <w:r w:rsidR="0035594B" w:rsidRPr="00717E8D">
        <w:rPr>
          <w:rFonts w:ascii="Times New Roman" w:hAnsi="Times New Roman"/>
          <w:sz w:val="24"/>
        </w:rPr>
        <w:t>dohody</w:t>
      </w:r>
      <w:r w:rsidRPr="00717E8D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6E750A7F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B20AD44" w14:textId="4FA3B862" w:rsidR="003E1D31" w:rsidRDefault="003E1D31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56E567A9" w14:textId="39C692FD" w:rsidR="003E1D31" w:rsidRDefault="003E1D31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201D086" w14:textId="77777777" w:rsidR="003E1D31" w:rsidRDefault="003E1D31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6AA96BA2" w:rsidR="00E93149" w:rsidRPr="00717E8D" w:rsidRDefault="0035594B" w:rsidP="00717E8D">
      <w:pPr>
        <w:pStyle w:val="CZodstavec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717E8D">
        <w:rPr>
          <w:rFonts w:ascii="Times New Roman" w:hAnsi="Times New Roman"/>
          <w:sz w:val="24"/>
        </w:rPr>
        <w:t xml:space="preserve">Místem </w:t>
      </w:r>
      <w:r w:rsidR="00E93149" w:rsidRPr="00717E8D">
        <w:rPr>
          <w:rFonts w:ascii="Times New Roman" w:hAnsi="Times New Roman"/>
          <w:sz w:val="24"/>
        </w:rPr>
        <w:t xml:space="preserve">plnění </w:t>
      </w:r>
      <w:r w:rsidRPr="00717E8D">
        <w:rPr>
          <w:rFonts w:ascii="Times New Roman" w:hAnsi="Times New Roman"/>
          <w:sz w:val="24"/>
        </w:rPr>
        <w:t>Poskytovatele</w:t>
      </w:r>
      <w:r w:rsidR="00E93149" w:rsidRPr="00717E8D">
        <w:rPr>
          <w:rFonts w:ascii="Times New Roman" w:hAnsi="Times New Roman"/>
          <w:sz w:val="24"/>
        </w:rPr>
        <w:t xml:space="preserve"> dle této Prováděcí </w:t>
      </w:r>
      <w:r w:rsidRPr="00717E8D">
        <w:rPr>
          <w:rFonts w:ascii="Times New Roman" w:hAnsi="Times New Roman"/>
          <w:sz w:val="24"/>
        </w:rPr>
        <w:t>dohody</w:t>
      </w:r>
      <w:r w:rsidR="00E93149" w:rsidRPr="00717E8D">
        <w:rPr>
          <w:rFonts w:ascii="Times New Roman" w:hAnsi="Times New Roman"/>
          <w:sz w:val="24"/>
        </w:rPr>
        <w:t xml:space="preserve"> </w:t>
      </w:r>
      <w:r w:rsidR="00136BEE" w:rsidRPr="00717E8D">
        <w:rPr>
          <w:rFonts w:ascii="Times New Roman" w:hAnsi="Times New Roman"/>
          <w:sz w:val="24"/>
        </w:rPr>
        <w:t>j</w:t>
      </w:r>
      <w:r w:rsidR="00982699" w:rsidRPr="00717E8D">
        <w:rPr>
          <w:rFonts w:ascii="Times New Roman" w:hAnsi="Times New Roman"/>
          <w:sz w:val="24"/>
        </w:rPr>
        <w:t>sou</w:t>
      </w:r>
      <w:r w:rsidR="00136BEE" w:rsidRPr="00717E8D">
        <w:rPr>
          <w:rFonts w:ascii="Times New Roman" w:hAnsi="Times New Roman"/>
          <w:sz w:val="24"/>
        </w:rPr>
        <w:t xml:space="preserve"> </w:t>
      </w:r>
      <w:r w:rsidR="00982699" w:rsidRPr="00717E8D">
        <w:rPr>
          <w:rFonts w:ascii="Times New Roman" w:hAnsi="Times New Roman"/>
          <w:sz w:val="24"/>
        </w:rPr>
        <w:t>Domažlice</w:t>
      </w:r>
      <w:r w:rsidR="00136BEE" w:rsidRPr="00717E8D">
        <w:rPr>
          <w:rFonts w:ascii="Times New Roman" w:hAnsi="Times New Roman"/>
          <w:sz w:val="24"/>
        </w:rPr>
        <w:t>.</w:t>
      </w:r>
    </w:p>
    <w:p w14:paraId="00932695" w14:textId="77777777" w:rsidR="003E1D31" w:rsidRPr="00BB7FBB" w:rsidRDefault="003E1D31" w:rsidP="003E1D31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6E8C7F4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717E8D">
        <w:rPr>
          <w:rFonts w:ascii="Times New Roman" w:hAnsi="Times New Roman"/>
          <w:b/>
          <w:sz w:val="24"/>
        </w:rPr>
        <w:t>Poskytovatele</w:t>
      </w:r>
      <w:r>
        <w:rPr>
          <w:rFonts w:ascii="Times New Roman" w:hAnsi="Times New Roman"/>
          <w:b/>
          <w:sz w:val="24"/>
        </w:rPr>
        <w:t>:</w:t>
      </w:r>
    </w:p>
    <w:p w14:paraId="533B17A1" w14:textId="7AC758C2" w:rsidR="00E93149" w:rsidRDefault="007B609A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19.1.2024</w:t>
      </w:r>
      <w:r w:rsidR="00E93149" w:rsidRPr="008B11D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19.1.2024</w:t>
      </w:r>
    </w:p>
    <w:p w14:paraId="1AD4A91B" w14:textId="6B6826CB" w:rsidR="003E1D31" w:rsidRDefault="003E1D31" w:rsidP="00E93149">
      <w:pPr>
        <w:rPr>
          <w:rFonts w:ascii="Times New Roman" w:hAnsi="Times New Roman"/>
          <w:sz w:val="24"/>
        </w:rPr>
      </w:pPr>
    </w:p>
    <w:p w14:paraId="15A521DD" w14:textId="7B10CA90" w:rsidR="003E1D31" w:rsidRDefault="003E1D31" w:rsidP="00E93149">
      <w:pPr>
        <w:rPr>
          <w:rFonts w:ascii="Times New Roman" w:hAnsi="Times New Roman"/>
          <w:sz w:val="24"/>
        </w:rPr>
      </w:pPr>
    </w:p>
    <w:p w14:paraId="4E37E7C1" w14:textId="77777777" w:rsidR="003E1D31" w:rsidRPr="008B11DD" w:rsidRDefault="003E1D31" w:rsidP="00E93149">
      <w:pPr>
        <w:rPr>
          <w:rFonts w:ascii="Times New Roman" w:hAnsi="Times New Roman"/>
          <w:sz w:val="24"/>
        </w:rPr>
      </w:pPr>
    </w:p>
    <w:p w14:paraId="1D066D0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0E5C4116" w:rsidR="00E93149" w:rsidRPr="008B11DD" w:rsidRDefault="00982699" w:rsidP="00E93149">
      <w:pPr>
        <w:rPr>
          <w:rFonts w:ascii="Times New Roman" w:hAnsi="Times New Roman"/>
          <w:sz w:val="24"/>
        </w:rPr>
      </w:pPr>
      <w:r w:rsidRPr="00982699">
        <w:rPr>
          <w:rFonts w:ascii="Times New Roman" w:hAnsi="Times New Roman"/>
          <w:sz w:val="24"/>
        </w:rPr>
        <w:t>JUDr. Martina Dufková</w:t>
      </w:r>
      <w:r w:rsidR="003F7DAB">
        <w:rPr>
          <w:rFonts w:ascii="Times New Roman" w:hAnsi="Times New Roman"/>
          <w:sz w:val="24"/>
        </w:rPr>
        <w:tab/>
      </w:r>
      <w:r w:rsidR="0083408F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1E06BDB0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121FC6">
        <w:rPr>
          <w:rFonts w:ascii="Times New Roman" w:hAnsi="Times New Roman"/>
          <w:sz w:val="24"/>
        </w:rPr>
        <w:t>kyně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D54B7" w14:textId="77777777" w:rsidR="002217E0" w:rsidRDefault="002217E0" w:rsidP="0035594B">
      <w:pPr>
        <w:spacing w:line="240" w:lineRule="auto"/>
      </w:pPr>
      <w:r>
        <w:separator/>
      </w:r>
    </w:p>
  </w:endnote>
  <w:endnote w:type="continuationSeparator" w:id="0">
    <w:p w14:paraId="687C8D17" w14:textId="77777777" w:rsidR="002217E0" w:rsidRDefault="002217E0" w:rsidP="0035594B">
      <w:pPr>
        <w:spacing w:line="240" w:lineRule="auto"/>
      </w:pPr>
      <w:r>
        <w:continuationSeparator/>
      </w:r>
    </w:p>
  </w:endnote>
  <w:endnote w:type="continuationNotice" w:id="1">
    <w:p w14:paraId="10D76B0A" w14:textId="77777777" w:rsidR="002217E0" w:rsidRDefault="002217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3594" w14:textId="77777777" w:rsidR="002217E0" w:rsidRDefault="002217E0" w:rsidP="0035594B">
      <w:pPr>
        <w:spacing w:line="240" w:lineRule="auto"/>
      </w:pPr>
      <w:r>
        <w:separator/>
      </w:r>
    </w:p>
  </w:footnote>
  <w:footnote w:type="continuationSeparator" w:id="0">
    <w:p w14:paraId="172889EA" w14:textId="77777777" w:rsidR="002217E0" w:rsidRDefault="002217E0" w:rsidP="0035594B">
      <w:pPr>
        <w:spacing w:line="240" w:lineRule="auto"/>
      </w:pPr>
      <w:r>
        <w:continuationSeparator/>
      </w:r>
    </w:p>
  </w:footnote>
  <w:footnote w:type="continuationNotice" w:id="1">
    <w:p w14:paraId="644DF9F1" w14:textId="77777777" w:rsidR="002217E0" w:rsidRDefault="002217E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3DE62992"/>
    <w:lvl w:ilvl="0" w:tplc="6F6273D4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0"/>
    <w:rsid w:val="0002773A"/>
    <w:rsid w:val="00052E4B"/>
    <w:rsid w:val="000601FB"/>
    <w:rsid w:val="00081C07"/>
    <w:rsid w:val="00092A82"/>
    <w:rsid w:val="000A237B"/>
    <w:rsid w:val="000C0A51"/>
    <w:rsid w:val="000C1BDF"/>
    <w:rsid w:val="000C5F17"/>
    <w:rsid w:val="000D7521"/>
    <w:rsid w:val="000F4EE5"/>
    <w:rsid w:val="00114F3E"/>
    <w:rsid w:val="00121FC6"/>
    <w:rsid w:val="001300B5"/>
    <w:rsid w:val="00135BE7"/>
    <w:rsid w:val="00136BEE"/>
    <w:rsid w:val="00141D0D"/>
    <w:rsid w:val="00155909"/>
    <w:rsid w:val="00194A24"/>
    <w:rsid w:val="001C0473"/>
    <w:rsid w:val="001D6AC5"/>
    <w:rsid w:val="00202B55"/>
    <w:rsid w:val="002217E0"/>
    <w:rsid w:val="00224598"/>
    <w:rsid w:val="00225D64"/>
    <w:rsid w:val="00232D3A"/>
    <w:rsid w:val="0023344D"/>
    <w:rsid w:val="0023737D"/>
    <w:rsid w:val="002374CF"/>
    <w:rsid w:val="00245F79"/>
    <w:rsid w:val="002602AA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E1D31"/>
    <w:rsid w:val="003F7DAB"/>
    <w:rsid w:val="004337DF"/>
    <w:rsid w:val="0044792C"/>
    <w:rsid w:val="0046197C"/>
    <w:rsid w:val="004A172F"/>
    <w:rsid w:val="005010DA"/>
    <w:rsid w:val="00554E65"/>
    <w:rsid w:val="00555A9E"/>
    <w:rsid w:val="005763DD"/>
    <w:rsid w:val="00583F81"/>
    <w:rsid w:val="005A2651"/>
    <w:rsid w:val="005B097C"/>
    <w:rsid w:val="005E73B9"/>
    <w:rsid w:val="00607436"/>
    <w:rsid w:val="00610DC3"/>
    <w:rsid w:val="00616259"/>
    <w:rsid w:val="00655E4E"/>
    <w:rsid w:val="0065676E"/>
    <w:rsid w:val="00677360"/>
    <w:rsid w:val="00683182"/>
    <w:rsid w:val="006B0959"/>
    <w:rsid w:val="006C207F"/>
    <w:rsid w:val="006D36CD"/>
    <w:rsid w:val="006F7325"/>
    <w:rsid w:val="00713AD3"/>
    <w:rsid w:val="00717E8D"/>
    <w:rsid w:val="00726366"/>
    <w:rsid w:val="00730F2F"/>
    <w:rsid w:val="007401D9"/>
    <w:rsid w:val="007441BA"/>
    <w:rsid w:val="00752788"/>
    <w:rsid w:val="0078217F"/>
    <w:rsid w:val="00783E9F"/>
    <w:rsid w:val="007B3174"/>
    <w:rsid w:val="007B609A"/>
    <w:rsid w:val="007C34E5"/>
    <w:rsid w:val="007F129B"/>
    <w:rsid w:val="00807B08"/>
    <w:rsid w:val="00810788"/>
    <w:rsid w:val="0083408F"/>
    <w:rsid w:val="00837000"/>
    <w:rsid w:val="008561B3"/>
    <w:rsid w:val="00863B80"/>
    <w:rsid w:val="008871A3"/>
    <w:rsid w:val="00891A41"/>
    <w:rsid w:val="00891C9D"/>
    <w:rsid w:val="008A34BA"/>
    <w:rsid w:val="008A683C"/>
    <w:rsid w:val="008B4F22"/>
    <w:rsid w:val="008D189B"/>
    <w:rsid w:val="008D7003"/>
    <w:rsid w:val="008F77EF"/>
    <w:rsid w:val="00914221"/>
    <w:rsid w:val="00925289"/>
    <w:rsid w:val="009436CB"/>
    <w:rsid w:val="00982699"/>
    <w:rsid w:val="009A370A"/>
    <w:rsid w:val="009A3E9A"/>
    <w:rsid w:val="00A164D9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1A43"/>
    <w:rsid w:val="00B54354"/>
    <w:rsid w:val="00B70C25"/>
    <w:rsid w:val="00B92D29"/>
    <w:rsid w:val="00BB7FBB"/>
    <w:rsid w:val="00BE25CC"/>
    <w:rsid w:val="00C140C7"/>
    <w:rsid w:val="00C1439C"/>
    <w:rsid w:val="00C24727"/>
    <w:rsid w:val="00C3564E"/>
    <w:rsid w:val="00C415A3"/>
    <w:rsid w:val="00C44D09"/>
    <w:rsid w:val="00C61276"/>
    <w:rsid w:val="00C614BB"/>
    <w:rsid w:val="00C772AA"/>
    <w:rsid w:val="00C8698E"/>
    <w:rsid w:val="00CA56B7"/>
    <w:rsid w:val="00CC690A"/>
    <w:rsid w:val="00CF2387"/>
    <w:rsid w:val="00CF4652"/>
    <w:rsid w:val="00D27668"/>
    <w:rsid w:val="00D8028B"/>
    <w:rsid w:val="00E05A69"/>
    <w:rsid w:val="00E52B4D"/>
    <w:rsid w:val="00E76823"/>
    <w:rsid w:val="00E90420"/>
    <w:rsid w:val="00E93149"/>
    <w:rsid w:val="00E933EE"/>
    <w:rsid w:val="00E97659"/>
    <w:rsid w:val="00EC7215"/>
    <w:rsid w:val="00EF3D39"/>
    <w:rsid w:val="00F0084C"/>
    <w:rsid w:val="00F44094"/>
    <w:rsid w:val="00F74DBD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3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FF16B-FCCF-4366-9DB6-308347D8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Minaříková Marie</cp:lastModifiedBy>
  <cp:revision>3</cp:revision>
  <cp:lastPrinted>2023-12-28T14:18:00Z</cp:lastPrinted>
  <dcterms:created xsi:type="dcterms:W3CDTF">2024-01-22T10:04:00Z</dcterms:created>
  <dcterms:modified xsi:type="dcterms:W3CDTF">2024-01-22T10:05:00Z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