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DFDD" w14:textId="77777777" w:rsidR="00912700" w:rsidRPr="00A808E7" w:rsidRDefault="00912700" w:rsidP="00912700">
      <w:pPr>
        <w:pStyle w:val="odstavec"/>
        <w:spacing w:line="240" w:lineRule="auto"/>
        <w:ind w:left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A808E7">
        <w:rPr>
          <w:rFonts w:ascii="Segoe UI" w:hAnsi="Segoe UI" w:cs="Segoe UI"/>
          <w:b/>
          <w:bCs/>
          <w:sz w:val="28"/>
          <w:szCs w:val="28"/>
        </w:rPr>
        <w:t>Příloha č. 1</w:t>
      </w:r>
    </w:p>
    <w:p w14:paraId="205FEBEA" w14:textId="77777777" w:rsidR="00912700" w:rsidRPr="00A808E7" w:rsidRDefault="00912700" w:rsidP="00912700">
      <w:pPr>
        <w:pStyle w:val="odstavec"/>
        <w:spacing w:before="0" w:line="240" w:lineRule="auto"/>
        <w:ind w:left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A808E7">
        <w:rPr>
          <w:rFonts w:ascii="Segoe UI" w:hAnsi="Segoe UI" w:cs="Segoe UI"/>
          <w:b/>
          <w:bCs/>
          <w:sz w:val="24"/>
          <w:szCs w:val="24"/>
        </w:rPr>
        <w:t>ke Specifikaci dodávky řešení</w:t>
      </w:r>
    </w:p>
    <w:p w14:paraId="7B46F9ED" w14:textId="0FD552CE" w:rsidR="005859BC" w:rsidRPr="00A808E7" w:rsidRDefault="005859BC" w:rsidP="005859BC">
      <w:pPr>
        <w:pStyle w:val="Zkladntext"/>
        <w:tabs>
          <w:tab w:val="left" w:pos="0"/>
          <w:tab w:val="left" w:pos="6946"/>
        </w:tabs>
        <w:spacing w:before="360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bookmarkStart w:id="0" w:name="_Hlk96004146"/>
      <w:r w:rsidRPr="00A808E7">
        <w:rPr>
          <w:rFonts w:ascii="Segoe UI" w:hAnsi="Segoe UI" w:cs="Segoe UI"/>
          <w:b/>
          <w:sz w:val="28"/>
          <w:szCs w:val="28"/>
        </w:rPr>
        <w:t>Popis poskytovaných služeb</w:t>
      </w:r>
    </w:p>
    <w:bookmarkEnd w:id="0"/>
    <w:p w14:paraId="6CEEE537" w14:textId="77777777" w:rsidR="005859BC" w:rsidRPr="00A808E7" w:rsidRDefault="005859BC" w:rsidP="005859BC">
      <w:pPr>
        <w:rPr>
          <w:rFonts w:ascii="Segoe UI" w:hAnsi="Segoe UI" w:cs="Segoe UI"/>
        </w:rPr>
      </w:pPr>
    </w:p>
    <w:p w14:paraId="3F458125" w14:textId="194E13AB" w:rsidR="005859BC" w:rsidRPr="00A808E7" w:rsidRDefault="00A808E7" w:rsidP="00557093">
      <w:pPr>
        <w:pStyle w:val="Default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bCs/>
          <w:color w:val="auto"/>
          <w:sz w:val="20"/>
          <w:szCs w:val="20"/>
        </w:rPr>
        <w:t xml:space="preserve">Služby dle </w:t>
      </w:r>
      <w:r w:rsidR="00557093">
        <w:rPr>
          <w:rFonts w:ascii="Segoe UI" w:hAnsi="Segoe UI" w:cs="Segoe UI"/>
          <w:bCs/>
          <w:color w:val="auto"/>
          <w:sz w:val="20"/>
          <w:szCs w:val="20"/>
        </w:rPr>
        <w:t xml:space="preserve">bodu 2. </w:t>
      </w:r>
      <w:r>
        <w:rPr>
          <w:rFonts w:ascii="Segoe UI" w:hAnsi="Segoe UI" w:cs="Segoe UI"/>
          <w:bCs/>
          <w:color w:val="auto"/>
          <w:sz w:val="20"/>
          <w:szCs w:val="20"/>
        </w:rPr>
        <w:t>Specifikace dodávky řešení</w:t>
      </w:r>
      <w:r w:rsidR="005859BC" w:rsidRPr="00A808E7">
        <w:rPr>
          <w:rFonts w:ascii="Segoe UI" w:hAnsi="Segoe UI" w:cs="Segoe UI"/>
          <w:bCs/>
          <w:color w:val="auto"/>
          <w:sz w:val="20"/>
          <w:szCs w:val="20"/>
        </w:rPr>
        <w:t xml:space="preserve"> zahrnují:</w:t>
      </w:r>
    </w:p>
    <w:p w14:paraId="73E269EF" w14:textId="310A59BE" w:rsidR="005859BC" w:rsidRPr="00A808E7" w:rsidRDefault="005859BC" w:rsidP="005859BC">
      <w:pPr>
        <w:pStyle w:val="Default"/>
        <w:numPr>
          <w:ilvl w:val="0"/>
          <w:numId w:val="8"/>
        </w:numPr>
        <w:spacing w:before="160"/>
        <w:ind w:left="425" w:hanging="425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A808E7">
        <w:rPr>
          <w:rFonts w:ascii="Segoe UI" w:hAnsi="Segoe UI" w:cs="Segoe UI"/>
          <w:b/>
          <w:bCs/>
          <w:color w:val="auto"/>
          <w:sz w:val="20"/>
          <w:szCs w:val="20"/>
        </w:rPr>
        <w:t>Uložení a údržbu dat Zákazníka, správa portálu aplikace CEM</w:t>
      </w:r>
    </w:p>
    <w:p w14:paraId="5006E1A5" w14:textId="7B128477" w:rsidR="005859BC" w:rsidRPr="00A808E7" w:rsidRDefault="005859BC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A808E7">
        <w:rPr>
          <w:rFonts w:ascii="Segoe UI" w:hAnsi="Segoe UI" w:cs="Segoe UI"/>
          <w:bCs/>
          <w:color w:val="auto"/>
          <w:sz w:val="20"/>
          <w:szCs w:val="20"/>
        </w:rPr>
        <w:t>V rámci této dílčí služby Poskytovatel pro Zákazníka:</w:t>
      </w:r>
    </w:p>
    <w:p w14:paraId="330B5F78" w14:textId="77777777" w:rsidR="005859BC" w:rsidRPr="004F3F3E" w:rsidRDefault="005859BC" w:rsidP="00557093">
      <w:pPr>
        <w:pStyle w:val="Default"/>
        <w:tabs>
          <w:tab w:val="left" w:pos="426"/>
        </w:tabs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- 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ab/>
        <w:t xml:space="preserve">sběr a prezentace dat v režimu on-line (kdy každý odečet je v portálu vidět ihned), jejich ukládání do databáze, zálohování a bezpečnou archivaci po dobu </w:t>
      </w:r>
      <w:proofErr w:type="gramStart"/>
      <w:r w:rsidRPr="004F3F3E">
        <w:rPr>
          <w:rFonts w:ascii="Segoe UI" w:hAnsi="Segoe UI" w:cs="Segoe UI"/>
          <w:bCs/>
          <w:color w:val="auto"/>
          <w:sz w:val="20"/>
          <w:szCs w:val="20"/>
        </w:rPr>
        <w:t>minimálně 5-ti</w:t>
      </w:r>
      <w:proofErr w:type="gramEnd"/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let od termínu jejich pořízení;</w:t>
      </w:r>
    </w:p>
    <w:p w14:paraId="565A40FB" w14:textId="77777777" w:rsidR="005859BC" w:rsidRPr="004F3F3E" w:rsidRDefault="005859BC" w:rsidP="00557093">
      <w:pPr>
        <w:pStyle w:val="Default"/>
        <w:tabs>
          <w:tab w:val="left" w:pos="426"/>
        </w:tabs>
        <w:spacing w:before="40"/>
        <w:ind w:left="426" w:hanging="284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-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ab/>
        <w:t>podporu při užívání portálových služeb prostřednictvím telefonu, nebo e-mailu.</w:t>
      </w:r>
    </w:p>
    <w:p w14:paraId="5F7BB479" w14:textId="6824BF35" w:rsidR="005859BC" w:rsidRPr="004F3F3E" w:rsidRDefault="005859BC" w:rsidP="00557093">
      <w:pPr>
        <w:pStyle w:val="Default"/>
        <w:tabs>
          <w:tab w:val="left" w:pos="426"/>
        </w:tabs>
        <w:spacing w:before="4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Poskytnutá, vložená, naměřená, odečtená a uložená data Zákazníka jsou jeho výhradním vlastnictvím a jsou s jeho souhlasem uchovávána u Poskytovatele. Zákazník má výhradní oprávnění rozhodnout o poskytnutí těchto dat jiným osobám nebo stranám.</w:t>
      </w:r>
    </w:p>
    <w:p w14:paraId="27C77740" w14:textId="437FB2B1" w:rsidR="005859BC" w:rsidRPr="004F3F3E" w:rsidRDefault="005859BC" w:rsidP="005859BC">
      <w:pPr>
        <w:pStyle w:val="Default"/>
        <w:numPr>
          <w:ilvl w:val="0"/>
          <w:numId w:val="8"/>
        </w:numPr>
        <w:spacing w:before="160"/>
        <w:ind w:left="425" w:hanging="425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/>
          <w:bCs/>
          <w:color w:val="auto"/>
          <w:sz w:val="20"/>
          <w:szCs w:val="20"/>
        </w:rPr>
        <w:t xml:space="preserve">Vizualizace dat pro </w:t>
      </w:r>
      <w:r w:rsidR="00AF57F7" w:rsidRPr="004F3F3E">
        <w:rPr>
          <w:rFonts w:ascii="Segoe UI" w:hAnsi="Segoe UI" w:cs="Segoe UI"/>
          <w:b/>
          <w:bCs/>
          <w:color w:val="auto"/>
          <w:sz w:val="20"/>
          <w:szCs w:val="20"/>
        </w:rPr>
        <w:t xml:space="preserve">Zákazníka </w:t>
      </w:r>
      <w:r w:rsidRPr="004F3F3E">
        <w:rPr>
          <w:rFonts w:ascii="Segoe UI" w:hAnsi="Segoe UI" w:cs="Segoe UI"/>
          <w:b/>
          <w:bCs/>
          <w:color w:val="auto"/>
          <w:sz w:val="20"/>
          <w:szCs w:val="20"/>
        </w:rPr>
        <w:t xml:space="preserve">a uživatele </w:t>
      </w:r>
      <w:r w:rsidR="00AF57F7" w:rsidRPr="004F3F3E">
        <w:rPr>
          <w:rFonts w:ascii="Segoe UI" w:hAnsi="Segoe UI" w:cs="Segoe UI"/>
          <w:b/>
          <w:bCs/>
          <w:color w:val="auto"/>
          <w:sz w:val="20"/>
          <w:szCs w:val="20"/>
        </w:rPr>
        <w:t>nebytových prostor</w:t>
      </w:r>
    </w:p>
    <w:p w14:paraId="17C2FD10" w14:textId="1AC855C0" w:rsidR="00E41263" w:rsidRPr="004F3F3E" w:rsidRDefault="005859BC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V rámci této dílčí služby Poskytovatel zajistí pro Zákazníka zobrazení vložených, naměřených a vypočtených dat v počítači ve formě grafů a tabulek a to formou on-line přístupu k datům prostřednictvím standardního prohlížeče </w:t>
      </w:r>
      <w:proofErr w:type="spellStart"/>
      <w:r w:rsidRPr="004F3F3E">
        <w:rPr>
          <w:rFonts w:ascii="Segoe UI" w:hAnsi="Segoe UI" w:cs="Segoe UI"/>
          <w:bCs/>
          <w:color w:val="auto"/>
          <w:sz w:val="20"/>
          <w:szCs w:val="20"/>
        </w:rPr>
        <w:t>WEBových</w:t>
      </w:r>
      <w:proofErr w:type="spellEnd"/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stránek. Každý uživatel </w:t>
      </w:r>
      <w:r w:rsidR="00AF57F7" w:rsidRPr="004F3F3E">
        <w:rPr>
          <w:rFonts w:ascii="Segoe UI" w:hAnsi="Segoe UI" w:cs="Segoe UI"/>
          <w:bCs/>
          <w:color w:val="auto"/>
          <w:sz w:val="20"/>
          <w:szCs w:val="20"/>
        </w:rPr>
        <w:t>nebytového prostoru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vidí pouze data </w:t>
      </w:r>
      <w:r w:rsidR="00AF57F7" w:rsidRPr="004F3F3E">
        <w:rPr>
          <w:rFonts w:ascii="Segoe UI" w:hAnsi="Segoe UI" w:cs="Segoe UI"/>
          <w:bCs/>
          <w:color w:val="auto"/>
          <w:sz w:val="20"/>
          <w:szCs w:val="20"/>
        </w:rPr>
        <w:t>k jím pronajatému nebytovému prostoru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, </w:t>
      </w:r>
      <w:r w:rsidR="00AF57F7" w:rsidRPr="004F3F3E">
        <w:rPr>
          <w:rFonts w:ascii="Segoe UI" w:hAnsi="Segoe UI" w:cs="Segoe UI"/>
          <w:bCs/>
          <w:color w:val="auto"/>
          <w:sz w:val="20"/>
          <w:szCs w:val="20"/>
        </w:rPr>
        <w:t xml:space="preserve">Zákazník 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vidí data k celému domu.</w:t>
      </w:r>
    </w:p>
    <w:p w14:paraId="00FE311A" w14:textId="77777777" w:rsidR="009A04DC" w:rsidRPr="004F3F3E" w:rsidRDefault="009A04DC" w:rsidP="009A04DC">
      <w:pPr>
        <w:pStyle w:val="Default"/>
        <w:numPr>
          <w:ilvl w:val="0"/>
          <w:numId w:val="8"/>
        </w:numPr>
        <w:spacing w:before="160"/>
        <w:ind w:left="425" w:hanging="425"/>
        <w:rPr>
          <w:rFonts w:ascii="Segoe UI" w:hAnsi="Segoe UI" w:cs="Segoe UI"/>
          <w:b/>
          <w:bCs/>
          <w:color w:val="auto"/>
          <w:sz w:val="20"/>
          <w:szCs w:val="20"/>
        </w:rPr>
      </w:pPr>
      <w:bookmarkStart w:id="1" w:name="_Hlk141169764"/>
      <w:r w:rsidRPr="004F3F3E">
        <w:rPr>
          <w:rFonts w:ascii="Segoe UI" w:hAnsi="Segoe UI" w:cs="Segoe UI"/>
          <w:b/>
          <w:bCs/>
          <w:color w:val="auto"/>
          <w:sz w:val="20"/>
          <w:szCs w:val="20"/>
        </w:rPr>
        <w:t xml:space="preserve">Služba generování podkladů pro rozúčtování nákladů na vodu a teplo </w:t>
      </w:r>
    </w:p>
    <w:bookmarkEnd w:id="1"/>
    <w:p w14:paraId="32AE5D4E" w14:textId="1FA2FA66" w:rsidR="009A04DC" w:rsidRPr="004F3F3E" w:rsidRDefault="009A04DC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V rámci této dílčí služby </w:t>
      </w:r>
      <w:r w:rsidR="00E41263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el zajistí pro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E41263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jedenkrát za kalendářní rok provedení rozpočítání nákladů na energie mezi jednotlivé konečné spotřebitele („rozúčtování nákladů“) dle principů a metod vyhovujícím obecně závazným právním předpisům a normám. K realizaci této služby je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povinen </w:t>
      </w:r>
      <w:r w:rsidR="00B024DC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oskytnout </w:t>
      </w:r>
      <w:r w:rsidR="00B024DC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eli tuto součinnost:</w:t>
      </w:r>
    </w:p>
    <w:p w14:paraId="663E4F47" w14:textId="02AC8FDE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poskytnutí základních parametrů (pravidel) pro rozúčtování na začátku prvního zúčtovacího období a poskytnutí údajů o jakýchkoli změnách v těchto pravidlech a parametrech v průběhu smluvního období tak, aby v době rozúčtování měl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poskytovat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el vždy aktuální údaje. Za základní parametry pro rozúčtování se považují druhy rozúčtovaných nákladů, velikosti základních a spotřebních složek, upřesnění rozúčtovacích klíčů a podílových jednotek, případně specifické požadavky na nastavení hranic a koeficientů pro korekce a dopočty, je-li požadováno jiné nastavení než dle doporučení daného legislativou. Tyto údaje je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povinen poskytnout </w:t>
      </w:r>
      <w:r w:rsidR="00D901B8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eli písemnou formou; </w:t>
      </w:r>
    </w:p>
    <w:p w14:paraId="7F74493E" w14:textId="76EE8104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průběžná aktualizace záznamů o uživatelích jednotlivých </w:t>
      </w:r>
      <w:r w:rsidR="00CD5972" w:rsidRPr="004F3F3E">
        <w:rPr>
          <w:rFonts w:ascii="Segoe UI" w:hAnsi="Segoe UI" w:cs="Segoe UI"/>
          <w:bCs/>
          <w:color w:val="auto"/>
          <w:sz w:val="20"/>
          <w:szCs w:val="20"/>
        </w:rPr>
        <w:t xml:space="preserve">nebytových prostor 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formou provedení změny dat pověřenou osobou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přímo v systému, nebo formou písemného oznámení změny 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eli, který zajistí změnu dat v systému;</w:t>
      </w:r>
    </w:p>
    <w:p w14:paraId="2B2ACE01" w14:textId="13F26A62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průběžná aktualizace záznamů o</w:t>
      </w:r>
      <w:r w:rsidR="00CF0021"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nebytových prostorách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a místnostech v případě provedení změn a stavebních úprav, a to formou provedení změny dat pověřenou osobou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, nebo formou písemného oznámení změny 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eli, který zajistí změnu dat v systému;</w:t>
      </w:r>
    </w:p>
    <w:p w14:paraId="242DC738" w14:textId="76ECDEA2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poskytnutí nezbytných údajů o celkových nákladech domu za energie za zúčtovací období formou vložení dat přímo do systému pověřenou osobou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, nebo formou poskytnutí těchto údajů 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eli.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je povinen poskytnout tyto údaje 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eli ve formě tabulky vstupních nákladů, kde pro každý druh nákladu bude uvedena jeho celková výše v Kč včetně DPH a celkový počet spotřebovaných jednotek dle faktury dodavatele.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Poskytovat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el zajistí vložení těchto údajů do systému.</w:t>
      </w:r>
    </w:p>
    <w:p w14:paraId="0B40746E" w14:textId="7EF689B1" w:rsidR="009A04DC" w:rsidRPr="004F3F3E" w:rsidRDefault="009A04DC" w:rsidP="00557093">
      <w:pPr>
        <w:pStyle w:val="Default"/>
        <w:spacing w:before="4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Systém CEM poskytuje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ovi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podklady pro rozúčtování nákladů v těchto standardizovaných formách:</w:t>
      </w:r>
    </w:p>
    <w:p w14:paraId="42BF6592" w14:textId="29A0947F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exportní soubor typu „Bilance“ zúčtovací jednotky (domu), kde jsou pro každého konečného spotřebitele (uživatele</w:t>
      </w:r>
      <w:r w:rsidR="00CF0021"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nebytového prostoru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) uvedeny základní parametry pronajímaného objektu, výše předepsaných záloh (jsou-li evidovány v systému), souhrnné náklady na jednotlivé energie, média a služby rozúčtované systémem a celková bilance (rozdíl mezi zálohami a náklady). Tento soubor lze ze systému exportovat v textovém formátu (CSV) s možností následovného importu do infomačního systému třetí strany (účetního nebo správcovského systému);</w:t>
      </w:r>
    </w:p>
    <w:p w14:paraId="43A86210" w14:textId="09C47937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lastRenderedPageBreak/>
        <w:t>exportní soubor typu „Náklady“ zúčtovací jednotky (domu), kde jsou pro každého konečného spotřebitele (uživatele</w:t>
      </w:r>
      <w:r w:rsidR="00CF0021"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nebytového prostoru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) a pro každý typ nákladu uvedeny základní údaje týkající se nákladu (název, médium, typ rozúčtovacího klíče apod.), počty podílových jednotek pro určení podílu daného uživatele na daném nákladu, procentní a finanční podíl na daném nákladu a některé další údaje. Tento soubor lze ze systému exportovat v textovém formátu (CSV) s možností následovného importu do infomačního systému třetí strany (účetního nebo správcovského systému); </w:t>
      </w:r>
    </w:p>
    <w:p w14:paraId="2DC6D95A" w14:textId="1F6AD6BD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exportní soubor typu „Spotřeby“ zúčtovací jednotky (domu), kde jsou pro každého konečného spotřebitele (uživatele</w:t>
      </w:r>
      <w:r w:rsidR="00CF0021"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nebytového prostoru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) a pro každé nákladové měřidlo základní údaje o měřidle (typ, výrobní číslo, médium náklad apod.), jeho počáteční a konečný stav pro dané zúčtovací období, a jeho indikovaná a přepočtená spotřeba. Tento soubor lze ze systému exportovat v textovém formátu (CSV) s možností následovného importu do infomačního systému třetí strany (účetního nebo správcovského systému); </w:t>
      </w:r>
    </w:p>
    <w:p w14:paraId="408D2DDB" w14:textId="79A33636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exportní soubor typu „Rozúčtování individuální“, kde jsou pro každého konečného spotřebitele (uživatele</w:t>
      </w:r>
      <w:r w:rsidR="00CF0021"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nebytového prostoru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) v tabulkách „Náklady na služby“, „Vyúčtování záloh“ a „Odečty přístrojů“ výchozí data a výsledky rozúčtování všech systémem rozúčtovaných nákladů podle platné legislativy. Systém vygeneruje dvě verze exportního souboru: </w:t>
      </w:r>
      <w:r w:rsidRPr="004F3F3E">
        <w:rPr>
          <w:rFonts w:ascii="Segoe UI" w:hAnsi="Segoe UI" w:cs="Segoe UI"/>
          <w:bCs/>
          <w:i/>
          <w:color w:val="auto"/>
          <w:sz w:val="20"/>
          <w:szCs w:val="20"/>
        </w:rPr>
        <w:t>tiskový formát PDF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pro hromadný tisk všech individuálních rozúčtování všech konečných spotřebitelů z jednoho souboru a </w:t>
      </w:r>
      <w:r w:rsidRPr="004F3F3E">
        <w:rPr>
          <w:rFonts w:ascii="Segoe UI" w:hAnsi="Segoe UI" w:cs="Segoe UI"/>
          <w:bCs/>
          <w:i/>
          <w:color w:val="auto"/>
          <w:sz w:val="20"/>
          <w:szCs w:val="20"/>
        </w:rPr>
        <w:t>archivní formát ZIP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, kde jsou v jednom archivním souboru sloučeny individuální rozúčtování jednotlivých konečných spotřebitelů tak, že pro každého spotřebitele je v archivním souboru jeden individuální soubor ve formátu PDF, který je možné zaslat danému spotřebiteli elektronickou poštou;  </w:t>
      </w:r>
    </w:p>
    <w:p w14:paraId="03251470" w14:textId="77777777" w:rsidR="009A04DC" w:rsidRPr="004F3F3E" w:rsidRDefault="009A04DC" w:rsidP="00557093">
      <w:pPr>
        <w:pStyle w:val="Default"/>
        <w:numPr>
          <w:ilvl w:val="0"/>
          <w:numId w:val="7"/>
        </w:numPr>
        <w:spacing w:before="40"/>
        <w:ind w:left="426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tiskové sestavy v tiskovém formátu PDF s výchozími daty a celkovými výsledky rozúčtování jednotlivých nákladů zúčtovací jednotky pro potřeby archivace. Jedná se o tyto tiskové sestavy: </w:t>
      </w:r>
    </w:p>
    <w:p w14:paraId="408DB30D" w14:textId="77777777" w:rsidR="009A04DC" w:rsidRPr="004F3F3E" w:rsidRDefault="009A04DC" w:rsidP="009A04DC">
      <w:pPr>
        <w:pStyle w:val="Default"/>
        <w:numPr>
          <w:ilvl w:val="1"/>
          <w:numId w:val="7"/>
        </w:numPr>
        <w:spacing w:before="80"/>
        <w:ind w:left="993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S1 - sestava celkových nákladů (náklady, spotřeby, jednotkové ceny…)</w:t>
      </w:r>
    </w:p>
    <w:p w14:paraId="171AD391" w14:textId="77777777" w:rsidR="009A04DC" w:rsidRPr="004F3F3E" w:rsidRDefault="009A04DC" w:rsidP="009A04DC">
      <w:pPr>
        <w:pStyle w:val="Default"/>
        <w:numPr>
          <w:ilvl w:val="1"/>
          <w:numId w:val="7"/>
        </w:numPr>
        <w:spacing w:before="40"/>
        <w:ind w:left="993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S2 - sestava celkových nákladů po uživatelích (náklady, zálohy, rozdíly…)</w:t>
      </w:r>
    </w:p>
    <w:p w14:paraId="7B3323FC" w14:textId="6B054046" w:rsidR="009A04DC" w:rsidRPr="004F3F3E" w:rsidRDefault="009A04DC" w:rsidP="009A04DC">
      <w:pPr>
        <w:pStyle w:val="Default"/>
        <w:numPr>
          <w:ilvl w:val="1"/>
          <w:numId w:val="7"/>
        </w:numPr>
        <w:spacing w:before="40"/>
        <w:ind w:left="993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S5 - sestava </w:t>
      </w:r>
      <w:r w:rsidR="00CF0021" w:rsidRPr="004F3F3E">
        <w:rPr>
          <w:rFonts w:ascii="Segoe UI" w:hAnsi="Segoe UI" w:cs="Segoe UI"/>
          <w:bCs/>
          <w:color w:val="auto"/>
          <w:sz w:val="20"/>
          <w:szCs w:val="20"/>
        </w:rPr>
        <w:t>nebytových prostor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(uživatelé, plochy, osoby…)</w:t>
      </w:r>
    </w:p>
    <w:p w14:paraId="73F8713B" w14:textId="77777777" w:rsidR="009A04DC" w:rsidRPr="004F3F3E" w:rsidRDefault="009A04DC" w:rsidP="009A04DC">
      <w:pPr>
        <w:pStyle w:val="Default"/>
        <w:numPr>
          <w:ilvl w:val="1"/>
          <w:numId w:val="7"/>
        </w:numPr>
        <w:spacing w:before="40"/>
        <w:ind w:left="993" w:hanging="284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S8 - sestava vstupních nákladů (fakturováno, rozúčtováno, výsledná bilance)</w:t>
      </w:r>
    </w:p>
    <w:p w14:paraId="1D1CD9D9" w14:textId="36C623BE" w:rsidR="009A04DC" w:rsidRPr="004F3F3E" w:rsidRDefault="009A04DC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Všechny výše uvedené exportní soubory a tiskové sestavy jsou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ov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i předávány v elektronické formě a to buďto zasláním elektronickou poštou na určenou adresu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, nebo zpřístupněním souborů pro jejich zkopírování („stažení“)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em přímo ze systému.</w:t>
      </w:r>
    </w:p>
    <w:p w14:paraId="76DE2595" w14:textId="77777777" w:rsidR="009A04DC" w:rsidRPr="004F3F3E" w:rsidRDefault="009A04DC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V průběhu smluvního období mohou být v rámci rozvoje systému nebo z důvodů změny legislativních požadavků provedeny ve výše uvedených sestavách dílčí změny, případně mohou být doplněny další sestavy.</w:t>
      </w:r>
    </w:p>
    <w:p w14:paraId="4354B778" w14:textId="02B93A07" w:rsidR="009A04DC" w:rsidRPr="004F3F3E" w:rsidRDefault="009A04DC" w:rsidP="00557093">
      <w:pPr>
        <w:pStyle w:val="Default"/>
        <w:spacing w:before="80"/>
        <w:jc w:val="both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Nástroje pro vkládání všech potřebných dat a vytvoření výše uvedených podkladů pro rozúčtování nákladů lze zpřístupnit pověřené osobě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tak, aby všechny úkony potřebné pro vytvoření rozúčtování mohla provádět dostatečně kvalifikovaná osoba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, a to</w:t>
      </w:r>
      <w:bookmarkStart w:id="2" w:name="_GoBack"/>
      <w:bookmarkEnd w:id="2"/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kdykoli a za jakékoli období (kupříkladu za libovolný kalendářní měsíc). Za dostatečně kvalifikovanou osobu se považuje osoba seznámená s platnou legislativou a vyškolená k obsluze systému CEM. Zpřístupněním nástrojů pro konfiguraci nákladů a vytváření rozúčtování pověřené osobě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je splněna povinnost 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P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oskytovat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ele zajistit pro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 jedenkrát ročně rozúčtování nákladů a veškerá zodpovědnost za správnost, včasnost a kvalitu vyúčtování přechází automaticky na </w:t>
      </w:r>
      <w:r w:rsidR="00C81E70" w:rsidRPr="004F3F3E">
        <w:rPr>
          <w:rFonts w:ascii="Segoe UI" w:hAnsi="Segoe UI" w:cs="Segoe UI"/>
          <w:bCs/>
          <w:color w:val="auto"/>
          <w:sz w:val="20"/>
          <w:szCs w:val="20"/>
        </w:rPr>
        <w:t>Zákazník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a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 xml:space="preserve">.  </w:t>
      </w:r>
    </w:p>
    <w:p w14:paraId="240F57A1" w14:textId="128E652B" w:rsidR="009A04DC" w:rsidRPr="004F3F3E" w:rsidRDefault="009A04DC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  <w:r w:rsidRPr="004F3F3E">
        <w:rPr>
          <w:rFonts w:ascii="Segoe UI" w:hAnsi="Segoe UI" w:cs="Segoe UI"/>
          <w:bCs/>
          <w:color w:val="auto"/>
          <w:sz w:val="20"/>
          <w:szCs w:val="20"/>
        </w:rPr>
        <w:t>Principy měření spotřeby vody, tepla a jiných energií a médií v domech nebo nebytových objektech pomocí systému CEM i systémem používané algoritmy rozpočítání nákladů na tyto energie a média jsou podrobně popsány v „Technických podmínkách poskytování služeb monitorování spotřeby vody a energií“ které jsou přílohou „</w:t>
      </w:r>
      <w:r w:rsidR="00912700" w:rsidRPr="004F3F3E">
        <w:rPr>
          <w:rFonts w:ascii="Segoe UI" w:hAnsi="Segoe UI" w:cs="Segoe UI"/>
          <w:bCs/>
          <w:color w:val="auto"/>
          <w:sz w:val="20"/>
          <w:szCs w:val="20"/>
        </w:rPr>
        <w:t>Všeobecných podmínek pro dodávky zařízení a poskytování služeb</w:t>
      </w:r>
      <w:r w:rsidRPr="004F3F3E">
        <w:rPr>
          <w:rFonts w:ascii="Segoe UI" w:hAnsi="Segoe UI" w:cs="Segoe UI"/>
          <w:bCs/>
          <w:color w:val="auto"/>
          <w:sz w:val="20"/>
          <w:szCs w:val="20"/>
        </w:rPr>
        <w:t>“.</w:t>
      </w:r>
    </w:p>
    <w:p w14:paraId="2B90B426" w14:textId="77777777" w:rsidR="00D04B0E" w:rsidRPr="004F3F3E" w:rsidRDefault="00D04B0E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</w:p>
    <w:p w14:paraId="63DE3A3A" w14:textId="77777777" w:rsidR="00557093" w:rsidRPr="004F3F3E" w:rsidRDefault="00557093" w:rsidP="00557093">
      <w:pPr>
        <w:pStyle w:val="Default"/>
        <w:spacing w:before="80"/>
        <w:jc w:val="both"/>
        <w:rPr>
          <w:rFonts w:ascii="Segoe UI" w:hAnsi="Segoe UI" w:cs="Segoe UI"/>
          <w:bCs/>
          <w:color w:val="auto"/>
          <w:sz w:val="20"/>
          <w:szCs w:val="20"/>
        </w:rPr>
      </w:pPr>
    </w:p>
    <w:sectPr w:rsidR="00557093" w:rsidRPr="004F3F3E" w:rsidSect="00CF00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7EE"/>
    <w:multiLevelType w:val="hybridMultilevel"/>
    <w:tmpl w:val="307C4A3A"/>
    <w:lvl w:ilvl="0" w:tplc="7C6805E2">
      <w:start w:val="1"/>
      <w:numFmt w:val="decimal"/>
      <w:pStyle w:val="Odstavecseseznamem"/>
      <w:lvlText w:val="1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9D4"/>
    <w:multiLevelType w:val="multilevel"/>
    <w:tmpl w:val="368AB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EA64855"/>
    <w:multiLevelType w:val="hybridMultilevel"/>
    <w:tmpl w:val="C61CD48E"/>
    <w:lvl w:ilvl="0" w:tplc="1EA885B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55259"/>
    <w:multiLevelType w:val="multilevel"/>
    <w:tmpl w:val="F12603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6F51D65"/>
    <w:multiLevelType w:val="multilevel"/>
    <w:tmpl w:val="DB862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B145A2"/>
    <w:multiLevelType w:val="hybridMultilevel"/>
    <w:tmpl w:val="067AEC8C"/>
    <w:lvl w:ilvl="0" w:tplc="246243A6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C57669"/>
    <w:multiLevelType w:val="hybridMultilevel"/>
    <w:tmpl w:val="B512FBC2"/>
    <w:lvl w:ilvl="0" w:tplc="5F245B72">
      <w:start w:val="1"/>
      <w:numFmt w:val="lowerLetter"/>
      <w:lvlText w:val="%1)"/>
      <w:lvlJc w:val="left"/>
      <w:pPr>
        <w:ind w:left="177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1D97212"/>
    <w:multiLevelType w:val="hybridMultilevel"/>
    <w:tmpl w:val="1E564024"/>
    <w:lvl w:ilvl="0" w:tplc="09AAFA7C">
      <w:start w:val="1"/>
      <w:numFmt w:val="lowerLetter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82B59"/>
    <w:multiLevelType w:val="hybridMultilevel"/>
    <w:tmpl w:val="053C2972"/>
    <w:lvl w:ilvl="0" w:tplc="687A8B4C">
      <w:start w:val="1"/>
      <w:numFmt w:val="upperRoman"/>
      <w:pStyle w:val="Nadpis2"/>
      <w:lvlText w:val="%1."/>
      <w:lvlJc w:val="left"/>
      <w:pPr>
        <w:ind w:left="51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C"/>
    <w:rsid w:val="000B7A8E"/>
    <w:rsid w:val="000E242A"/>
    <w:rsid w:val="002859AB"/>
    <w:rsid w:val="003C29DE"/>
    <w:rsid w:val="003E3AE9"/>
    <w:rsid w:val="00431D5F"/>
    <w:rsid w:val="00472BED"/>
    <w:rsid w:val="004F3F3E"/>
    <w:rsid w:val="00557093"/>
    <w:rsid w:val="005859BC"/>
    <w:rsid w:val="00722A5C"/>
    <w:rsid w:val="00756487"/>
    <w:rsid w:val="007F2C92"/>
    <w:rsid w:val="00912700"/>
    <w:rsid w:val="009A04DC"/>
    <w:rsid w:val="009E3473"/>
    <w:rsid w:val="00A808E7"/>
    <w:rsid w:val="00AF57F7"/>
    <w:rsid w:val="00B024DC"/>
    <w:rsid w:val="00C06BB6"/>
    <w:rsid w:val="00C81E70"/>
    <w:rsid w:val="00CD5972"/>
    <w:rsid w:val="00CF0021"/>
    <w:rsid w:val="00D04B0E"/>
    <w:rsid w:val="00D901B8"/>
    <w:rsid w:val="00E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4DC"/>
    <w:pPr>
      <w:suppressAutoHyphens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ar-SA"/>
      <w14:ligatures w14:val="none"/>
    </w:rPr>
  </w:style>
  <w:style w:type="paragraph" w:styleId="Nadpis2">
    <w:name w:val="heading 2"/>
    <w:basedOn w:val="Normln"/>
    <w:next w:val="Normln"/>
    <w:link w:val="Nadpis2Char"/>
    <w:unhideWhenUsed/>
    <w:qFormat/>
    <w:rsid w:val="009A04DC"/>
    <w:pPr>
      <w:keepNext/>
      <w:keepLines/>
      <w:numPr>
        <w:numId w:val="1"/>
      </w:numPr>
      <w:spacing w:before="240"/>
      <w:ind w:left="714" w:hanging="357"/>
      <w:jc w:val="center"/>
      <w:outlineLvl w:val="1"/>
    </w:pPr>
    <w:rPr>
      <w:rFonts w:eastAsiaTheme="majorEastAsia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04DC"/>
    <w:rPr>
      <w:rFonts w:ascii="Verdana" w:eastAsiaTheme="majorEastAsia" w:hAnsi="Verdana" w:cstheme="majorBidi"/>
      <w:b/>
      <w:bCs/>
      <w:kern w:val="0"/>
      <w:szCs w:val="20"/>
      <w:lang w:eastAsia="ar-SA"/>
      <w14:ligatures w14:val="none"/>
    </w:rPr>
  </w:style>
  <w:style w:type="character" w:styleId="Hypertextovodkaz">
    <w:name w:val="Hyperlink"/>
    <w:semiHidden/>
    <w:rsid w:val="009A04D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9A04DC"/>
  </w:style>
  <w:style w:type="character" w:customStyle="1" w:styleId="ZkladntextChar">
    <w:name w:val="Základní text Char"/>
    <w:basedOn w:val="Standardnpsmoodstavce"/>
    <w:link w:val="Zkladntext"/>
    <w:semiHidden/>
    <w:rsid w:val="009A04DC"/>
    <w:rPr>
      <w:rFonts w:ascii="Verdana" w:eastAsia="Times New Roman" w:hAnsi="Verdana" w:cs="Times New Roman"/>
      <w:kern w:val="0"/>
      <w:sz w:val="20"/>
      <w:szCs w:val="20"/>
      <w:lang w:eastAsia="ar-SA"/>
      <w14:ligatures w14:val="none"/>
    </w:rPr>
  </w:style>
  <w:style w:type="paragraph" w:styleId="Zkladntextodsazen">
    <w:name w:val="Body Text Indent"/>
    <w:basedOn w:val="Normln"/>
    <w:link w:val="ZkladntextodsazenChar"/>
    <w:semiHidden/>
    <w:rsid w:val="009A04DC"/>
    <w:pPr>
      <w:tabs>
        <w:tab w:val="left" w:pos="3600"/>
        <w:tab w:val="left" w:pos="4320"/>
        <w:tab w:val="left" w:pos="5760"/>
        <w:tab w:val="left" w:pos="6204"/>
        <w:tab w:val="left" w:pos="6486"/>
        <w:tab w:val="left" w:pos="6996"/>
        <w:tab w:val="left" w:pos="7962"/>
        <w:tab w:val="left" w:pos="9360"/>
        <w:tab w:val="left" w:pos="10080"/>
        <w:tab w:val="left" w:pos="11196"/>
        <w:tab w:val="left" w:pos="12102"/>
        <w:tab w:val="right" w:pos="12498"/>
        <w:tab w:val="left" w:pos="12726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ind w:left="720" w:hanging="72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04DC"/>
    <w:rPr>
      <w:rFonts w:ascii="Verdana" w:eastAsia="Times New Roman" w:hAnsi="Verdana" w:cs="Times New Roman"/>
      <w:kern w:val="0"/>
      <w:sz w:val="24"/>
      <w:szCs w:val="24"/>
      <w:lang w:eastAsia="ar-SA"/>
      <w14:ligatures w14:val="none"/>
    </w:rPr>
  </w:style>
  <w:style w:type="paragraph" w:styleId="Odstavecseseznamem">
    <w:name w:val="List Paragraph"/>
    <w:aliases w:val="Odstavec smlouvy"/>
    <w:basedOn w:val="Normln"/>
    <w:uiPriority w:val="34"/>
    <w:qFormat/>
    <w:rsid w:val="009A04DC"/>
    <w:pPr>
      <w:numPr>
        <w:numId w:val="2"/>
      </w:numPr>
      <w:spacing w:before="120"/>
      <w:jc w:val="both"/>
    </w:pPr>
  </w:style>
  <w:style w:type="paragraph" w:customStyle="1" w:styleId="Default">
    <w:name w:val="Default"/>
    <w:rsid w:val="009A04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cs-CZ"/>
      <w14:ligatures w14:val="none"/>
    </w:rPr>
  </w:style>
  <w:style w:type="paragraph" w:customStyle="1" w:styleId="odstavec">
    <w:name w:val="odstavec"/>
    <w:basedOn w:val="Normln"/>
    <w:uiPriority w:val="99"/>
    <w:rsid w:val="00912700"/>
    <w:pPr>
      <w:widowControl w:val="0"/>
      <w:tabs>
        <w:tab w:val="num" w:pos="1437"/>
      </w:tabs>
      <w:suppressAutoHyphens w:val="0"/>
      <w:spacing w:before="120" w:line="240" w:lineRule="atLeast"/>
      <w:ind w:left="539"/>
      <w:jc w:val="both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4DC"/>
    <w:pPr>
      <w:suppressAutoHyphens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ar-SA"/>
      <w14:ligatures w14:val="none"/>
    </w:rPr>
  </w:style>
  <w:style w:type="paragraph" w:styleId="Nadpis2">
    <w:name w:val="heading 2"/>
    <w:basedOn w:val="Normln"/>
    <w:next w:val="Normln"/>
    <w:link w:val="Nadpis2Char"/>
    <w:unhideWhenUsed/>
    <w:qFormat/>
    <w:rsid w:val="009A04DC"/>
    <w:pPr>
      <w:keepNext/>
      <w:keepLines/>
      <w:numPr>
        <w:numId w:val="1"/>
      </w:numPr>
      <w:spacing w:before="240"/>
      <w:ind w:left="714" w:hanging="357"/>
      <w:jc w:val="center"/>
      <w:outlineLvl w:val="1"/>
    </w:pPr>
    <w:rPr>
      <w:rFonts w:eastAsiaTheme="majorEastAsia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04DC"/>
    <w:rPr>
      <w:rFonts w:ascii="Verdana" w:eastAsiaTheme="majorEastAsia" w:hAnsi="Verdana" w:cstheme="majorBidi"/>
      <w:b/>
      <w:bCs/>
      <w:kern w:val="0"/>
      <w:szCs w:val="20"/>
      <w:lang w:eastAsia="ar-SA"/>
      <w14:ligatures w14:val="none"/>
    </w:rPr>
  </w:style>
  <w:style w:type="character" w:styleId="Hypertextovodkaz">
    <w:name w:val="Hyperlink"/>
    <w:semiHidden/>
    <w:rsid w:val="009A04D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9A04DC"/>
  </w:style>
  <w:style w:type="character" w:customStyle="1" w:styleId="ZkladntextChar">
    <w:name w:val="Základní text Char"/>
    <w:basedOn w:val="Standardnpsmoodstavce"/>
    <w:link w:val="Zkladntext"/>
    <w:semiHidden/>
    <w:rsid w:val="009A04DC"/>
    <w:rPr>
      <w:rFonts w:ascii="Verdana" w:eastAsia="Times New Roman" w:hAnsi="Verdana" w:cs="Times New Roman"/>
      <w:kern w:val="0"/>
      <w:sz w:val="20"/>
      <w:szCs w:val="20"/>
      <w:lang w:eastAsia="ar-SA"/>
      <w14:ligatures w14:val="none"/>
    </w:rPr>
  </w:style>
  <w:style w:type="paragraph" w:styleId="Zkladntextodsazen">
    <w:name w:val="Body Text Indent"/>
    <w:basedOn w:val="Normln"/>
    <w:link w:val="ZkladntextodsazenChar"/>
    <w:semiHidden/>
    <w:rsid w:val="009A04DC"/>
    <w:pPr>
      <w:tabs>
        <w:tab w:val="left" w:pos="3600"/>
        <w:tab w:val="left" w:pos="4320"/>
        <w:tab w:val="left" w:pos="5760"/>
        <w:tab w:val="left" w:pos="6204"/>
        <w:tab w:val="left" w:pos="6486"/>
        <w:tab w:val="left" w:pos="6996"/>
        <w:tab w:val="left" w:pos="7962"/>
        <w:tab w:val="left" w:pos="9360"/>
        <w:tab w:val="left" w:pos="10080"/>
        <w:tab w:val="left" w:pos="11196"/>
        <w:tab w:val="left" w:pos="12102"/>
        <w:tab w:val="right" w:pos="12498"/>
        <w:tab w:val="left" w:pos="12726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ind w:left="720" w:hanging="720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04DC"/>
    <w:rPr>
      <w:rFonts w:ascii="Verdana" w:eastAsia="Times New Roman" w:hAnsi="Verdana" w:cs="Times New Roman"/>
      <w:kern w:val="0"/>
      <w:sz w:val="24"/>
      <w:szCs w:val="24"/>
      <w:lang w:eastAsia="ar-SA"/>
      <w14:ligatures w14:val="none"/>
    </w:rPr>
  </w:style>
  <w:style w:type="paragraph" w:styleId="Odstavecseseznamem">
    <w:name w:val="List Paragraph"/>
    <w:aliases w:val="Odstavec smlouvy"/>
    <w:basedOn w:val="Normln"/>
    <w:uiPriority w:val="34"/>
    <w:qFormat/>
    <w:rsid w:val="009A04DC"/>
    <w:pPr>
      <w:numPr>
        <w:numId w:val="2"/>
      </w:numPr>
      <w:spacing w:before="120"/>
      <w:jc w:val="both"/>
    </w:pPr>
  </w:style>
  <w:style w:type="paragraph" w:customStyle="1" w:styleId="Default">
    <w:name w:val="Default"/>
    <w:rsid w:val="009A04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cs-CZ"/>
      <w14:ligatures w14:val="none"/>
    </w:rPr>
  </w:style>
  <w:style w:type="paragraph" w:customStyle="1" w:styleId="odstavec">
    <w:name w:val="odstavec"/>
    <w:basedOn w:val="Normln"/>
    <w:uiPriority w:val="99"/>
    <w:rsid w:val="00912700"/>
    <w:pPr>
      <w:widowControl w:val="0"/>
      <w:tabs>
        <w:tab w:val="num" w:pos="1437"/>
      </w:tabs>
      <w:suppressAutoHyphens w:val="0"/>
      <w:spacing w:before="120" w:line="240" w:lineRule="atLeast"/>
      <w:ind w:left="539"/>
      <w:jc w:val="both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Vlcek</dc:creator>
  <cp:lastModifiedBy>Lucie Ptáčková</cp:lastModifiedBy>
  <cp:revision>2</cp:revision>
  <dcterms:created xsi:type="dcterms:W3CDTF">2023-12-20T11:31:00Z</dcterms:created>
  <dcterms:modified xsi:type="dcterms:W3CDTF">2023-12-20T11:31:00Z</dcterms:modified>
</cp:coreProperties>
</file>