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F360"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38F683A4" w14:textId="77777777" w:rsidR="00B03E0E" w:rsidRDefault="00B03E0E">
      <w:pPr>
        <w:pStyle w:val="Zkladntext"/>
        <w:jc w:val="center"/>
        <w:rPr>
          <w:rFonts w:ascii="Arial" w:hAnsi="Arial" w:cs="Arial"/>
          <w:sz w:val="22"/>
          <w:szCs w:val="22"/>
        </w:rPr>
      </w:pPr>
    </w:p>
    <w:p w14:paraId="6424F548"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78E2A8AA" w14:textId="77777777" w:rsidR="00B03E0E" w:rsidRDefault="00B03E0E">
      <w:pPr>
        <w:pStyle w:val="Zkladntext"/>
        <w:jc w:val="center"/>
        <w:rPr>
          <w:rFonts w:ascii="Arial" w:hAnsi="Arial" w:cs="Arial"/>
          <w:b/>
          <w:sz w:val="20"/>
        </w:rPr>
      </w:pPr>
    </w:p>
    <w:p w14:paraId="2A6D75F9" w14:textId="77777777" w:rsidR="00B03E0E" w:rsidRDefault="00FD0500">
      <w:pPr>
        <w:pStyle w:val="Zkladntext"/>
        <w:jc w:val="center"/>
        <w:rPr>
          <w:rFonts w:ascii="Arial" w:hAnsi="Arial" w:cs="Arial"/>
          <w:sz w:val="20"/>
        </w:rPr>
      </w:pPr>
      <w:r>
        <w:rPr>
          <w:rFonts w:ascii="Arial" w:hAnsi="Arial" w:cs="Arial"/>
          <w:sz w:val="20"/>
        </w:rPr>
        <w:t>mezi:</w:t>
      </w:r>
    </w:p>
    <w:p w14:paraId="4453A0CE" w14:textId="77777777" w:rsidR="00B03E0E" w:rsidRDefault="00B03E0E">
      <w:pPr>
        <w:pStyle w:val="Zkladntext"/>
        <w:rPr>
          <w:rFonts w:ascii="Arial" w:hAnsi="Arial" w:cs="Arial"/>
          <w:sz w:val="20"/>
        </w:rPr>
      </w:pPr>
    </w:p>
    <w:p w14:paraId="574CE663"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3C2F3EDA"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7B8B17B2"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2218F416"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3258C38A"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12524CEB"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7A5D874B" w14:textId="77777777" w:rsidR="000F317A" w:rsidRDefault="000F317A" w:rsidP="000F317A">
      <w:pPr>
        <w:pStyle w:val="Zkladntext"/>
        <w:spacing w:before="60"/>
        <w:ind w:left="2552"/>
        <w:rPr>
          <w:rFonts w:ascii="Arial" w:hAnsi="Arial" w:cs="Arial"/>
          <w:sz w:val="22"/>
        </w:rPr>
      </w:pPr>
    </w:p>
    <w:p w14:paraId="711C43BA"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645F1D98" w14:textId="77777777" w:rsidR="000F317A" w:rsidRDefault="000F317A" w:rsidP="000F317A">
      <w:pPr>
        <w:pStyle w:val="Zkladntext"/>
        <w:spacing w:before="60"/>
        <w:rPr>
          <w:rFonts w:ascii="Arial" w:hAnsi="Arial" w:cs="Arial"/>
          <w:sz w:val="20"/>
        </w:rPr>
      </w:pPr>
    </w:p>
    <w:p w14:paraId="2FFF4722"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pobočný spolek Občanská poradna Pod křídly</w:t>
      </w:r>
    </w:p>
    <w:p w14:paraId="6F58A0F1"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Nábřeží 268, 757 01 Valašské Meziříčí 1</w:t>
      </w:r>
    </w:p>
    <w:p w14:paraId="3623233B"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03225828</w:t>
      </w:r>
    </w:p>
    <w:p w14:paraId="7D0B54A3"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Pobočný spolek</w:t>
      </w:r>
    </w:p>
    <w:p w14:paraId="36BAF8F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Mgr. Tereza Ševčíková, předsedkyně pobočného spolku</w:t>
      </w:r>
    </w:p>
    <w:p w14:paraId="3DEEBA7B"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3811191369/0800, Česká spořitelna, a.s.</w:t>
      </w:r>
    </w:p>
    <w:p w14:paraId="0A74DFD9" w14:textId="77777777" w:rsidR="000F317A" w:rsidRDefault="000F317A" w:rsidP="000F317A">
      <w:pPr>
        <w:pStyle w:val="Zkladntext"/>
        <w:ind w:left="2127"/>
        <w:rPr>
          <w:rFonts w:ascii="Arial" w:hAnsi="Arial" w:cs="Arial"/>
          <w:sz w:val="20"/>
        </w:rPr>
      </w:pPr>
      <w:r>
        <w:rPr>
          <w:rFonts w:ascii="Arial" w:hAnsi="Arial" w:cs="Arial"/>
          <w:sz w:val="20"/>
        </w:rPr>
        <w:t>zapsaný u Krajského soudu v Ostravě, oddíl L, vložka 13735</w:t>
      </w:r>
    </w:p>
    <w:p w14:paraId="40BC2F2B"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0E6A6C53" w14:textId="77777777" w:rsidR="00B03E0E" w:rsidRDefault="00B03E0E">
      <w:pPr>
        <w:spacing w:before="60"/>
        <w:ind w:left="2552" w:hanging="2552"/>
        <w:jc w:val="both"/>
        <w:rPr>
          <w:rFonts w:ascii="Arial" w:hAnsi="Arial" w:cs="Arial"/>
          <w:sz w:val="20"/>
          <w:szCs w:val="20"/>
        </w:rPr>
      </w:pPr>
    </w:p>
    <w:p w14:paraId="23CA6E9E" w14:textId="77777777" w:rsidR="00B03E0E" w:rsidRDefault="00B03E0E">
      <w:pPr>
        <w:spacing w:before="60"/>
        <w:ind w:left="2552" w:hanging="2552"/>
        <w:jc w:val="both"/>
        <w:rPr>
          <w:rFonts w:ascii="Arial" w:hAnsi="Arial" w:cs="Arial"/>
          <w:sz w:val="20"/>
          <w:szCs w:val="20"/>
        </w:rPr>
      </w:pPr>
    </w:p>
    <w:p w14:paraId="28025B4C" w14:textId="77777777" w:rsidR="00B03E0E" w:rsidRDefault="00B03E0E">
      <w:pPr>
        <w:jc w:val="center"/>
        <w:rPr>
          <w:rFonts w:ascii="Arial" w:hAnsi="Arial" w:cs="Arial"/>
          <w:b/>
          <w:sz w:val="20"/>
          <w:szCs w:val="20"/>
        </w:rPr>
      </w:pPr>
    </w:p>
    <w:p w14:paraId="7D75396A" w14:textId="77777777" w:rsidR="00B03E0E" w:rsidRDefault="00FD0500">
      <w:pPr>
        <w:jc w:val="center"/>
        <w:rPr>
          <w:rFonts w:ascii="Arial" w:hAnsi="Arial" w:cs="Arial"/>
          <w:b/>
          <w:sz w:val="20"/>
          <w:szCs w:val="20"/>
        </w:rPr>
      </w:pPr>
      <w:r>
        <w:rPr>
          <w:rFonts w:ascii="Arial" w:hAnsi="Arial" w:cs="Arial"/>
          <w:b/>
          <w:sz w:val="20"/>
          <w:szCs w:val="20"/>
        </w:rPr>
        <w:t>I.</w:t>
      </w:r>
    </w:p>
    <w:p w14:paraId="15288A4D"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4F4E69F0"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252 000,00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dvě stě padesát dva tisíce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0E42FE59"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3B244DDC" w14:textId="77777777" w:rsidR="00B03E0E" w:rsidRDefault="00B03E0E">
      <w:pPr>
        <w:spacing w:before="120" w:after="120"/>
        <w:ind w:left="425" w:hanging="425"/>
        <w:jc w:val="center"/>
        <w:rPr>
          <w:rFonts w:ascii="Arial" w:hAnsi="Arial" w:cs="Arial"/>
          <w:b/>
          <w:sz w:val="20"/>
          <w:szCs w:val="20"/>
        </w:rPr>
      </w:pPr>
    </w:p>
    <w:p w14:paraId="7ACBCD3B"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778D483E"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02195D73"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2222C00C"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2A2E59D7"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4F39508A"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64D3AA41"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27375D93"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120DA1B4"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30012CF1"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3825D605"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1E9047B3"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201B5540"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53A24D11"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147376B2"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2C9D4542"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2876D077"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712836C0"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2EC95591"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7CE47237" w14:textId="77777777" w:rsidR="00273776" w:rsidRDefault="00273776">
      <w:pPr>
        <w:spacing w:line="276" w:lineRule="auto"/>
        <w:contextualSpacing/>
        <w:jc w:val="both"/>
        <w:rPr>
          <w:rFonts w:ascii="Arial" w:hAnsi="Arial" w:cs="Arial"/>
          <w:color w:val="000000" w:themeColor="text1"/>
          <w:sz w:val="20"/>
          <w:szCs w:val="20"/>
        </w:rPr>
      </w:pPr>
    </w:p>
    <w:p w14:paraId="62FEA050"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5D591279"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3D269E0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0D882B03"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3BE6D0B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20E26A1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290C5A6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59F60DA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4F764B0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082A494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594AFA6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2C75C6D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3D5A1C7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4503E75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41CDC439"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0DEDA89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716928DA"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6A513365"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482DA1CD"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19A515D5"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6D43567B"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4B599F2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483C49C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4BE8301D"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258A9EEE"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51FFD47F"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5E87E347"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1E26FE26"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58F0CC19"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28D2C22F" w14:textId="77777777" w:rsidR="00B03E0E" w:rsidRDefault="00B03E0E">
      <w:pPr>
        <w:tabs>
          <w:tab w:val="left" w:pos="3600"/>
        </w:tabs>
        <w:spacing w:line="276" w:lineRule="auto"/>
        <w:ind w:left="357"/>
        <w:jc w:val="both"/>
        <w:rPr>
          <w:rFonts w:ascii="Arial" w:hAnsi="Arial" w:cs="Arial"/>
          <w:sz w:val="20"/>
          <w:szCs w:val="20"/>
        </w:rPr>
      </w:pPr>
    </w:p>
    <w:p w14:paraId="38705C84" w14:textId="77777777" w:rsidR="005C6DF1" w:rsidRDefault="005C6DF1">
      <w:pPr>
        <w:tabs>
          <w:tab w:val="left" w:pos="3600"/>
        </w:tabs>
        <w:spacing w:line="276" w:lineRule="auto"/>
        <w:ind w:left="357"/>
        <w:jc w:val="both"/>
        <w:rPr>
          <w:rFonts w:ascii="Arial" w:hAnsi="Arial" w:cs="Arial"/>
          <w:sz w:val="20"/>
          <w:szCs w:val="20"/>
        </w:rPr>
      </w:pPr>
    </w:p>
    <w:p w14:paraId="499A0CD1"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35EA981A"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03D9DFB0"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586705EE"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035B4EA3"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60E4682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357C8F1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06892C1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576C0DB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6757369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17D71F0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32CDD19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1CED7DD9"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5E019CF6"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7EEF6CDE"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4230893E"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5B0DEE75"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4081DDAA"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121907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0FAFC035"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646D73B7"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55FD11BD"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689E6CD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20C1F3CF"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4BB30A2A"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2E99CF6A"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5DB6ED6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DBE3E5E"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166B6D99"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32584B11"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0044A5C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64981AD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3A4A33EC"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4BB6C517"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3DB3F3D3"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3B9DB1C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2BBA0E1D"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1BBC3AD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1F2913F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05EF620B"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4B90F0C6"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1271BF4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30C427D1"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70383DA9"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38A27A33"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4C36CF78"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DC1F95F"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58895FE"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23EEFB14"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222304E3"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347F2B0B"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0DA30FC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43A1036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130C9CE1"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65EB0D06"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055F7C3F"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3B2E20EE"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73B20C18"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086F96C"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51B4BB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2334C77C"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AD59A4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F8C01B7"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92A893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5FDFFF77"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2F58604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6C7375A3"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474DE3C"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27E6C8E" w14:textId="77777777" w:rsidR="00B03E0E" w:rsidRDefault="00B03E0E">
      <w:pPr>
        <w:pStyle w:val="odrkyChar"/>
        <w:tabs>
          <w:tab w:val="left" w:pos="8928"/>
        </w:tabs>
        <w:spacing w:before="0" w:after="0"/>
        <w:jc w:val="left"/>
        <w:rPr>
          <w:sz w:val="20"/>
          <w:szCs w:val="20"/>
        </w:rPr>
      </w:pPr>
    </w:p>
    <w:p w14:paraId="37174560"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12CD39C9" w14:textId="77777777" w:rsidR="000F317A" w:rsidRDefault="000F317A" w:rsidP="000F317A">
      <w:pPr>
        <w:pStyle w:val="odrkyChar"/>
        <w:tabs>
          <w:tab w:val="left" w:pos="8928"/>
        </w:tabs>
        <w:spacing w:beforeLines="60" w:before="144" w:after="0"/>
        <w:ind w:left="360" w:hanging="360"/>
        <w:jc w:val="left"/>
        <w:rPr>
          <w:sz w:val="20"/>
          <w:szCs w:val="20"/>
        </w:rPr>
      </w:pPr>
    </w:p>
    <w:p w14:paraId="662E998D" w14:textId="77777777" w:rsidR="000F317A" w:rsidRDefault="000F317A" w:rsidP="000F317A">
      <w:pPr>
        <w:pStyle w:val="odrkyChar"/>
        <w:tabs>
          <w:tab w:val="left" w:pos="8928"/>
        </w:tabs>
        <w:spacing w:beforeLines="60" w:before="144" w:after="0"/>
        <w:ind w:left="360" w:hanging="360"/>
        <w:jc w:val="left"/>
        <w:rPr>
          <w:sz w:val="20"/>
          <w:szCs w:val="20"/>
        </w:rPr>
      </w:pPr>
    </w:p>
    <w:p w14:paraId="24C5A5A5" w14:textId="77777777" w:rsidR="00DD4A45" w:rsidRDefault="00DD4A45" w:rsidP="000F317A">
      <w:pPr>
        <w:pStyle w:val="odrkyChar"/>
        <w:tabs>
          <w:tab w:val="left" w:pos="8928"/>
        </w:tabs>
        <w:spacing w:beforeLines="60" w:before="144" w:after="0"/>
        <w:ind w:left="360" w:hanging="360"/>
        <w:jc w:val="left"/>
        <w:rPr>
          <w:sz w:val="20"/>
          <w:szCs w:val="20"/>
        </w:rPr>
      </w:pPr>
    </w:p>
    <w:p w14:paraId="4D70623D" w14:textId="77777777" w:rsidR="00DD4A45" w:rsidRDefault="00DD4A45" w:rsidP="000F317A">
      <w:pPr>
        <w:pStyle w:val="odrkyChar"/>
        <w:tabs>
          <w:tab w:val="left" w:pos="8928"/>
        </w:tabs>
        <w:spacing w:beforeLines="60" w:before="144" w:after="0"/>
        <w:ind w:left="360" w:hanging="360"/>
        <w:jc w:val="left"/>
        <w:rPr>
          <w:sz w:val="20"/>
          <w:szCs w:val="20"/>
        </w:rPr>
      </w:pPr>
    </w:p>
    <w:p w14:paraId="6B7599F2"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199FC650" w14:textId="77777777" w:rsidR="000F317A" w:rsidRDefault="000F317A" w:rsidP="000F317A">
      <w:pPr>
        <w:spacing w:after="120" w:line="276" w:lineRule="auto"/>
        <w:ind w:left="5103" w:hanging="5103"/>
        <w:rPr>
          <w:rFonts w:ascii="Arial" w:hAnsi="Arial" w:cs="Arial"/>
          <w:color w:val="FF0000"/>
          <w:sz w:val="20"/>
          <w:szCs w:val="20"/>
        </w:rPr>
      </w:pPr>
    </w:p>
    <w:p w14:paraId="2187A609"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6BF958DF"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Tereza Ševčíková</w:t>
      </w:r>
    </w:p>
    <w:p w14:paraId="57D3464A"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předsedkyně pobočného spolku</w:t>
      </w:r>
    </w:p>
    <w:p w14:paraId="5F3C78A5"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2DED4422" w14:textId="77777777" w:rsidR="00EC1FB5" w:rsidRDefault="00EC1FB5" w:rsidP="00EC1FB5">
      <w:pPr>
        <w:pStyle w:val="odrkyChar"/>
        <w:tabs>
          <w:tab w:val="left" w:pos="8928"/>
        </w:tabs>
        <w:spacing w:beforeLines="60" w:before="144" w:after="0"/>
        <w:jc w:val="left"/>
        <w:rPr>
          <w:sz w:val="20"/>
          <w:szCs w:val="20"/>
        </w:rPr>
      </w:pPr>
    </w:p>
    <w:p w14:paraId="025B9F4D" w14:textId="77777777" w:rsidR="00EC1FB5" w:rsidRDefault="00EC1FB5" w:rsidP="00EC1FB5">
      <w:pPr>
        <w:pStyle w:val="odrkyChar"/>
        <w:tabs>
          <w:tab w:val="left" w:pos="8928"/>
        </w:tabs>
        <w:spacing w:beforeLines="60" w:before="144" w:after="0"/>
        <w:jc w:val="left"/>
        <w:rPr>
          <w:sz w:val="20"/>
          <w:szCs w:val="20"/>
        </w:rPr>
      </w:pPr>
    </w:p>
    <w:p w14:paraId="0FFB0360"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2BBD2869" w14:textId="77777777" w:rsidR="00B03E0E" w:rsidRDefault="00B03E0E">
      <w:pPr>
        <w:tabs>
          <w:tab w:val="left" w:pos="3600"/>
        </w:tabs>
        <w:ind w:left="357"/>
        <w:jc w:val="both"/>
        <w:rPr>
          <w:rFonts w:ascii="Arial" w:hAnsi="Arial" w:cs="Arial"/>
        </w:rPr>
      </w:pPr>
    </w:p>
    <w:p w14:paraId="12C406E9" w14:textId="77777777" w:rsidR="00B03E0E" w:rsidRDefault="00B03E0E">
      <w:pPr>
        <w:tabs>
          <w:tab w:val="left" w:pos="3600"/>
        </w:tabs>
        <w:ind w:left="357"/>
        <w:jc w:val="both"/>
        <w:rPr>
          <w:rFonts w:ascii="Arial" w:hAnsi="Arial" w:cs="Arial"/>
        </w:rPr>
      </w:pPr>
    </w:p>
    <w:p w14:paraId="0549C60E" w14:textId="77777777" w:rsidR="00B03E0E" w:rsidRDefault="00B03E0E">
      <w:pPr>
        <w:tabs>
          <w:tab w:val="left" w:pos="3600"/>
        </w:tabs>
        <w:ind w:left="357"/>
        <w:jc w:val="both"/>
        <w:rPr>
          <w:rFonts w:ascii="Arial" w:hAnsi="Arial" w:cs="Arial"/>
        </w:rPr>
      </w:pPr>
    </w:p>
    <w:p w14:paraId="7A3FBD68" w14:textId="77777777" w:rsidR="00B03E0E" w:rsidRDefault="00B03E0E">
      <w:pPr>
        <w:tabs>
          <w:tab w:val="left" w:pos="3600"/>
        </w:tabs>
        <w:ind w:left="357"/>
        <w:jc w:val="both"/>
        <w:rPr>
          <w:rFonts w:ascii="Arial" w:hAnsi="Arial" w:cs="Arial"/>
        </w:rPr>
      </w:pPr>
    </w:p>
    <w:p w14:paraId="7A523311"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3E7E0FC8"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05304832" w14:textId="77777777" w:rsidR="00B03E0E" w:rsidRDefault="00B03E0E">
      <w:pPr>
        <w:jc w:val="both"/>
        <w:rPr>
          <w:rFonts w:ascii="Arial" w:hAnsi="Arial" w:cs="Arial"/>
          <w:sz w:val="20"/>
          <w:szCs w:val="20"/>
        </w:rPr>
      </w:pPr>
    </w:p>
    <w:p w14:paraId="284E6628"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pobočný spolek Občanská poradna Pod křídly</w:t>
      </w:r>
    </w:p>
    <w:p w14:paraId="62B1C4A7"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Nábřeží 268, 757 01 Valašské Meziříčí 1</w:t>
      </w:r>
    </w:p>
    <w:p w14:paraId="58D21661"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03225828</w:t>
      </w:r>
    </w:p>
    <w:p w14:paraId="0EB16DAB"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96"/>
        <w:gridCol w:w="1408"/>
        <w:gridCol w:w="1462"/>
        <w:gridCol w:w="1340"/>
        <w:gridCol w:w="2669"/>
        <w:gridCol w:w="2336"/>
        <w:gridCol w:w="1504"/>
        <w:gridCol w:w="1468"/>
        <w:gridCol w:w="929"/>
        <w:gridCol w:w="1514"/>
      </w:tblGrid>
      <w:tr w:rsidR="00AA13E3" w14:paraId="1C963449"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47C8F836" w14:textId="77777777" w:rsidR="00AA13E3" w:rsidRDefault="006B7B09">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03E70736" w14:textId="77777777" w:rsidR="00AA13E3" w:rsidRDefault="006B7B09">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10C630E" w14:textId="77777777" w:rsidR="00AA13E3" w:rsidRDefault="006B7B09">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340F204" w14:textId="77777777" w:rsidR="00AA13E3" w:rsidRDefault="006B7B09">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4D916CCD" w14:textId="77777777" w:rsidR="00AA13E3" w:rsidRDefault="006B7B09">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5F07DD25" w14:textId="77777777" w:rsidR="00AA13E3" w:rsidRDefault="006B7B09">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4BBBCB21" w14:textId="77777777" w:rsidR="00AA13E3" w:rsidRDefault="006B7B09">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7E6C8009" w14:textId="77777777" w:rsidR="00AA13E3" w:rsidRDefault="006B7B09">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378CB50" w14:textId="77777777" w:rsidR="00AA13E3" w:rsidRDefault="006B7B09">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6C1C8138" w14:textId="77777777" w:rsidR="00AA13E3" w:rsidRDefault="006B7B09">
            <w:pPr>
              <w:jc w:val="center"/>
            </w:pPr>
            <w:r>
              <w:rPr>
                <w:rFonts w:ascii="Arial" w:hAnsi="Arial" w:cs="Arial"/>
                <w:b/>
                <w:sz w:val="16"/>
              </w:rPr>
              <w:t>Návratná finanční výpomoc v Kč</w:t>
            </w:r>
          </w:p>
        </w:tc>
      </w:tr>
      <w:tr w:rsidR="00AA13E3" w14:paraId="20EA6C59" w14:textId="77777777">
        <w:trPr>
          <w:cantSplit/>
        </w:trPr>
        <w:tc>
          <w:tcPr>
            <w:tcW w:w="0" w:type="auto"/>
            <w:tcBorders>
              <w:top w:val="single" w:sz="4" w:space="0" w:color="auto"/>
              <w:bottom w:val="single" w:sz="4" w:space="0" w:color="auto"/>
              <w:right w:val="single" w:sz="4" w:space="0" w:color="auto"/>
            </w:tcBorders>
            <w:vAlign w:val="center"/>
          </w:tcPr>
          <w:p w14:paraId="4960A092" w14:textId="77777777" w:rsidR="00AA13E3" w:rsidRDefault="006B7B09">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1AFCE8E4" w14:textId="77777777" w:rsidR="00AA13E3" w:rsidRDefault="006B7B09">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737F4339" w14:textId="77777777" w:rsidR="00AA13E3" w:rsidRDefault="006B7B09">
            <w:r>
              <w:rPr>
                <w:rFonts w:ascii="Arial" w:hAnsi="Arial" w:cs="Arial"/>
                <w:sz w:val="16"/>
              </w:rPr>
              <w:t>9152098</w:t>
            </w:r>
          </w:p>
        </w:tc>
        <w:tc>
          <w:tcPr>
            <w:tcW w:w="0" w:type="auto"/>
            <w:tcBorders>
              <w:top w:val="single" w:sz="4" w:space="0" w:color="auto"/>
              <w:bottom w:val="single" w:sz="4" w:space="0" w:color="auto"/>
              <w:right w:val="single" w:sz="4" w:space="0" w:color="auto"/>
            </w:tcBorders>
            <w:vAlign w:val="center"/>
          </w:tcPr>
          <w:p w14:paraId="7442DE16" w14:textId="77777777" w:rsidR="00AA13E3" w:rsidRDefault="006B7B09">
            <w:r>
              <w:rPr>
                <w:rFonts w:ascii="Arial" w:hAnsi="Arial" w:cs="Arial"/>
                <w:sz w:val="16"/>
              </w:rPr>
              <w:t>Občanská poradna Pod křídly</w:t>
            </w:r>
          </w:p>
        </w:tc>
        <w:tc>
          <w:tcPr>
            <w:tcW w:w="0" w:type="auto"/>
            <w:tcBorders>
              <w:top w:val="single" w:sz="4" w:space="0" w:color="auto"/>
              <w:bottom w:val="single" w:sz="4" w:space="0" w:color="auto"/>
              <w:right w:val="single" w:sz="4" w:space="0" w:color="auto"/>
            </w:tcBorders>
            <w:vAlign w:val="center"/>
          </w:tcPr>
          <w:p w14:paraId="444EDFE9" w14:textId="77777777" w:rsidR="00AA13E3" w:rsidRDefault="006B7B09">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20F0D978" w14:textId="77777777" w:rsidR="00AA13E3" w:rsidRDefault="006B7B09">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52D392AE" w14:textId="77777777" w:rsidR="00AA13E3" w:rsidRDefault="006B7B09">
            <w:r>
              <w:rPr>
                <w:rFonts w:ascii="Arial" w:hAnsi="Arial" w:cs="Arial"/>
                <w:sz w:val="16"/>
              </w:rPr>
              <w:t xml:space="preserve">Valašské </w:t>
            </w:r>
            <w:r>
              <w:rPr>
                <w:rFonts w:ascii="Arial" w:hAnsi="Arial" w:cs="Arial"/>
                <w:sz w:val="16"/>
              </w:rPr>
              <w:t>Meziříčí</w:t>
            </w:r>
          </w:p>
        </w:tc>
        <w:tc>
          <w:tcPr>
            <w:tcW w:w="0" w:type="auto"/>
            <w:tcBorders>
              <w:top w:val="single" w:sz="4" w:space="0" w:color="auto"/>
              <w:bottom w:val="single" w:sz="4" w:space="0" w:color="auto"/>
              <w:right w:val="single" w:sz="4" w:space="0" w:color="auto"/>
            </w:tcBorders>
            <w:vAlign w:val="center"/>
          </w:tcPr>
          <w:p w14:paraId="19AEFEFF" w14:textId="77777777" w:rsidR="00AA13E3" w:rsidRDefault="006B7B09">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697931AF" w14:textId="77777777" w:rsidR="00AA13E3" w:rsidRDefault="006B7B09">
            <w:r>
              <w:rPr>
                <w:rFonts w:ascii="Arial" w:hAnsi="Arial" w:cs="Arial"/>
                <w:sz w:val="16"/>
              </w:rPr>
              <w:t>1,50</w:t>
            </w:r>
          </w:p>
        </w:tc>
        <w:tc>
          <w:tcPr>
            <w:tcW w:w="0" w:type="auto"/>
            <w:tcBorders>
              <w:top w:val="single" w:sz="4" w:space="0" w:color="auto"/>
              <w:bottom w:val="single" w:sz="4" w:space="0" w:color="auto"/>
              <w:right w:val="single" w:sz="4" w:space="0" w:color="auto"/>
            </w:tcBorders>
            <w:vAlign w:val="center"/>
          </w:tcPr>
          <w:p w14:paraId="6973F77D" w14:textId="77777777" w:rsidR="00AA13E3" w:rsidRDefault="006B7B09">
            <w:pPr>
              <w:jc w:val="right"/>
            </w:pPr>
            <w:r>
              <w:rPr>
                <w:rFonts w:ascii="Arial" w:hAnsi="Arial" w:cs="Arial"/>
                <w:sz w:val="16"/>
              </w:rPr>
              <w:t>252 000,00</w:t>
            </w:r>
          </w:p>
        </w:tc>
      </w:tr>
    </w:tbl>
    <w:p w14:paraId="5C4B686C" w14:textId="77777777" w:rsidR="000F317A" w:rsidRDefault="000F317A" w:rsidP="000F317A">
      <w:pPr>
        <w:rPr>
          <w:rFonts w:ascii="Arial" w:hAnsi="Arial" w:cs="Arial"/>
          <w:i/>
          <w:color w:val="000000" w:themeColor="text1"/>
          <w:sz w:val="16"/>
          <w:szCs w:val="16"/>
        </w:rPr>
      </w:pPr>
    </w:p>
    <w:p w14:paraId="53F1EC1F" w14:textId="77777777" w:rsidR="000F317A" w:rsidRDefault="000F317A" w:rsidP="000F317A">
      <w:pPr>
        <w:rPr>
          <w:i/>
          <w:sz w:val="16"/>
          <w:szCs w:val="16"/>
        </w:rPr>
      </w:pPr>
    </w:p>
    <w:p w14:paraId="02FC48E4" w14:textId="77777777" w:rsidR="000F317A" w:rsidRDefault="000F317A" w:rsidP="000F317A">
      <w:pPr>
        <w:jc w:val="both"/>
        <w:rPr>
          <w:rFonts w:ascii="Arial" w:hAnsi="Arial" w:cs="Arial"/>
          <w:sz w:val="20"/>
          <w:szCs w:val="20"/>
        </w:rPr>
      </w:pPr>
    </w:p>
    <w:p w14:paraId="23850E53"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252 000,00</w:t>
      </w:r>
    </w:p>
    <w:p w14:paraId="4283422C" w14:textId="77777777" w:rsidR="00B03E0E" w:rsidRDefault="00B03E0E">
      <w:pPr>
        <w:jc w:val="both"/>
        <w:rPr>
          <w:rFonts w:ascii="Arial" w:hAnsi="Arial" w:cs="Arial"/>
          <w:i/>
          <w:sz w:val="20"/>
          <w:szCs w:val="20"/>
          <w:u w:val="single"/>
        </w:rPr>
      </w:pPr>
    </w:p>
    <w:p w14:paraId="408E6F6C"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3355491E" w14:textId="77777777" w:rsidR="00B03E0E" w:rsidRDefault="00B03E0E">
      <w:pPr>
        <w:jc w:val="both"/>
        <w:rPr>
          <w:rFonts w:ascii="Arial" w:hAnsi="Arial" w:cs="Arial"/>
          <w:sz w:val="20"/>
          <w:szCs w:val="20"/>
        </w:rPr>
      </w:pPr>
    </w:p>
    <w:p w14:paraId="69E2D74B"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3E6A3874"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0C049CAD"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7DAD" w14:textId="77777777" w:rsidR="009C2CE4" w:rsidRDefault="009C2CE4">
      <w:r>
        <w:separator/>
      </w:r>
    </w:p>
  </w:endnote>
  <w:endnote w:type="continuationSeparator" w:id="0">
    <w:p w14:paraId="3B259DB3"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1277"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5035BC4"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E921"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0862"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E8BB"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0743" w14:textId="77777777" w:rsidR="009C2CE4" w:rsidRDefault="009C2CE4">
      <w:r>
        <w:separator/>
      </w:r>
    </w:p>
  </w:footnote>
  <w:footnote w:type="continuationSeparator" w:id="0">
    <w:p w14:paraId="4D5CB26B" w14:textId="77777777" w:rsidR="009C2CE4" w:rsidRDefault="009C2CE4">
      <w:r>
        <w:continuationSeparator/>
      </w:r>
    </w:p>
  </w:footnote>
  <w:footnote w:id="1">
    <w:p w14:paraId="4F46DE6E"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E2B4"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4B6CD7CD"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B7B09"/>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AA13E3"/>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01B255"/>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2878</Words>
  <Characters>17024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2024-01-10T08:40:00Z</dcterms:created>
  <dcterms:modified xsi:type="dcterms:W3CDTF">2024-01-10T08:40:00Z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