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7221100466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spacing w:before="0"/>
        <w:jc w:val="left"/>
      </w:pPr>
      <w:r>
        <w:rPr/>
        <w:t>Samohýl</w:t>
      </w:r>
      <w:r>
        <w:rPr>
          <w:spacing w:val="-9"/>
        </w:rPr>
        <w:t> </w:t>
      </w:r>
      <w:r>
        <w:rPr/>
        <w:t>group</w:t>
      </w:r>
      <w:r>
        <w:rPr>
          <w:spacing w:val="-9"/>
        </w:rPr>
        <w:t> </w:t>
      </w:r>
      <w:r>
        <w:rPr>
          <w:spacing w:val="-4"/>
        </w:rPr>
        <w:t>a.s.</w:t>
      </w:r>
    </w:p>
    <w:p>
      <w:pPr>
        <w:pStyle w:val="BodyText"/>
        <w:ind w:left="102"/>
      </w:pPr>
      <w:r>
        <w:rPr/>
        <w:t>obchodní společnost zapsaná v obchodním rejstříku vedeném Krajským soudem v Hradci Králové, oddíl B, vložka 1980</w:t>
      </w:r>
    </w:p>
    <w:p>
      <w:pPr>
        <w:pStyle w:val="BodyText"/>
        <w:tabs>
          <w:tab w:pos="2977" w:val="left" w:leader="none"/>
        </w:tabs>
        <w:spacing w:line="265" w:lineRule="exact"/>
        <w:ind w:left="102"/>
      </w:pPr>
      <w:r>
        <w:rPr/>
        <w:t>se</w:t>
      </w:r>
      <w:r>
        <w:rPr>
          <w:spacing w:val="-5"/>
        </w:rPr>
        <w:t> </w:t>
      </w:r>
      <w:r>
        <w:rPr>
          <w:spacing w:val="-2"/>
        </w:rPr>
        <w:t>sídlem:</w:t>
      </w:r>
      <w:r>
        <w:rPr/>
        <w:tab/>
        <w:t>Smetanova</w:t>
      </w:r>
      <w:r>
        <w:rPr>
          <w:spacing w:val="-6"/>
        </w:rPr>
        <w:t> </w:t>
      </w:r>
      <w:r>
        <w:rPr/>
        <w:t>1058,</w:t>
      </w:r>
      <w:r>
        <w:rPr>
          <w:spacing w:val="-7"/>
        </w:rPr>
        <w:t> </w:t>
      </w:r>
      <w:r>
        <w:rPr/>
        <w:t>512</w:t>
      </w:r>
      <w:r>
        <w:rPr>
          <w:spacing w:val="-3"/>
        </w:rPr>
        <w:t> </w:t>
      </w:r>
      <w:r>
        <w:rPr/>
        <w:t>51</w:t>
      </w:r>
      <w:r>
        <w:rPr>
          <w:spacing w:val="-6"/>
        </w:rPr>
        <w:t> </w:t>
      </w:r>
      <w:r>
        <w:rPr/>
        <w:t>Lomnice</w:t>
      </w:r>
      <w:r>
        <w:rPr>
          <w:spacing w:val="-6"/>
        </w:rPr>
        <w:t> </w:t>
      </w:r>
      <w:r>
        <w:rPr/>
        <w:t>nad</w:t>
      </w:r>
      <w:r>
        <w:rPr>
          <w:spacing w:val="-4"/>
        </w:rPr>
        <w:t> </w:t>
      </w:r>
      <w:r>
        <w:rPr>
          <w:spacing w:val="-2"/>
        </w:rPr>
        <w:t>Popelkou</w:t>
      </w:r>
    </w:p>
    <w:p>
      <w:pPr>
        <w:pStyle w:val="BodyText"/>
        <w:tabs>
          <w:tab w:pos="2982" w:val="left" w:leader="none"/>
        </w:tabs>
        <w:spacing w:before="1"/>
        <w:ind w:left="102"/>
      </w:pPr>
      <w:r>
        <w:rPr>
          <w:spacing w:val="-4"/>
        </w:rPr>
        <w:t>IČO:</w:t>
      </w:r>
      <w:r>
        <w:rPr>
          <w:rFonts w:ascii="Times New Roman" w:hAnsi="Times New Roman"/>
        </w:rPr>
        <w:tab/>
      </w:r>
      <w:r>
        <w:rPr>
          <w:spacing w:val="-2"/>
        </w:rPr>
        <w:t>25928996</w:t>
      </w:r>
    </w:p>
    <w:p>
      <w:pPr>
        <w:pStyle w:val="BodyText"/>
        <w:tabs>
          <w:tab w:pos="2982" w:val="left" w:leader="none"/>
        </w:tabs>
        <w:ind w:left="102"/>
      </w:pPr>
      <w:r>
        <w:rPr>
          <w:spacing w:val="-2"/>
        </w:rPr>
        <w:t>zastoupená:</w:t>
      </w:r>
      <w:r>
        <w:rPr/>
        <w:tab/>
        <w:t>Ing.</w:t>
      </w:r>
      <w:r>
        <w:rPr>
          <w:spacing w:val="-3"/>
        </w:rPr>
        <w:t> </w:t>
      </w:r>
      <w:r>
        <w:rPr/>
        <w:t>Petrem</w:t>
      </w:r>
      <w:r>
        <w:rPr>
          <w:spacing w:val="-5"/>
        </w:rPr>
        <w:t> </w:t>
      </w:r>
      <w:r>
        <w:rPr/>
        <w:t>S</w:t>
      </w:r>
      <w:r>
        <w:rPr>
          <w:spacing w:val="-3"/>
        </w:rPr>
        <w:t> </w:t>
      </w:r>
      <w:r>
        <w:rPr/>
        <w:t>a</w:t>
      </w:r>
      <w:r>
        <w:rPr>
          <w:spacing w:val="-1"/>
        </w:rPr>
        <w:t> </w:t>
      </w:r>
      <w:r>
        <w:rPr/>
        <w:t>m</w:t>
      </w:r>
      <w:r>
        <w:rPr>
          <w:spacing w:val="-5"/>
        </w:rPr>
        <w:t> </w:t>
      </w:r>
      <w:r>
        <w:rPr/>
        <w:t>o</w:t>
      </w:r>
      <w:r>
        <w:rPr>
          <w:spacing w:val="-3"/>
        </w:rPr>
        <w:t> </w:t>
      </w:r>
      <w:r>
        <w:rPr/>
        <w:t>h</w:t>
      </w:r>
      <w:r>
        <w:rPr>
          <w:spacing w:val="-3"/>
        </w:rPr>
        <w:t> </w:t>
      </w:r>
      <w:r>
        <w:rPr/>
        <w:t>ý</w:t>
      </w:r>
      <w:r>
        <w:rPr>
          <w:spacing w:val="-4"/>
        </w:rPr>
        <w:t> </w:t>
      </w:r>
      <w:r>
        <w:rPr/>
        <w:t>l</w:t>
      </w:r>
      <w:r>
        <w:rPr>
          <w:spacing w:val="-3"/>
        </w:rPr>
        <w:t> </w:t>
      </w:r>
      <w:r>
        <w:rPr/>
        <w:t>e</w:t>
      </w:r>
      <w:r>
        <w:rPr>
          <w:spacing w:val="-2"/>
        </w:rPr>
        <w:t> </w:t>
      </w:r>
      <w:r>
        <w:rPr/>
        <w:t>m,</w:t>
      </w:r>
      <w:r>
        <w:rPr>
          <w:spacing w:val="-3"/>
        </w:rPr>
        <w:t> </w:t>
      </w:r>
      <w:r>
        <w:rPr/>
        <w:t>předsedou</w:t>
      </w:r>
      <w:r>
        <w:rPr>
          <w:spacing w:val="-3"/>
        </w:rPr>
        <w:t> </w:t>
      </w:r>
      <w:r>
        <w:rPr>
          <w:spacing w:val="-2"/>
        </w:rPr>
        <w:t>představenstva</w:t>
      </w:r>
    </w:p>
    <w:p>
      <w:pPr>
        <w:pStyle w:val="BodyText"/>
        <w:tabs>
          <w:tab w:pos="2982" w:val="left" w:leader="none"/>
        </w:tabs>
        <w:ind w:left="102"/>
      </w:pPr>
      <w:r>
        <w:rPr/>
        <w:t>bankovní</w:t>
      </w:r>
      <w:r>
        <w:rPr>
          <w:spacing w:val="-11"/>
        </w:rPr>
        <w:t> </w:t>
      </w:r>
      <w:r>
        <w:rPr>
          <w:spacing w:val="-2"/>
        </w:rPr>
        <w:t>spojení:</w:t>
      </w:r>
      <w:r>
        <w:rPr/>
        <w:tab/>
        <w:t>Komerční</w:t>
      </w:r>
      <w:r>
        <w:rPr>
          <w:spacing w:val="-8"/>
        </w:rPr>
        <w:t> </w:t>
      </w:r>
      <w:r>
        <w:rPr/>
        <w:t>banka,</w:t>
      </w:r>
      <w:r>
        <w:rPr>
          <w:spacing w:val="-8"/>
        </w:rPr>
        <w:t> </w:t>
      </w:r>
      <w:r>
        <w:rPr>
          <w:spacing w:val="-4"/>
        </w:rPr>
        <w:t>a.s.</w:t>
      </w:r>
    </w:p>
    <w:p>
      <w:pPr>
        <w:pStyle w:val="BodyText"/>
        <w:tabs>
          <w:tab w:pos="2982" w:val="left" w:leader="none"/>
        </w:tabs>
        <w:spacing w:before="1"/>
        <w:ind w:left="102" w:right="5154"/>
      </w:pPr>
      <w:r>
        <w:rPr/>
        <w:t>číslo účtu:</w:t>
        <w:tab/>
      </w:r>
      <w:r>
        <w:rPr>
          <w:spacing w:val="-2"/>
        </w:rPr>
        <w:t>151145581/0100 </w:t>
      </w:r>
      <w:r>
        <w:rPr/>
        <w:t>(dále jen „příjemce podpory“)</w:t>
      </w:r>
    </w:p>
    <w:p>
      <w:pPr>
        <w:pStyle w:val="BodyText"/>
        <w:spacing w:before="12"/>
        <w:rPr>
          <w:sz w:val="19"/>
        </w:rPr>
      </w:pPr>
    </w:p>
    <w:p>
      <w:pPr>
        <w:pStyle w:val="BodyText"/>
        <w:ind w:left="102"/>
      </w:pPr>
      <w:r>
        <w:rPr/>
        <w:t>se</w:t>
      </w:r>
      <w:r>
        <w:rPr>
          <w:spacing w:val="-7"/>
        </w:rPr>
        <w:t> </w:t>
      </w:r>
      <w:r>
        <w:rPr/>
        <w:t>dohodly</w:t>
      </w:r>
      <w:r>
        <w:rPr>
          <w:spacing w:val="-6"/>
        </w:rPr>
        <w:t> </w:t>
      </w:r>
      <w:r>
        <w:rPr>
          <w:spacing w:val="-2"/>
        </w:rPr>
        <w:t>takto:</w:t>
      </w:r>
    </w:p>
    <w:p>
      <w:pPr>
        <w:pStyle w:val="BodyText"/>
      </w:pPr>
    </w:p>
    <w:p>
      <w:pPr>
        <w:pStyle w:val="Heading1"/>
        <w:spacing w:before="1"/>
        <w:ind w:left="4731" w:right="4740"/>
      </w:pPr>
      <w:r>
        <w:rPr>
          <w:spacing w:val="-5"/>
        </w:rPr>
        <w:t>I.</w:t>
      </w:r>
    </w:p>
    <w:p>
      <w:pPr>
        <w:pStyle w:val="Heading2"/>
        <w:spacing w:before="0"/>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65" w:lineRule="exact"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7221100466 o poskytnutí finančních prostředků ze Státního fondu životního prostředí ČR ze dne 4. 8. 2023 v 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 podpory potvrzuje, že se seznámil s 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spacing w:after="0"/>
        <w:rPr>
          <w:sz w:val="9"/>
        </w:rPr>
        <w:sectPr>
          <w:pgSz w:w="12240" w:h="15840"/>
          <w:pgMar w:header="708" w:footer="771" w:top="2040" w:bottom="960" w:left="1600" w:right="1020"/>
        </w:sectPr>
      </w:pPr>
    </w:p>
    <w:p>
      <w:pPr>
        <w:pStyle w:val="ListParagraph"/>
        <w:numPr>
          <w:ilvl w:val="0"/>
          <w:numId w:val="1"/>
        </w:numPr>
        <w:tabs>
          <w:tab w:pos="386" w:val="left" w:leader="none"/>
        </w:tabs>
        <w:spacing w:line="240" w:lineRule="auto" w:before="99"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BodyText"/>
        <w:spacing w:before="12"/>
        <w:rPr>
          <w:sz w:val="37"/>
        </w:rPr>
      </w:pPr>
    </w:p>
    <w:p>
      <w:pPr>
        <w:pStyle w:val="BodyText"/>
        <w:ind w:left="385"/>
      </w:pPr>
      <w:r>
        <w:rPr/>
        <w:t>(dále</w:t>
      </w:r>
      <w:r>
        <w:rPr>
          <w:spacing w:val="-6"/>
        </w:rPr>
        <w:t> </w:t>
      </w:r>
      <w:r>
        <w:rPr/>
        <w:t>jen</w:t>
      </w:r>
      <w:r>
        <w:rPr>
          <w:spacing w:val="-5"/>
        </w:rPr>
        <w:t> </w:t>
      </w:r>
      <w:r>
        <w:rPr/>
        <w:t>„projekt“</w:t>
      </w:r>
      <w:r>
        <w:rPr>
          <w:spacing w:val="-6"/>
        </w:rPr>
        <w:t> </w:t>
      </w:r>
      <w:r>
        <w:rPr/>
        <w:t>nebo</w:t>
      </w:r>
      <w:r>
        <w:rPr>
          <w:spacing w:val="-1"/>
        </w:rPr>
        <w:t> </w:t>
      </w:r>
      <w:r>
        <w:rPr>
          <w:spacing w:val="-2"/>
        </w:rPr>
        <w:t>„akce“).</w:t>
      </w:r>
    </w:p>
    <w:p>
      <w:pPr>
        <w:spacing w:line="240" w:lineRule="auto" w:before="6"/>
        <w:rPr>
          <w:sz w:val="36"/>
        </w:rPr>
      </w:pPr>
      <w:r>
        <w:rPr/>
        <w:br w:type="column"/>
      </w:r>
      <w:r>
        <w:rPr>
          <w:sz w:val="36"/>
        </w:rPr>
      </w:r>
    </w:p>
    <w:p>
      <w:pPr>
        <w:pStyle w:val="Heading2"/>
        <w:jc w:val="left"/>
      </w:pPr>
      <w:r>
        <w:rPr/>
        <w:t>„FVE</w:t>
      </w:r>
      <w:r>
        <w:rPr>
          <w:spacing w:val="-10"/>
        </w:rPr>
        <w:t> </w:t>
      </w:r>
      <w:r>
        <w:rPr/>
        <w:t>Samohýl</w:t>
      </w:r>
      <w:r>
        <w:rPr>
          <w:spacing w:val="-7"/>
        </w:rPr>
        <w:t> </w:t>
      </w:r>
      <w:r>
        <w:rPr>
          <w:spacing w:val="-2"/>
        </w:rPr>
        <w:t>group“</w:t>
      </w:r>
    </w:p>
    <w:p>
      <w:pPr>
        <w:spacing w:after="0"/>
        <w:jc w:val="left"/>
        <w:sectPr>
          <w:type w:val="continuous"/>
          <w:pgSz w:w="12240" w:h="15840"/>
          <w:pgMar w:header="708" w:footer="771" w:top="2040" w:bottom="960" w:left="1600" w:right="1020"/>
          <w:cols w:num="2" w:equalWidth="0">
            <w:col w:w="3609" w:space="78"/>
            <w:col w:w="5933"/>
          </w:cols>
        </w:sectPr>
      </w:pPr>
    </w:p>
    <w:p>
      <w:pPr>
        <w:pStyle w:val="ListParagraph"/>
        <w:numPr>
          <w:ilvl w:val="0"/>
          <w:numId w:val="1"/>
        </w:numPr>
        <w:tabs>
          <w:tab w:pos="386" w:val="left" w:leader="none"/>
        </w:tabs>
        <w:spacing w:line="240" w:lineRule="auto" w:before="121" w:after="0"/>
        <w:ind w:left="385" w:right="115"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2"/>
          <w:sz w:val="20"/>
        </w:rPr>
        <w:t> </w:t>
      </w:r>
      <w:r>
        <w:rPr>
          <w:sz w:val="20"/>
        </w:rPr>
        <w:t>(obecné</w:t>
      </w:r>
      <w:r>
        <w:rPr>
          <w:spacing w:val="-12"/>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2"/>
          <w:sz w:val="20"/>
        </w:rPr>
        <w:t> </w:t>
      </w:r>
      <w:r>
        <w:rPr>
          <w:sz w:val="20"/>
        </w:rPr>
        <w:t>v</w:t>
      </w:r>
      <w:r>
        <w:rPr>
          <w:spacing w:val="-11"/>
          <w:sz w:val="20"/>
        </w:rPr>
        <w:t> </w:t>
      </w:r>
      <w:r>
        <w:rPr>
          <w:sz w:val="20"/>
        </w:rPr>
        <w:t>Úředním</w:t>
      </w:r>
      <w:r>
        <w:rPr>
          <w:spacing w:val="-12"/>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spacing w:before="12"/>
        <w:rPr>
          <w:sz w:val="19"/>
        </w:rPr>
      </w:pPr>
    </w:p>
    <w:p>
      <w:pPr>
        <w:pStyle w:val="Heading1"/>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2"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w:t>
      </w:r>
      <w:r>
        <w:rPr>
          <w:spacing w:val="-8"/>
          <w:sz w:val="20"/>
        </w:rPr>
        <w:t> </w:t>
      </w:r>
      <w:r>
        <w:rPr>
          <w:sz w:val="20"/>
        </w:rPr>
        <w:t>dotace</w:t>
      </w:r>
      <w:r>
        <w:rPr>
          <w:spacing w:val="-8"/>
          <w:sz w:val="20"/>
        </w:rPr>
        <w:t> </w:t>
      </w:r>
      <w:r>
        <w:rPr>
          <w:sz w:val="20"/>
        </w:rPr>
        <w:t>ve</w:t>
      </w:r>
      <w:r>
        <w:rPr>
          <w:spacing w:val="-8"/>
          <w:sz w:val="20"/>
        </w:rPr>
        <w:t> </w:t>
      </w:r>
      <w:r>
        <w:rPr>
          <w:sz w:val="20"/>
        </w:rPr>
        <w:t>výši</w:t>
      </w:r>
      <w:r>
        <w:rPr>
          <w:spacing w:val="-8"/>
          <w:sz w:val="20"/>
        </w:rPr>
        <w:t> </w:t>
      </w:r>
      <w:r>
        <w:rPr>
          <w:b/>
          <w:sz w:val="20"/>
        </w:rPr>
        <w:t>1</w:t>
      </w:r>
      <w:r>
        <w:rPr>
          <w:b/>
          <w:spacing w:val="-2"/>
          <w:sz w:val="20"/>
        </w:rPr>
        <w:t> </w:t>
      </w:r>
      <w:r>
        <w:rPr>
          <w:b/>
          <w:sz w:val="20"/>
        </w:rPr>
        <w:t>763</w:t>
      </w:r>
      <w:r>
        <w:rPr>
          <w:b/>
          <w:spacing w:val="-2"/>
          <w:sz w:val="20"/>
        </w:rPr>
        <w:t> </w:t>
      </w:r>
      <w:r>
        <w:rPr>
          <w:b/>
          <w:sz w:val="20"/>
        </w:rPr>
        <w:t>690,35</w:t>
      </w:r>
      <w:r>
        <w:rPr>
          <w:b/>
          <w:spacing w:val="-7"/>
          <w:sz w:val="20"/>
        </w:rPr>
        <w:t> </w:t>
      </w:r>
      <w:r>
        <w:rPr>
          <w:b/>
          <w:sz w:val="20"/>
        </w:rPr>
        <w:t>Kč</w:t>
      </w:r>
      <w:r>
        <w:rPr>
          <w:b/>
          <w:spacing w:val="-8"/>
          <w:sz w:val="20"/>
        </w:rPr>
        <w:t> </w:t>
      </w:r>
      <w:r>
        <w:rPr>
          <w:sz w:val="20"/>
        </w:rPr>
        <w:t>(slovy:</w:t>
      </w:r>
      <w:r>
        <w:rPr>
          <w:spacing w:val="-7"/>
          <w:sz w:val="20"/>
        </w:rPr>
        <w:t> </w:t>
      </w:r>
      <w:r>
        <w:rPr>
          <w:sz w:val="20"/>
        </w:rPr>
        <w:t>jeden</w:t>
      </w:r>
      <w:r>
        <w:rPr>
          <w:spacing w:val="-5"/>
          <w:sz w:val="20"/>
        </w:rPr>
        <w:t> </w:t>
      </w:r>
      <w:r>
        <w:rPr>
          <w:sz w:val="20"/>
        </w:rPr>
        <w:t>milion</w:t>
      </w:r>
      <w:r>
        <w:rPr>
          <w:spacing w:val="-8"/>
          <w:sz w:val="20"/>
        </w:rPr>
        <w:t> </w:t>
      </w:r>
      <w:r>
        <w:rPr>
          <w:sz w:val="20"/>
        </w:rPr>
        <w:t>sedm</w:t>
      </w:r>
      <w:r>
        <w:rPr>
          <w:spacing w:val="-8"/>
          <w:sz w:val="20"/>
        </w:rPr>
        <w:t> </w:t>
      </w:r>
      <w:r>
        <w:rPr>
          <w:sz w:val="20"/>
        </w:rPr>
        <w:t>set</w:t>
      </w:r>
      <w:r>
        <w:rPr>
          <w:spacing w:val="-8"/>
          <w:sz w:val="20"/>
        </w:rPr>
        <w:t> </w:t>
      </w:r>
      <w:r>
        <w:rPr>
          <w:sz w:val="20"/>
        </w:rPr>
        <w:t>šedesát</w:t>
      </w:r>
      <w:r>
        <w:rPr>
          <w:spacing w:val="-8"/>
          <w:sz w:val="20"/>
        </w:rPr>
        <w:t> </w:t>
      </w:r>
      <w:r>
        <w:rPr>
          <w:sz w:val="20"/>
        </w:rPr>
        <w:t>tři</w:t>
      </w:r>
      <w:r>
        <w:rPr>
          <w:spacing w:val="-8"/>
          <w:sz w:val="20"/>
        </w:rPr>
        <w:t> </w:t>
      </w:r>
      <w:r>
        <w:rPr>
          <w:sz w:val="20"/>
        </w:rPr>
        <w:t>tisíce</w:t>
      </w:r>
      <w:r>
        <w:rPr>
          <w:spacing w:val="-8"/>
          <w:sz w:val="20"/>
        </w:rPr>
        <w:t> </w:t>
      </w:r>
      <w:r>
        <w:rPr>
          <w:sz w:val="20"/>
        </w:rPr>
        <w:t>šest</w:t>
      </w:r>
      <w:r>
        <w:rPr>
          <w:spacing w:val="-8"/>
          <w:sz w:val="20"/>
        </w:rPr>
        <w:t> </w:t>
      </w:r>
      <w:r>
        <w:rPr>
          <w:sz w:val="20"/>
        </w:rPr>
        <w:t>set</w:t>
      </w:r>
      <w:r>
        <w:rPr>
          <w:spacing w:val="-8"/>
          <w:sz w:val="20"/>
        </w:rPr>
        <w:t> </w:t>
      </w:r>
      <w:r>
        <w:rPr>
          <w:sz w:val="20"/>
        </w:rPr>
        <w:t>devadesát korun českých a třicet pět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5 039 115,00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1"/>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6"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pPr>
      <w:r>
        <w:rPr>
          <w:spacing w:val="-4"/>
        </w:rPr>
        <w:t>III.</w:t>
      </w:r>
    </w:p>
    <w:p>
      <w:pPr>
        <w:pStyle w:val="Heading2"/>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1"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9"/>
          <w:sz w:val="20"/>
        </w:rPr>
        <w:t> </w:t>
      </w:r>
      <w:r>
        <w:rPr>
          <w:sz w:val="20"/>
        </w:rPr>
        <w:t>součástí</w:t>
      </w:r>
      <w:r>
        <w:rPr>
          <w:spacing w:val="-12"/>
          <w:sz w:val="20"/>
        </w:rPr>
        <w:t> </w:t>
      </w:r>
      <w:r>
        <w:rPr>
          <w:sz w:val="20"/>
        </w:rPr>
        <w:t>nemovité</w:t>
      </w:r>
      <w:r>
        <w:rPr>
          <w:spacing w:val="-13"/>
          <w:sz w:val="20"/>
        </w:rPr>
        <w:t> </w:t>
      </w:r>
      <w:r>
        <w:rPr>
          <w:sz w:val="20"/>
        </w:rPr>
        <w:t>věci</w:t>
      </w:r>
      <w:r>
        <w:rPr>
          <w:spacing w:val="-10"/>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type w:val="continuous"/>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5"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w:t>
      </w:r>
      <w:r>
        <w:rPr>
          <w:spacing w:val="-2"/>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spacing w:before="12"/>
        <w:rPr>
          <w:sz w:val="19"/>
        </w:rPr>
      </w:pPr>
    </w:p>
    <w:p>
      <w:pPr>
        <w:pStyle w:val="Heading1"/>
        <w:ind w:left="3140"/>
      </w:pPr>
      <w:r>
        <w:rPr>
          <w:spacing w:val="-5"/>
        </w:rPr>
        <w:t>IV.</w:t>
      </w:r>
    </w:p>
    <w:p>
      <w:pPr>
        <w:pStyle w:val="Heading2"/>
        <w:ind w:left="1047" w:right="1057"/>
      </w:pPr>
      <w:r>
        <w:rPr/>
        <w:t>Základní</w:t>
      </w:r>
      <w:r>
        <w:rPr>
          <w:spacing w:val="-7"/>
        </w:rPr>
        <w:t> </w:t>
      </w:r>
      <w:r>
        <w:rPr/>
        <w:t>závazky</w:t>
      </w:r>
      <w:r>
        <w:rPr>
          <w:spacing w:val="-7"/>
        </w:rPr>
        <w:t> </w:t>
      </w:r>
      <w:r>
        <w:rPr/>
        <w:t>a</w:t>
      </w:r>
      <w:r>
        <w:rPr>
          <w:spacing w:val="-6"/>
        </w:rPr>
        <w:t> </w:t>
      </w:r>
      <w:r>
        <w:rPr/>
        <w:t>další</w:t>
      </w:r>
      <w:r>
        <w:rPr>
          <w:spacing w:val="-7"/>
        </w:rPr>
        <w:t> </w:t>
      </w:r>
      <w:r>
        <w:rPr/>
        <w:t>povinnosti</w:t>
      </w:r>
      <w:r>
        <w:rPr>
          <w:spacing w:val="-7"/>
        </w:rPr>
        <w:t> </w:t>
      </w:r>
      <w:r>
        <w:rPr/>
        <w:t>příjemce</w:t>
      </w:r>
      <w:r>
        <w:rPr>
          <w:spacing w:val="-4"/>
        </w:rPr>
        <w:t> </w:t>
      </w:r>
      <w:r>
        <w:rPr>
          <w:spacing w:val="-2"/>
        </w:rPr>
        <w:t>podpory</w:t>
      </w:r>
    </w:p>
    <w:p>
      <w:pPr>
        <w:pStyle w:val="BodyText"/>
        <w:rPr>
          <w:b/>
        </w:rPr>
      </w:pPr>
    </w:p>
    <w:p>
      <w:pPr>
        <w:pStyle w:val="ListParagraph"/>
        <w:numPr>
          <w:ilvl w:val="0"/>
          <w:numId w:val="4"/>
        </w:numPr>
        <w:tabs>
          <w:tab w:pos="325" w:val="left" w:leader="none"/>
        </w:tabs>
        <w:spacing w:line="240" w:lineRule="auto" w:before="1"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37" w:lineRule="auto" w:before="122" w:after="0"/>
        <w:ind w:left="745" w:right="107" w:hanging="360"/>
        <w:jc w:val="left"/>
        <w:rPr>
          <w:sz w:val="20"/>
        </w:rPr>
      </w:pPr>
      <w:r>
        <w:rPr>
          <w:sz w:val="20"/>
        </w:rPr>
        <w:t>splní</w:t>
      </w:r>
      <w:r>
        <w:rPr>
          <w:spacing w:val="20"/>
          <w:sz w:val="20"/>
        </w:rPr>
        <w:t> </w:t>
      </w:r>
      <w:r>
        <w:rPr>
          <w:sz w:val="20"/>
        </w:rPr>
        <w:t>účel</w:t>
      </w:r>
      <w:r>
        <w:rPr>
          <w:spacing w:val="21"/>
          <w:sz w:val="20"/>
        </w:rPr>
        <w:t> </w:t>
      </w:r>
      <w:r>
        <w:rPr>
          <w:sz w:val="20"/>
        </w:rPr>
        <w:t>akce</w:t>
      </w:r>
      <w:r>
        <w:rPr>
          <w:spacing w:val="20"/>
          <w:sz w:val="20"/>
        </w:rPr>
        <w:t> </w:t>
      </w:r>
      <w:r>
        <w:rPr>
          <w:sz w:val="20"/>
        </w:rPr>
        <w:t>„FVE</w:t>
      </w:r>
      <w:r>
        <w:rPr>
          <w:spacing w:val="21"/>
          <w:sz w:val="20"/>
        </w:rPr>
        <w:t> </w:t>
      </w:r>
      <w:r>
        <w:rPr>
          <w:sz w:val="20"/>
        </w:rPr>
        <w:t>Samohýl</w:t>
      </w:r>
      <w:r>
        <w:rPr>
          <w:spacing w:val="20"/>
          <w:sz w:val="20"/>
        </w:rPr>
        <w:t> </w:t>
      </w:r>
      <w:r>
        <w:rPr>
          <w:sz w:val="20"/>
        </w:rPr>
        <w:t>group“</w:t>
      </w:r>
      <w:r>
        <w:rPr>
          <w:spacing w:val="20"/>
          <w:sz w:val="20"/>
        </w:rPr>
        <w:t> </w:t>
      </w:r>
      <w:r>
        <w:rPr>
          <w:sz w:val="20"/>
        </w:rPr>
        <w:t>tím,</w:t>
      </w:r>
      <w:r>
        <w:rPr>
          <w:spacing w:val="21"/>
          <w:sz w:val="20"/>
        </w:rPr>
        <w:t> </w:t>
      </w:r>
      <w:r>
        <w:rPr>
          <w:sz w:val="20"/>
        </w:rPr>
        <w:t>že</w:t>
      </w:r>
      <w:r>
        <w:rPr>
          <w:spacing w:val="20"/>
          <w:sz w:val="20"/>
        </w:rPr>
        <w:t> </w:t>
      </w:r>
      <w:r>
        <w:rPr>
          <w:sz w:val="20"/>
        </w:rPr>
        <w:t>akce</w:t>
      </w:r>
      <w:r>
        <w:rPr>
          <w:spacing w:val="20"/>
          <w:sz w:val="20"/>
        </w:rPr>
        <w:t> </w:t>
      </w:r>
      <w:r>
        <w:rPr>
          <w:sz w:val="20"/>
        </w:rPr>
        <w:t>bude</w:t>
      </w:r>
      <w:r>
        <w:rPr>
          <w:spacing w:val="20"/>
          <w:sz w:val="20"/>
        </w:rPr>
        <w:t> </w:t>
      </w:r>
      <w:r>
        <w:rPr>
          <w:sz w:val="20"/>
        </w:rPr>
        <w:t>provedena</w:t>
      </w:r>
      <w:r>
        <w:rPr>
          <w:spacing w:val="20"/>
          <w:sz w:val="20"/>
        </w:rPr>
        <w:t> </w:t>
      </w:r>
      <w:r>
        <w:rPr>
          <w:sz w:val="20"/>
        </w:rPr>
        <w:t>v souladu</w:t>
      </w:r>
      <w:r>
        <w:rPr>
          <w:spacing w:val="21"/>
          <w:sz w:val="20"/>
        </w:rPr>
        <w:t> </w:t>
      </w:r>
      <w:r>
        <w:rPr>
          <w:sz w:val="20"/>
        </w:rPr>
        <w:t>s Výzvou,</w:t>
      </w:r>
      <w:r>
        <w:rPr>
          <w:spacing w:val="21"/>
          <w:sz w:val="20"/>
        </w:rPr>
        <w:t> </w:t>
      </w:r>
      <w:r>
        <w:rPr>
          <w:sz w:val="20"/>
        </w:rPr>
        <w:t>žádostí</w:t>
      </w:r>
      <w:r>
        <w:rPr>
          <w:spacing w:val="20"/>
          <w:sz w:val="20"/>
        </w:rPr>
        <w:t> </w:t>
      </w:r>
      <w:r>
        <w:rPr>
          <w:sz w:val="20"/>
        </w:rPr>
        <w:t>o podporu a jejími přílohami a touto Smlouvou,</w:t>
      </w:r>
    </w:p>
    <w:p>
      <w:pPr>
        <w:pStyle w:val="ListParagraph"/>
        <w:numPr>
          <w:ilvl w:val="1"/>
          <w:numId w:val="4"/>
        </w:numPr>
        <w:tabs>
          <w:tab w:pos="746" w:val="left" w:leader="none"/>
        </w:tabs>
        <w:spacing w:line="240" w:lineRule="auto" w:before="2" w:after="0"/>
        <w:ind w:left="745" w:right="110" w:hanging="360"/>
        <w:jc w:val="left"/>
        <w:rPr>
          <w:sz w:val="20"/>
        </w:rPr>
      </w:pPr>
      <w:r>
        <w:rPr>
          <w:sz w:val="20"/>
        </w:rPr>
        <w:t>realizací</w:t>
      </w:r>
      <w:r>
        <w:rPr>
          <w:spacing w:val="-12"/>
          <w:sz w:val="20"/>
        </w:rPr>
        <w:t> </w:t>
      </w:r>
      <w:r>
        <w:rPr>
          <w:sz w:val="20"/>
        </w:rPr>
        <w:t>projektu</w:t>
      </w:r>
      <w:r>
        <w:rPr>
          <w:spacing w:val="-10"/>
          <w:sz w:val="20"/>
        </w:rPr>
        <w:t> </w:t>
      </w:r>
      <w:r>
        <w:rPr>
          <w:sz w:val="20"/>
        </w:rPr>
        <w:t>dojde</w:t>
      </w:r>
      <w:r>
        <w:rPr>
          <w:spacing w:val="-12"/>
          <w:sz w:val="20"/>
        </w:rPr>
        <w:t> </w:t>
      </w:r>
      <w:r>
        <w:rPr>
          <w:sz w:val="20"/>
        </w:rPr>
        <w:t>k</w:t>
      </w:r>
      <w:r>
        <w:rPr>
          <w:spacing w:val="-8"/>
          <w:sz w:val="20"/>
        </w:rPr>
        <w:t> </w:t>
      </w:r>
      <w:r>
        <w:rPr>
          <w:sz w:val="20"/>
        </w:rPr>
        <w:t>výstavbě</w:t>
      </w:r>
      <w:r>
        <w:rPr>
          <w:spacing w:val="-12"/>
          <w:sz w:val="20"/>
        </w:rPr>
        <w:t> </w:t>
      </w:r>
      <w:r>
        <w:rPr>
          <w:sz w:val="20"/>
        </w:rPr>
        <w:t>nové</w:t>
      </w:r>
      <w:r>
        <w:rPr>
          <w:spacing w:val="-9"/>
          <w:sz w:val="20"/>
        </w:rPr>
        <w:t> </w:t>
      </w:r>
      <w:r>
        <w:rPr>
          <w:sz w:val="20"/>
        </w:rPr>
        <w:t>fotovoltaické</w:t>
      </w:r>
      <w:r>
        <w:rPr>
          <w:spacing w:val="-10"/>
          <w:sz w:val="20"/>
        </w:rPr>
        <w:t> </w:t>
      </w:r>
      <w:r>
        <w:rPr>
          <w:sz w:val="20"/>
        </w:rPr>
        <w:t>elektrárny</w:t>
      </w:r>
      <w:r>
        <w:rPr>
          <w:spacing w:val="-9"/>
          <w:sz w:val="20"/>
        </w:rPr>
        <w:t> </w:t>
      </w:r>
      <w:r>
        <w:rPr>
          <w:sz w:val="20"/>
        </w:rPr>
        <w:t>se</w:t>
      </w:r>
      <w:r>
        <w:rPr>
          <w:spacing w:val="-10"/>
          <w:sz w:val="20"/>
        </w:rPr>
        <w:t> </w:t>
      </w:r>
      <w:r>
        <w:rPr>
          <w:sz w:val="20"/>
        </w:rPr>
        <w:t>střešní</w:t>
      </w:r>
      <w:r>
        <w:rPr>
          <w:spacing w:val="-10"/>
          <w:sz w:val="20"/>
        </w:rPr>
        <w:t> </w:t>
      </w:r>
      <w:r>
        <w:rPr>
          <w:sz w:val="20"/>
        </w:rPr>
        <w:t>instalací</w:t>
      </w:r>
      <w:r>
        <w:rPr>
          <w:spacing w:val="-7"/>
          <w:sz w:val="20"/>
        </w:rPr>
        <w:t> </w:t>
      </w:r>
      <w:r>
        <w:rPr>
          <w:sz w:val="20"/>
        </w:rPr>
        <w:t>předpokládaným výkonem 221,4 kWp,</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49"/>
        <w:gridCol w:w="1685"/>
        <w:gridCol w:w="1712"/>
        <w:gridCol w:w="1683"/>
      </w:tblGrid>
      <w:tr>
        <w:trPr>
          <w:trHeight w:val="772" w:hRule="atLeast"/>
        </w:trPr>
        <w:tc>
          <w:tcPr>
            <w:tcW w:w="3749" w:type="dxa"/>
          </w:tcPr>
          <w:p>
            <w:pPr>
              <w:pStyle w:val="TableParagraph"/>
              <w:spacing w:before="120"/>
              <w:ind w:left="105"/>
              <w:rPr>
                <w:b/>
                <w:sz w:val="20"/>
              </w:rPr>
            </w:pPr>
            <w:r>
              <w:rPr>
                <w:b/>
                <w:spacing w:val="-2"/>
                <w:sz w:val="20"/>
              </w:rPr>
              <w:t>Indikátor</w:t>
            </w:r>
          </w:p>
        </w:tc>
        <w:tc>
          <w:tcPr>
            <w:tcW w:w="1685" w:type="dxa"/>
          </w:tcPr>
          <w:p>
            <w:pPr>
              <w:pStyle w:val="TableParagraph"/>
              <w:spacing w:before="120"/>
              <w:ind w:left="108"/>
              <w:rPr>
                <w:b/>
                <w:sz w:val="20"/>
              </w:rPr>
            </w:pPr>
            <w:r>
              <w:rPr>
                <w:b/>
                <w:spacing w:val="-2"/>
                <w:sz w:val="20"/>
              </w:rPr>
              <w:t>Jednotka</w:t>
            </w:r>
          </w:p>
        </w:tc>
        <w:tc>
          <w:tcPr>
            <w:tcW w:w="1712" w:type="dxa"/>
          </w:tcPr>
          <w:p>
            <w:pPr>
              <w:pStyle w:val="TableParagraph"/>
              <w:spacing w:before="120"/>
              <w:ind w:left="106" w:right="794"/>
              <w:rPr>
                <w:b/>
                <w:sz w:val="20"/>
              </w:rPr>
            </w:pPr>
            <w:r>
              <w:rPr>
                <w:b/>
                <w:spacing w:val="-2"/>
                <w:sz w:val="20"/>
              </w:rPr>
              <w:t>Výchozí hodnota</w:t>
            </w:r>
          </w:p>
        </w:tc>
        <w:tc>
          <w:tcPr>
            <w:tcW w:w="1683" w:type="dxa"/>
          </w:tcPr>
          <w:p>
            <w:pPr>
              <w:pStyle w:val="TableParagraph"/>
              <w:spacing w:before="120"/>
              <w:ind w:left="108"/>
              <w:rPr>
                <w:b/>
                <w:sz w:val="20"/>
              </w:rPr>
            </w:pPr>
            <w:r>
              <w:rPr>
                <w:b/>
                <w:sz w:val="20"/>
              </w:rPr>
              <w:t>Cílová</w:t>
            </w:r>
            <w:r>
              <w:rPr>
                <w:b/>
                <w:spacing w:val="-5"/>
                <w:sz w:val="20"/>
              </w:rPr>
              <w:t> </w:t>
            </w:r>
            <w:r>
              <w:rPr>
                <w:b/>
                <w:spacing w:val="-2"/>
                <w:sz w:val="20"/>
              </w:rPr>
              <w:t>hodnota</w:t>
            </w:r>
          </w:p>
        </w:tc>
      </w:tr>
      <w:tr>
        <w:trPr>
          <w:trHeight w:val="505" w:hRule="atLeast"/>
        </w:trPr>
        <w:tc>
          <w:tcPr>
            <w:tcW w:w="3749"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5" w:type="dxa"/>
          </w:tcPr>
          <w:p>
            <w:pPr>
              <w:pStyle w:val="TableParagraph"/>
              <w:spacing w:before="120"/>
              <w:ind w:left="391"/>
              <w:rPr>
                <w:sz w:val="20"/>
              </w:rPr>
            </w:pPr>
            <w:r>
              <w:rPr>
                <w:spacing w:val="-5"/>
                <w:sz w:val="20"/>
              </w:rPr>
              <w:t>kWp</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221.40</w:t>
            </w:r>
          </w:p>
        </w:tc>
      </w:tr>
      <w:tr>
        <w:trPr>
          <w:trHeight w:val="506" w:hRule="atLeast"/>
        </w:trPr>
        <w:tc>
          <w:tcPr>
            <w:tcW w:w="3749"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5" w:type="dxa"/>
          </w:tcPr>
          <w:p>
            <w:pPr>
              <w:pStyle w:val="TableParagraph"/>
              <w:spacing w:before="120"/>
              <w:ind w:left="0" w:right="414"/>
              <w:jc w:val="right"/>
              <w:rPr>
                <w:sz w:val="20"/>
              </w:rPr>
            </w:pPr>
            <w:r>
              <w:rPr>
                <w:sz w:val="20"/>
              </w:rPr>
              <w:t>t</w:t>
            </w:r>
            <w:r>
              <w:rPr>
                <w:spacing w:val="-2"/>
                <w:sz w:val="20"/>
              </w:rPr>
              <w:t> CO2/rok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5"/>
                <w:sz w:val="20"/>
              </w:rPr>
              <w:t>153</w:t>
            </w:r>
          </w:p>
        </w:tc>
      </w:tr>
      <w:tr>
        <w:trPr>
          <w:trHeight w:val="532" w:hRule="atLeast"/>
        </w:trPr>
        <w:tc>
          <w:tcPr>
            <w:tcW w:w="3749" w:type="dxa"/>
          </w:tcPr>
          <w:p>
            <w:pPr>
              <w:pStyle w:val="TableParagraph"/>
              <w:spacing w:line="266"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5"/>
                <w:sz w:val="20"/>
              </w:rPr>
              <w:t>461</w:t>
            </w:r>
          </w:p>
        </w:tc>
      </w:tr>
      <w:tr>
        <w:trPr>
          <w:trHeight w:val="505" w:hRule="atLeast"/>
        </w:trPr>
        <w:tc>
          <w:tcPr>
            <w:tcW w:w="3749"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5"/>
                <w:sz w:val="20"/>
              </w:rPr>
              <w:t>178</w:t>
            </w:r>
          </w:p>
        </w:tc>
      </w:tr>
    </w:tbl>
    <w:p>
      <w:pPr>
        <w:pStyle w:val="ListParagraph"/>
        <w:numPr>
          <w:ilvl w:val="1"/>
          <w:numId w:val="4"/>
        </w:numPr>
        <w:tabs>
          <w:tab w:pos="746" w:val="left" w:leader="none"/>
        </w:tabs>
        <w:spacing w:line="276" w:lineRule="auto" w:before="12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20" w:after="0"/>
        <w:ind w:left="745" w:right="111"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2</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1"/>
          <w:sz w:val="20"/>
        </w:rPr>
        <w:t> </w:t>
      </w:r>
      <w:r>
        <w:rPr>
          <w:sz w:val="20"/>
        </w:rPr>
        <w:t>zákon),</w:t>
      </w:r>
      <w:r>
        <w:rPr>
          <w:spacing w:val="-11"/>
          <w:sz w:val="20"/>
        </w:rPr>
        <w:t> </w:t>
      </w:r>
      <w:r>
        <w:rPr>
          <w:sz w:val="20"/>
        </w:rPr>
        <w:t>ve</w:t>
      </w:r>
      <w:r>
        <w:rPr>
          <w:spacing w:val="-12"/>
          <w:sz w:val="20"/>
        </w:rPr>
        <w:t> </w:t>
      </w:r>
      <w:r>
        <w:rPr>
          <w:sz w:val="20"/>
        </w:rPr>
        <w:t>znění</w:t>
      </w:r>
      <w:r>
        <w:rPr>
          <w:spacing w:val="-10"/>
          <w:sz w:val="20"/>
        </w:rPr>
        <w:t> </w:t>
      </w:r>
      <w:r>
        <w:rPr>
          <w:sz w:val="20"/>
        </w:rPr>
        <w:t>pozdějších</w:t>
      </w:r>
      <w:r>
        <w:rPr>
          <w:spacing w:val="-11"/>
          <w:sz w:val="20"/>
        </w:rPr>
        <w:t> </w:t>
      </w:r>
      <w:r>
        <w:rPr>
          <w:sz w:val="20"/>
        </w:rPr>
        <w:t>předpisů,</w:t>
      </w:r>
      <w:r>
        <w:rPr>
          <w:spacing w:val="-9"/>
          <w:sz w:val="20"/>
        </w:rPr>
        <w:t> </w:t>
      </w:r>
      <w:r>
        <w:rPr>
          <w:sz w:val="20"/>
        </w:rPr>
        <w:t>nebo</w:t>
      </w:r>
      <w:r>
        <w:rPr>
          <w:spacing w:val="-10"/>
          <w:sz w:val="20"/>
        </w:rPr>
        <w:t> </w:t>
      </w:r>
      <w:r>
        <w:rPr>
          <w:sz w:val="20"/>
        </w:rPr>
        <w:t>termín</w:t>
      </w:r>
      <w:r>
        <w:rPr>
          <w:spacing w:val="-9"/>
          <w:sz w:val="20"/>
        </w:rPr>
        <w:t> </w:t>
      </w:r>
      <w:r>
        <w:rPr>
          <w:sz w:val="20"/>
        </w:rPr>
        <w:t>schválení</w:t>
      </w:r>
      <w:r>
        <w:rPr>
          <w:spacing w:val="-11"/>
          <w:sz w:val="20"/>
        </w:rPr>
        <w:t> </w:t>
      </w:r>
      <w:r>
        <w:rPr>
          <w:sz w:val="20"/>
        </w:rPr>
        <w:t>protokolu</w:t>
      </w:r>
      <w:r>
        <w:rPr>
          <w:spacing w:val="-9"/>
          <w:sz w:val="20"/>
        </w:rPr>
        <w:t> </w:t>
      </w:r>
      <w:r>
        <w:rPr>
          <w:sz w:val="20"/>
        </w:rPr>
        <w:t>o</w:t>
      </w:r>
      <w:r>
        <w:rPr>
          <w:spacing w:val="-4"/>
          <w:sz w:val="20"/>
        </w:rPr>
        <w:t> </w:t>
      </w:r>
      <w:r>
        <w:rPr>
          <w:sz w:val="20"/>
        </w:rPr>
        <w:t>předání</w:t>
      </w:r>
      <w:r>
        <w:rPr>
          <w:spacing w:val="-9"/>
          <w:sz w:val="20"/>
        </w:rPr>
        <w:t> </w:t>
      </w:r>
      <w:r>
        <w:rPr>
          <w:sz w:val="20"/>
        </w:rPr>
        <w:t>a</w:t>
      </w:r>
      <w:r>
        <w:rPr>
          <w:spacing w:val="-12"/>
          <w:sz w:val="20"/>
        </w:rPr>
        <w:t> </w:t>
      </w:r>
      <w:r>
        <w:rPr>
          <w:sz w:val="20"/>
        </w:rPr>
        <w:t>převzetí</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BodyText"/>
        <w:spacing w:line="276" w:lineRule="auto" w:before="100"/>
        <w:ind w:left="745" w:right="112"/>
        <w:jc w:val="both"/>
      </w:pPr>
      <w:r>
        <w:rPr/>
        <w:t>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1"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1"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19"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1"/>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4"/>
        <w:jc w:val="both"/>
      </w:pPr>
      <w:r>
        <w:rPr/>
        <w:t>o případném</w:t>
      </w:r>
      <w:r>
        <w:rPr>
          <w:spacing w:val="21"/>
        </w:rPr>
        <w:t> </w:t>
      </w:r>
      <w:r>
        <w:rPr/>
        <w:t>stavění</w:t>
      </w:r>
      <w:r>
        <w:rPr>
          <w:spacing w:val="22"/>
        </w:rPr>
        <w:t> </w:t>
      </w:r>
      <w:r>
        <w:rPr/>
        <w:t>uvedené</w:t>
      </w:r>
      <w:r>
        <w:rPr>
          <w:spacing w:val="21"/>
        </w:rPr>
        <w:t> </w:t>
      </w:r>
      <w:r>
        <w:rPr/>
        <w:t>lhůty.</w:t>
      </w:r>
      <w:r>
        <w:rPr>
          <w:spacing w:val="24"/>
        </w:rPr>
        <w:t> </w:t>
      </w:r>
      <w:r>
        <w:rPr/>
        <w:t>Příjemce</w:t>
      </w:r>
      <w:r>
        <w:rPr>
          <w:spacing w:val="21"/>
        </w:rPr>
        <w:t> </w:t>
      </w:r>
      <w:r>
        <w:rPr/>
        <w:t>podpory</w:t>
      </w:r>
      <w:r>
        <w:rPr>
          <w:spacing w:val="22"/>
        </w:rPr>
        <w:t> </w:t>
      </w:r>
      <w:r>
        <w:rPr/>
        <w:t>je</w:t>
      </w:r>
      <w:r>
        <w:rPr>
          <w:spacing w:val="21"/>
        </w:rPr>
        <w:t> </w:t>
      </w:r>
      <w:r>
        <w:rPr/>
        <w:t>v takovém</w:t>
      </w:r>
      <w:r>
        <w:rPr>
          <w:spacing w:val="21"/>
        </w:rPr>
        <w:t> </w:t>
      </w:r>
      <w:r>
        <w:rPr/>
        <w:t>případě</w:t>
      </w:r>
      <w:r>
        <w:rPr>
          <w:spacing w:val="21"/>
        </w:rPr>
        <w:t> </w:t>
      </w:r>
      <w:r>
        <w:rPr/>
        <w:t>povinen</w:t>
      </w:r>
      <w:r>
        <w:rPr>
          <w:spacing w:val="22"/>
        </w:rPr>
        <w:t> </w:t>
      </w:r>
      <w:r>
        <w:rPr/>
        <w:t>zajistit,</w:t>
      </w:r>
      <w:r>
        <w:rPr>
          <w:spacing w:val="22"/>
        </w:rPr>
        <w:t> </w:t>
      </w:r>
      <w:r>
        <w:rPr/>
        <w:t>aby v době stavění běhu lhůty došlo k nápravě vzniklého stavu,</w:t>
      </w:r>
    </w:p>
    <w:p>
      <w:pPr>
        <w:pStyle w:val="ListParagraph"/>
        <w:numPr>
          <w:ilvl w:val="1"/>
          <w:numId w:val="4"/>
        </w:numPr>
        <w:tabs>
          <w:tab w:pos="746" w:val="left" w:leader="none"/>
        </w:tabs>
        <w:spacing w:line="240" w:lineRule="auto" w:before="107"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0"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2"/>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21"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7"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7"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13" w:hanging="284"/>
        <w:jc w:val="both"/>
        <w:rPr>
          <w:sz w:val="20"/>
        </w:rPr>
      </w:pPr>
      <w:r>
        <w:rPr>
          <w:sz w:val="20"/>
        </w:rPr>
        <w:t>informovat</w:t>
      </w:r>
      <w:r>
        <w:rPr>
          <w:spacing w:val="-6"/>
          <w:sz w:val="20"/>
        </w:rPr>
        <w:t> </w:t>
      </w:r>
      <w:r>
        <w:rPr>
          <w:sz w:val="20"/>
        </w:rPr>
        <w:t>Fond</w:t>
      </w:r>
      <w:r>
        <w:rPr>
          <w:spacing w:val="-6"/>
          <w:sz w:val="20"/>
        </w:rPr>
        <w:t> </w:t>
      </w:r>
      <w:r>
        <w:rPr>
          <w:sz w:val="20"/>
        </w:rPr>
        <w:t>o</w:t>
      </w:r>
      <w:r>
        <w:rPr>
          <w:spacing w:val="-6"/>
          <w:sz w:val="20"/>
        </w:rPr>
        <w:t> </w:t>
      </w:r>
      <w:r>
        <w:rPr>
          <w:sz w:val="20"/>
        </w:rPr>
        <w:t>všech</w:t>
      </w:r>
      <w:r>
        <w:rPr>
          <w:spacing w:val="-6"/>
          <w:sz w:val="20"/>
        </w:rPr>
        <w:t> </w:t>
      </w:r>
      <w:r>
        <w:rPr>
          <w:sz w:val="20"/>
        </w:rPr>
        <w:t>změnách</w:t>
      </w:r>
      <w:r>
        <w:rPr>
          <w:spacing w:val="-6"/>
          <w:sz w:val="20"/>
        </w:rPr>
        <w:t> </w:t>
      </w:r>
      <w:r>
        <w:rPr>
          <w:sz w:val="20"/>
        </w:rPr>
        <w:t>a</w:t>
      </w:r>
      <w:r>
        <w:rPr>
          <w:spacing w:val="-4"/>
          <w:sz w:val="20"/>
        </w:rPr>
        <w:t> </w:t>
      </w:r>
      <w:r>
        <w:rPr>
          <w:sz w:val="20"/>
        </w:rPr>
        <w:t>dalších</w:t>
      </w:r>
      <w:r>
        <w:rPr>
          <w:spacing w:val="-6"/>
          <w:sz w:val="20"/>
        </w:rPr>
        <w:t> </w:t>
      </w:r>
      <w:r>
        <w:rPr>
          <w:sz w:val="20"/>
        </w:rPr>
        <w:t>okolnostech,</w:t>
      </w:r>
      <w:r>
        <w:rPr>
          <w:spacing w:val="-6"/>
          <w:sz w:val="20"/>
        </w:rPr>
        <w:t> </w:t>
      </w:r>
      <w:r>
        <w:rPr>
          <w:sz w:val="20"/>
        </w:rPr>
        <w:t>které</w:t>
      </w:r>
      <w:r>
        <w:rPr>
          <w:spacing w:val="-5"/>
          <w:sz w:val="20"/>
        </w:rPr>
        <w:t> </w:t>
      </w:r>
      <w:r>
        <w:rPr>
          <w:sz w:val="20"/>
        </w:rPr>
        <w:t>mají</w:t>
      </w:r>
      <w:r>
        <w:rPr>
          <w:spacing w:val="-6"/>
          <w:sz w:val="20"/>
        </w:rPr>
        <w:t> </w:t>
      </w:r>
      <w:r>
        <w:rPr>
          <w:sz w:val="20"/>
        </w:rPr>
        <w:t>nebo</w:t>
      </w:r>
      <w:r>
        <w:rPr>
          <w:spacing w:val="-5"/>
          <w:sz w:val="20"/>
        </w:rPr>
        <w:t> </w:t>
      </w:r>
      <w:r>
        <w:rPr>
          <w:sz w:val="20"/>
        </w:rPr>
        <w:t>by</w:t>
      </w:r>
      <w:r>
        <w:rPr>
          <w:spacing w:val="-6"/>
          <w:sz w:val="20"/>
        </w:rPr>
        <w:t> </w:t>
      </w:r>
      <w:r>
        <w:rPr>
          <w:sz w:val="20"/>
        </w:rPr>
        <w:t>mohly</w:t>
      </w:r>
      <w:r>
        <w:rPr>
          <w:spacing w:val="-6"/>
          <w:sz w:val="20"/>
        </w:rPr>
        <w:t> </w:t>
      </w:r>
      <w:r>
        <w:rPr>
          <w:sz w:val="20"/>
        </w:rPr>
        <w:t>mít</w:t>
      </w:r>
      <w:r>
        <w:rPr>
          <w:spacing w:val="-6"/>
          <w:sz w:val="20"/>
        </w:rPr>
        <w:t> </w:t>
      </w:r>
      <w:r>
        <w:rPr>
          <w:sz w:val="20"/>
        </w:rPr>
        <w:t>vliv</w:t>
      </w:r>
      <w:r>
        <w:rPr>
          <w:spacing w:val="-6"/>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5"/>
          <w:sz w:val="20"/>
        </w:rPr>
        <w:t> </w:t>
      </w:r>
      <w:r>
        <w:rPr>
          <w:sz w:val="20"/>
        </w:rPr>
        <w:t>zakázek</w:t>
      </w:r>
      <w:r>
        <w:rPr>
          <w:spacing w:val="-7"/>
          <w:sz w:val="20"/>
        </w:rPr>
        <w:t> </w:t>
      </w:r>
      <w:r>
        <w:rPr>
          <w:sz w:val="20"/>
        </w:rPr>
        <w:t>postupovat</w:t>
      </w:r>
      <w:r>
        <w:rPr>
          <w:spacing w:val="-6"/>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6"/>
          <w:sz w:val="20"/>
        </w:rPr>
        <w:t> </w:t>
      </w:r>
      <w:r>
        <w:rPr>
          <w:sz w:val="20"/>
        </w:rPr>
        <w:t>uvedenými</w:t>
      </w:r>
      <w:r>
        <w:rPr>
          <w:spacing w:val="-7"/>
          <w:sz w:val="20"/>
        </w:rPr>
        <w:t> </w:t>
      </w:r>
      <w:r>
        <w:rPr>
          <w:sz w:val="20"/>
        </w:rPr>
        <w:t>v</w:t>
      </w:r>
      <w:r>
        <w:rPr>
          <w:spacing w:val="-4"/>
          <w:sz w:val="20"/>
        </w:rPr>
        <w:t> </w:t>
      </w:r>
      <w:r>
        <w:rPr>
          <w:sz w:val="20"/>
        </w:rPr>
        <w:t>článku</w:t>
      </w:r>
      <w:r>
        <w:rPr>
          <w:spacing w:val="-5"/>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spacing w:before="0"/>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
        <w:rPr>
          <w:b/>
        </w:rPr>
      </w:pPr>
    </w:p>
    <w:p>
      <w:pPr>
        <w:pStyle w:val="ListParagraph"/>
        <w:numPr>
          <w:ilvl w:val="0"/>
          <w:numId w:val="5"/>
        </w:numPr>
        <w:tabs>
          <w:tab w:pos="386" w:val="left" w:leader="none"/>
        </w:tabs>
        <w:spacing w:line="240" w:lineRule="auto" w:before="0" w:after="0"/>
        <w:ind w:left="385" w:right="110"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40"/>
          <w:sz w:val="20"/>
        </w:rPr>
        <w:t> </w:t>
      </w:r>
      <w:r>
        <w:rPr>
          <w:sz w:val="20"/>
        </w:rPr>
        <w:t>a o změně některých souvisejících zákonů (rozpočtová pravidla), v platném znění.</w:t>
      </w:r>
    </w:p>
    <w:p>
      <w:pPr>
        <w:pStyle w:val="ListParagraph"/>
        <w:numPr>
          <w:ilvl w:val="0"/>
          <w:numId w:val="5"/>
        </w:numPr>
        <w:tabs>
          <w:tab w:pos="386" w:val="left" w:leader="none"/>
        </w:tabs>
        <w:spacing w:line="240" w:lineRule="auto" w:before="119"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6"/>
          <w:sz w:val="20"/>
        </w:rPr>
        <w:t> </w:t>
      </w:r>
      <w:r>
        <w:rPr>
          <w:sz w:val="20"/>
        </w:rPr>
        <w:t>povinnosti</w:t>
      </w:r>
      <w:r>
        <w:rPr>
          <w:spacing w:val="36"/>
          <w:sz w:val="20"/>
        </w:rPr>
        <w:t> </w:t>
      </w:r>
      <w:r>
        <w:rPr>
          <w:sz w:val="20"/>
        </w:rPr>
        <w:t>podle</w:t>
      </w:r>
      <w:r>
        <w:rPr>
          <w:spacing w:val="38"/>
          <w:sz w:val="20"/>
        </w:rPr>
        <w:t> </w:t>
      </w:r>
      <w:r>
        <w:rPr>
          <w:sz w:val="20"/>
        </w:rPr>
        <w:t>článku</w:t>
      </w:r>
      <w:r>
        <w:rPr>
          <w:spacing w:val="39"/>
          <w:sz w:val="20"/>
        </w:rPr>
        <w:t> </w:t>
      </w:r>
      <w:r>
        <w:rPr>
          <w:sz w:val="20"/>
        </w:rPr>
        <w:t>IV</w:t>
      </w:r>
      <w:r>
        <w:rPr>
          <w:spacing w:val="37"/>
          <w:sz w:val="20"/>
        </w:rPr>
        <w:t> </w:t>
      </w:r>
      <w:r>
        <w:rPr>
          <w:sz w:val="20"/>
        </w:rPr>
        <w:t>bodu</w:t>
      </w:r>
      <w:r>
        <w:rPr>
          <w:spacing w:val="37"/>
          <w:sz w:val="20"/>
        </w:rPr>
        <w:t> </w:t>
      </w:r>
      <w:r>
        <w:rPr>
          <w:sz w:val="20"/>
        </w:rPr>
        <w:t>1</w:t>
      </w:r>
      <w:r>
        <w:rPr>
          <w:spacing w:val="37"/>
          <w:sz w:val="20"/>
        </w:rPr>
        <w:t> </w:t>
      </w:r>
      <w:r>
        <w:rPr>
          <w:sz w:val="20"/>
        </w:rPr>
        <w:t>písm.</w:t>
      </w:r>
      <w:r>
        <w:rPr>
          <w:spacing w:val="39"/>
          <w:sz w:val="20"/>
        </w:rPr>
        <w:t> </w:t>
      </w:r>
      <w:r>
        <w:rPr>
          <w:sz w:val="20"/>
        </w:rPr>
        <w:t>k)</w:t>
      </w:r>
      <w:r>
        <w:rPr>
          <w:spacing w:val="36"/>
          <w:sz w:val="20"/>
        </w:rPr>
        <w:t> </w:t>
      </w:r>
      <w:r>
        <w:rPr>
          <w:sz w:val="20"/>
        </w:rPr>
        <w:t>bude</w:t>
      </w:r>
      <w:r>
        <w:rPr>
          <w:spacing w:val="35"/>
          <w:sz w:val="20"/>
        </w:rPr>
        <w:t> </w:t>
      </w:r>
      <w:r>
        <w:rPr>
          <w:sz w:val="20"/>
        </w:rPr>
        <w:t>postiženo</w:t>
      </w:r>
      <w:r>
        <w:rPr>
          <w:spacing w:val="37"/>
          <w:sz w:val="20"/>
        </w:rPr>
        <w:t> </w:t>
      </w:r>
      <w:r>
        <w:rPr>
          <w:sz w:val="20"/>
        </w:rPr>
        <w:t>odvodem</w:t>
      </w:r>
      <w:r>
        <w:rPr>
          <w:spacing w:val="35"/>
          <w:sz w:val="20"/>
        </w:rPr>
        <w:t> </w:t>
      </w:r>
      <w:r>
        <w:rPr>
          <w:sz w:val="20"/>
        </w:rPr>
        <w:t>ve</w:t>
      </w:r>
      <w:r>
        <w:rPr>
          <w:spacing w:val="35"/>
          <w:sz w:val="20"/>
        </w:rPr>
        <w:t> </w:t>
      </w:r>
      <w:r>
        <w:rPr>
          <w:sz w:val="20"/>
        </w:rPr>
        <w:t>výši</w:t>
      </w:r>
      <w:r>
        <w:rPr>
          <w:spacing w:val="36"/>
          <w:sz w:val="20"/>
        </w:rPr>
        <w:t> </w:t>
      </w:r>
      <w:r>
        <w:rPr>
          <w:sz w:val="20"/>
        </w:rPr>
        <w:t>0,1</w:t>
      </w:r>
      <w:r>
        <w:rPr>
          <w:spacing w:val="40"/>
          <w:sz w:val="20"/>
        </w:rPr>
        <w:t> </w:t>
      </w:r>
      <w:r>
        <w:rPr>
          <w:sz w:val="20"/>
        </w:rPr>
        <w:t>–</w:t>
      </w:r>
      <w:r>
        <w:rPr>
          <w:spacing w:val="38"/>
          <w:sz w:val="20"/>
        </w:rPr>
        <w:t> </w:t>
      </w:r>
      <w:r>
        <w:rPr>
          <w:sz w:val="20"/>
        </w:rPr>
        <w:t>25 % z poskytnuté podpory.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37"/>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10"/>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111"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9"/>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ind w:left="3140"/>
      </w:pPr>
      <w:r>
        <w:rPr>
          <w:spacing w:val="-5"/>
        </w:rPr>
        <w:t>VI.</w:t>
      </w:r>
    </w:p>
    <w:p>
      <w:pPr>
        <w:pStyle w:val="Heading2"/>
        <w:ind w:left="3137" w:right="314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114"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37" w:lineRule="auto" w:before="123"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8"/>
          <w:sz w:val="20"/>
        </w:rPr>
        <w:t> </w:t>
      </w:r>
      <w:r>
        <w:rPr>
          <w:sz w:val="20"/>
        </w:rPr>
        <w:t>stejný</w:t>
      </w:r>
      <w:r>
        <w:rPr>
          <w:spacing w:val="-7"/>
          <w:sz w:val="20"/>
        </w:rPr>
        <w:t> </w:t>
      </w:r>
      <w:r>
        <w:rPr>
          <w:sz w:val="20"/>
        </w:rPr>
        <w:t>význam</w:t>
      </w:r>
      <w:r>
        <w:rPr>
          <w:spacing w:val="-2"/>
          <w:sz w:val="20"/>
        </w:rPr>
        <w:t> </w:t>
      </w:r>
      <w:r>
        <w:rPr>
          <w:sz w:val="20"/>
        </w:rPr>
        <w:t>jako</w:t>
      </w:r>
      <w:r>
        <w:rPr>
          <w:spacing w:val="-6"/>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33"/>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right="121"/>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2"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2"/>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10"/>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4"/>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4"/>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69312"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6656">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spacing w:before="1"/>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2024-01-19T12:08:12Z</dcterms:created>
  <dcterms:modified xsi:type="dcterms:W3CDTF">2024-01-19T12:08:12Z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2023-11-30T00:00:00Z</vt:filetime>
  </property>
  <property fmtid="{D5CDD505-2E9C-101B-9397-08002B2CF9AE}" pid="3" name="Creator">
    <vt:lpwstr>Microsoft® Word 2016</vt:lpwstr>
  </property>
  <property fmtid="{D5CDD505-2E9C-101B-9397-08002B2CF9AE}" pid="4" name="LastSaved">
    <vt:filetime>2024-01-19T00:00:00Z</vt:filetime>
  </property>
</Properties>
</file>