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7221100466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spacing w:before="0"/>
        <w:jc w:val="left"/>
      </w:pPr>
      <w:r>
        <w:rPr/>
        <w:t>Samohýl</w:t>
      </w:r>
      <w:r>
        <w:rPr>
          <w:spacing w:val="-9"/>
        </w:rPr>
        <w:t> </w:t>
      </w:r>
      <w:r>
        <w:rPr/>
        <w:t>group</w:t>
      </w:r>
      <w:r>
        <w:rPr>
          <w:spacing w:val="-9"/>
        </w:rPr>
        <w:t> </w:t>
      </w:r>
      <w:r>
        <w:rPr>
          <w:spacing w:val="-4"/>
        </w:rPr>
        <w:t>a.s.</w:t>
      </w:r>
    </w:p>
    <w:p>
      <w:pPr>
        <w:pStyle w:val="BodyText"/>
        <w:ind w:left="102"/>
      </w:pPr>
      <w:r>
        <w:rPr/>
        <w:t>obchodní společnost zapsaná v obchodním rejstříku vedeném Krajským soudem v Hradci Králové, oddíl B, vložka 1980</w:t>
      </w:r>
    </w:p>
    <w:p>
      <w:pPr>
        <w:pStyle w:val="BodyText"/>
        <w:tabs>
          <w:tab w:pos="2977" w:val="left" w:leader="none"/>
        </w:tabs>
        <w:spacing w:line="265" w:lineRule="exact"/>
        <w:ind w:left="102"/>
      </w:pPr>
      <w:r>
        <w:rPr/>
        <w:t>se</w:t>
      </w:r>
      <w:r>
        <w:rPr>
          <w:spacing w:val="-5"/>
        </w:rPr>
        <w:t> </w:t>
      </w:r>
      <w:r>
        <w:rPr>
          <w:spacing w:val="-2"/>
        </w:rPr>
        <w:t>sídlem:</w:t>
      </w:r>
      <w:r>
        <w:rPr/>
        <w:tab/>
        <w:t>Smetanova</w:t>
      </w:r>
      <w:r>
        <w:rPr>
          <w:spacing w:val="-6"/>
        </w:rPr>
        <w:t> </w:t>
      </w:r>
      <w:r>
        <w:rPr/>
        <w:t>1058,</w:t>
      </w:r>
      <w:r>
        <w:rPr>
          <w:spacing w:val="-7"/>
        </w:rPr>
        <w:t> </w:t>
      </w:r>
      <w:r>
        <w:rPr/>
        <w:t>512</w:t>
      </w:r>
      <w:r>
        <w:rPr>
          <w:spacing w:val="-3"/>
        </w:rPr>
        <w:t> </w:t>
      </w:r>
      <w:r>
        <w:rPr/>
        <w:t>51</w:t>
      </w:r>
      <w:r>
        <w:rPr>
          <w:spacing w:val="-6"/>
        </w:rPr>
        <w:t> </w:t>
      </w:r>
      <w:r>
        <w:rPr/>
        <w:t>Lomnice</w:t>
      </w:r>
      <w:r>
        <w:rPr>
          <w:spacing w:val="-6"/>
        </w:rPr>
        <w:t> </w:t>
      </w:r>
      <w:r>
        <w:rPr/>
        <w:t>nad</w:t>
      </w:r>
      <w:r>
        <w:rPr>
          <w:spacing w:val="-4"/>
        </w:rPr>
        <w:t> </w:t>
      </w:r>
      <w:r>
        <w:rPr>
          <w:spacing w:val="-2"/>
        </w:rPr>
        <w:t>Popelkou</w:t>
      </w:r>
    </w:p>
    <w:p>
      <w:pPr>
        <w:pStyle w:val="BodyText"/>
        <w:tabs>
          <w:tab w:pos="2982" w:val="left" w:leader="none"/>
        </w:tabs>
        <w:spacing w:before="1"/>
        <w:ind w:left="102"/>
      </w:pPr>
      <w:r>
        <w:rPr>
          <w:spacing w:val="-4"/>
        </w:rPr>
        <w:t>IČO:</w:t>
      </w:r>
      <w:r>
        <w:rPr>
          <w:rFonts w:ascii="Times New Roman" w:hAnsi="Times New Roman"/>
        </w:rPr>
        <w:tab/>
      </w:r>
      <w:r>
        <w:rPr>
          <w:spacing w:val="-2"/>
        </w:rPr>
        <w:t>25928996</w:t>
      </w:r>
    </w:p>
    <w:p>
      <w:pPr>
        <w:pStyle w:val="BodyText"/>
        <w:tabs>
          <w:tab w:pos="2982" w:val="left" w:leader="none"/>
        </w:tabs>
        <w:ind w:left="102"/>
      </w:pPr>
      <w:r>
        <w:rPr>
          <w:spacing w:val="-2"/>
        </w:rPr>
        <w:t>zastoupená:</w:t>
      </w:r>
      <w:r>
        <w:rPr/>
        <w:tab/>
        <w:t>Ing.</w:t>
      </w:r>
      <w:r>
        <w:rPr>
          <w:spacing w:val="-3"/>
        </w:rPr>
        <w:t> </w:t>
      </w:r>
      <w:r>
        <w:rPr/>
        <w:t>Petrem</w:t>
      </w:r>
      <w:r>
        <w:rPr>
          <w:spacing w:val="-5"/>
        </w:rPr>
        <w:t> </w:t>
      </w:r>
      <w:r>
        <w:rPr/>
        <w:t>S</w:t>
      </w:r>
      <w:r>
        <w:rPr>
          <w:spacing w:val="-3"/>
        </w:rPr>
        <w:t> </w:t>
      </w:r>
      <w:r>
        <w:rPr/>
        <w:t>a</w:t>
      </w:r>
      <w:r>
        <w:rPr>
          <w:spacing w:val="-1"/>
        </w:rPr>
        <w:t> </w:t>
      </w:r>
      <w:r>
        <w:rPr/>
        <w:t>m</w:t>
      </w:r>
      <w:r>
        <w:rPr>
          <w:spacing w:val="-5"/>
        </w:rPr>
        <w:t> </w:t>
      </w:r>
      <w:r>
        <w:rPr/>
        <w:t>o</w:t>
      </w:r>
      <w:r>
        <w:rPr>
          <w:spacing w:val="-3"/>
        </w:rPr>
        <w:t> </w:t>
      </w:r>
      <w:r>
        <w:rPr/>
        <w:t>h</w:t>
      </w:r>
      <w:r>
        <w:rPr>
          <w:spacing w:val="-3"/>
        </w:rPr>
        <w:t> </w:t>
      </w:r>
      <w:r>
        <w:rPr/>
        <w:t>ý</w:t>
      </w:r>
      <w:r>
        <w:rPr>
          <w:spacing w:val="-4"/>
        </w:rPr>
        <w:t> </w:t>
      </w:r>
      <w:r>
        <w:rPr/>
        <w:t>l</w:t>
      </w:r>
      <w:r>
        <w:rPr>
          <w:spacing w:val="-3"/>
        </w:rPr>
        <w:t> </w:t>
      </w:r>
      <w:r>
        <w:rPr/>
        <w:t>e</w:t>
      </w:r>
      <w:r>
        <w:rPr>
          <w:spacing w:val="-2"/>
        </w:rPr>
        <w:t> </w:t>
      </w:r>
      <w:r>
        <w:rPr/>
        <w:t>m,</w:t>
      </w:r>
      <w:r>
        <w:rPr>
          <w:spacing w:val="-3"/>
        </w:rPr>
        <w:t> </w:t>
      </w:r>
      <w:r>
        <w:rPr/>
        <w:t>předsedou</w:t>
      </w:r>
      <w:r>
        <w:rPr>
          <w:spacing w:val="-3"/>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154"/>
      </w:pPr>
      <w:r>
        <w:rPr/>
        <w:t>číslo účtu:</w:t>
        <w:tab/>
      </w:r>
      <w:r>
        <w:rPr>
          <w:spacing w:val="-2"/>
        </w:rPr>
        <w:t>151145581/0100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4731" w:right="4740"/>
      </w:pPr>
      <w:r>
        <w:rPr>
          <w:spacing w:val="-5"/>
        </w:rPr>
        <w:t>I.</w:t>
      </w:r>
    </w:p>
    <w:p>
      <w:pPr>
        <w:pStyle w:val="Heading2"/>
        <w:spacing w:before="0"/>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7221100466 o poskytnutí finančních prostředků ze Státního fondu životního prostředí ČR ze dne 4. 8. 2023 v 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1"/>
        </w:rPr>
        <w:t> </w:t>
      </w:r>
      <w:r>
        <w:rPr>
          <w:spacing w:val="-2"/>
        </w:rPr>
        <w:t>„akce“).</w:t>
      </w:r>
    </w:p>
    <w:p>
      <w:pPr>
        <w:spacing w:line="240" w:lineRule="auto" w:before="6"/>
        <w:rPr>
          <w:sz w:val="36"/>
        </w:rPr>
      </w:pPr>
      <w:r>
        <w:rPr/>
        <w:br w:type="column"/>
      </w:r>
      <w:r>
        <w:rPr>
          <w:sz w:val="36"/>
        </w:rPr>
      </w:r>
    </w:p>
    <w:p>
      <w:pPr>
        <w:pStyle w:val="Heading2"/>
        <w:jc w:val="left"/>
      </w:pPr>
      <w:r>
        <w:rPr/>
        <w:t>„FVE</w:t>
      </w:r>
      <w:r>
        <w:rPr>
          <w:spacing w:val="-10"/>
        </w:rPr>
        <w:t> </w:t>
      </w:r>
      <w:r>
        <w:rPr/>
        <w:t>Samohýl</w:t>
      </w:r>
      <w:r>
        <w:rPr>
          <w:spacing w:val="-7"/>
        </w:rPr>
        <w:t> </w:t>
      </w:r>
      <w:r>
        <w:rPr>
          <w:spacing w:val="-2"/>
        </w:rPr>
        <w:t>group“</w:t>
      </w:r>
    </w:p>
    <w:p>
      <w:pPr>
        <w:spacing w:after="0"/>
        <w:jc w:val="left"/>
        <w:sectPr>
          <w:type w:val="continuous"/>
          <w:pgSz w:w="12240" w:h="15840"/>
          <w:pgMar w:header="708" w:footer="771" w:top="2040" w:bottom="960" w:left="1600" w:right="1020"/>
          <w:cols w:num="2" w:equalWidth="0">
            <w:col w:w="3609" w:space="78"/>
            <w:col w:w="5933"/>
          </w:cols>
        </w:sectPr>
      </w:pPr>
    </w:p>
    <w:p>
      <w:pPr>
        <w:pStyle w:val="ListParagraph"/>
        <w:numPr>
          <w:ilvl w:val="0"/>
          <w:numId w:val="1"/>
        </w:numPr>
        <w:tabs>
          <w:tab w:pos="386" w:val="left" w:leader="none"/>
        </w:tabs>
        <w:spacing w:line="240" w:lineRule="auto" w:before="121" w:after="0"/>
        <w:ind w:left="385" w:right="115"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8"/>
          <w:sz w:val="20"/>
        </w:rPr>
        <w:t> </w:t>
      </w:r>
      <w:r>
        <w:rPr>
          <w:sz w:val="20"/>
        </w:rPr>
        <w:t>ve</w:t>
      </w:r>
      <w:r>
        <w:rPr>
          <w:spacing w:val="-8"/>
          <w:sz w:val="20"/>
        </w:rPr>
        <w:t> </w:t>
      </w:r>
      <w:r>
        <w:rPr>
          <w:sz w:val="20"/>
        </w:rPr>
        <w:t>výši</w:t>
      </w:r>
      <w:r>
        <w:rPr>
          <w:spacing w:val="-8"/>
          <w:sz w:val="20"/>
        </w:rPr>
        <w:t> </w:t>
      </w:r>
      <w:r>
        <w:rPr>
          <w:b/>
          <w:sz w:val="20"/>
        </w:rPr>
        <w:t>1</w:t>
      </w:r>
      <w:r>
        <w:rPr>
          <w:b/>
          <w:spacing w:val="-2"/>
          <w:sz w:val="20"/>
        </w:rPr>
        <w:t> </w:t>
      </w:r>
      <w:r>
        <w:rPr>
          <w:b/>
          <w:sz w:val="20"/>
        </w:rPr>
        <w:t>763</w:t>
      </w:r>
      <w:r>
        <w:rPr>
          <w:b/>
          <w:spacing w:val="-2"/>
          <w:sz w:val="20"/>
        </w:rPr>
        <w:t> </w:t>
      </w:r>
      <w:r>
        <w:rPr>
          <w:b/>
          <w:sz w:val="20"/>
        </w:rPr>
        <w:t>690,35</w:t>
      </w:r>
      <w:r>
        <w:rPr>
          <w:b/>
          <w:spacing w:val="-7"/>
          <w:sz w:val="20"/>
        </w:rPr>
        <w:t> </w:t>
      </w:r>
      <w:r>
        <w:rPr>
          <w:b/>
          <w:sz w:val="20"/>
        </w:rPr>
        <w:t>Kč</w:t>
      </w:r>
      <w:r>
        <w:rPr>
          <w:b/>
          <w:spacing w:val="-8"/>
          <w:sz w:val="20"/>
        </w:rPr>
        <w:t> </w:t>
      </w:r>
      <w:r>
        <w:rPr>
          <w:sz w:val="20"/>
        </w:rPr>
        <w:t>(slovy:</w:t>
      </w:r>
      <w:r>
        <w:rPr>
          <w:spacing w:val="-7"/>
          <w:sz w:val="20"/>
        </w:rPr>
        <w:t> </w:t>
      </w:r>
      <w:r>
        <w:rPr>
          <w:sz w:val="20"/>
        </w:rPr>
        <w:t>jeden</w:t>
      </w:r>
      <w:r>
        <w:rPr>
          <w:spacing w:val="-5"/>
          <w:sz w:val="20"/>
        </w:rPr>
        <w:t> </w:t>
      </w:r>
      <w:r>
        <w:rPr>
          <w:sz w:val="20"/>
        </w:rPr>
        <w:t>milion</w:t>
      </w:r>
      <w:r>
        <w:rPr>
          <w:spacing w:val="-8"/>
          <w:sz w:val="20"/>
        </w:rPr>
        <w:t> </w:t>
      </w:r>
      <w:r>
        <w:rPr>
          <w:sz w:val="20"/>
        </w:rPr>
        <w:t>sedm</w:t>
      </w:r>
      <w:r>
        <w:rPr>
          <w:spacing w:val="-8"/>
          <w:sz w:val="20"/>
        </w:rPr>
        <w:t> </w:t>
      </w:r>
      <w:r>
        <w:rPr>
          <w:sz w:val="20"/>
        </w:rPr>
        <w:t>set</w:t>
      </w:r>
      <w:r>
        <w:rPr>
          <w:spacing w:val="-8"/>
          <w:sz w:val="20"/>
        </w:rPr>
        <w:t> </w:t>
      </w:r>
      <w:r>
        <w:rPr>
          <w:sz w:val="20"/>
        </w:rPr>
        <w:t>šedesát</w:t>
      </w:r>
      <w:r>
        <w:rPr>
          <w:spacing w:val="-8"/>
          <w:sz w:val="20"/>
        </w:rPr>
        <w:t> </w:t>
      </w:r>
      <w:r>
        <w:rPr>
          <w:sz w:val="20"/>
        </w:rPr>
        <w:t>tři</w:t>
      </w:r>
      <w:r>
        <w:rPr>
          <w:spacing w:val="-8"/>
          <w:sz w:val="20"/>
        </w:rPr>
        <w:t> </w:t>
      </w:r>
      <w:r>
        <w:rPr>
          <w:sz w:val="20"/>
        </w:rPr>
        <w:t>tisíce</w:t>
      </w:r>
      <w:r>
        <w:rPr>
          <w:spacing w:val="-8"/>
          <w:sz w:val="20"/>
        </w:rPr>
        <w:t> </w:t>
      </w:r>
      <w:r>
        <w:rPr>
          <w:sz w:val="20"/>
        </w:rPr>
        <w:t>šest</w:t>
      </w:r>
      <w:r>
        <w:rPr>
          <w:spacing w:val="-8"/>
          <w:sz w:val="20"/>
        </w:rPr>
        <w:t> </w:t>
      </w:r>
      <w:r>
        <w:rPr>
          <w:sz w:val="20"/>
        </w:rPr>
        <w:t>set</w:t>
      </w:r>
      <w:r>
        <w:rPr>
          <w:spacing w:val="-8"/>
          <w:sz w:val="20"/>
        </w:rPr>
        <w:t> </w:t>
      </w:r>
      <w:r>
        <w:rPr>
          <w:sz w:val="20"/>
        </w:rPr>
        <w:t>devadesát korun českých a třicet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5 039 115,00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1"/>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9"/>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5"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ind w:left="1047" w:right="1057"/>
      </w:pPr>
      <w:r>
        <w:rPr/>
        <w:t>Základní</w:t>
      </w:r>
      <w:r>
        <w:rPr>
          <w:spacing w:val="-7"/>
        </w:rPr>
        <w:t> </w:t>
      </w:r>
      <w:r>
        <w:rPr/>
        <w:t>závazky</w:t>
      </w:r>
      <w:r>
        <w:rPr>
          <w:spacing w:val="-7"/>
        </w:rPr>
        <w:t> </w:t>
      </w:r>
      <w:r>
        <w:rPr/>
        <w:t>a</w:t>
      </w:r>
      <w:r>
        <w:rPr>
          <w:spacing w:val="-6"/>
        </w:rPr>
        <w:t> </w:t>
      </w:r>
      <w:r>
        <w:rPr/>
        <w:t>další</w:t>
      </w:r>
      <w:r>
        <w:rPr>
          <w:spacing w:val="-7"/>
        </w:rPr>
        <w:t> </w:t>
      </w:r>
      <w:r>
        <w:rPr/>
        <w:t>povinnosti</w:t>
      </w:r>
      <w:r>
        <w:rPr>
          <w:spacing w:val="-7"/>
        </w:rPr>
        <w:t> </w:t>
      </w:r>
      <w:r>
        <w:rPr/>
        <w:t>příjemce</w:t>
      </w:r>
      <w:r>
        <w:rPr>
          <w:spacing w:val="-4"/>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07" w:hanging="360"/>
        <w:jc w:val="left"/>
        <w:rPr>
          <w:sz w:val="20"/>
        </w:rPr>
      </w:pPr>
      <w:r>
        <w:rPr>
          <w:sz w:val="20"/>
        </w:rPr>
        <w:t>splní</w:t>
      </w:r>
      <w:r>
        <w:rPr>
          <w:spacing w:val="20"/>
          <w:sz w:val="20"/>
        </w:rPr>
        <w:t> </w:t>
      </w:r>
      <w:r>
        <w:rPr>
          <w:sz w:val="20"/>
        </w:rPr>
        <w:t>účel</w:t>
      </w:r>
      <w:r>
        <w:rPr>
          <w:spacing w:val="21"/>
          <w:sz w:val="20"/>
        </w:rPr>
        <w:t> </w:t>
      </w:r>
      <w:r>
        <w:rPr>
          <w:sz w:val="20"/>
        </w:rPr>
        <w:t>akce</w:t>
      </w:r>
      <w:r>
        <w:rPr>
          <w:spacing w:val="20"/>
          <w:sz w:val="20"/>
        </w:rPr>
        <w:t> </w:t>
      </w:r>
      <w:r>
        <w:rPr>
          <w:sz w:val="20"/>
        </w:rPr>
        <w:t>„FVE</w:t>
      </w:r>
      <w:r>
        <w:rPr>
          <w:spacing w:val="21"/>
          <w:sz w:val="20"/>
        </w:rPr>
        <w:t> </w:t>
      </w:r>
      <w:r>
        <w:rPr>
          <w:sz w:val="20"/>
        </w:rPr>
        <w:t>Samohýl</w:t>
      </w:r>
      <w:r>
        <w:rPr>
          <w:spacing w:val="20"/>
          <w:sz w:val="20"/>
        </w:rPr>
        <w:t> </w:t>
      </w:r>
      <w:r>
        <w:rPr>
          <w:sz w:val="20"/>
        </w:rPr>
        <w:t>group“</w:t>
      </w:r>
      <w:r>
        <w:rPr>
          <w:spacing w:val="20"/>
          <w:sz w:val="20"/>
        </w:rPr>
        <w:t> </w:t>
      </w:r>
      <w:r>
        <w:rPr>
          <w:sz w:val="20"/>
        </w:rPr>
        <w:t>tím,</w:t>
      </w:r>
      <w:r>
        <w:rPr>
          <w:spacing w:val="21"/>
          <w:sz w:val="20"/>
        </w:rPr>
        <w:t> </w:t>
      </w:r>
      <w:r>
        <w:rPr>
          <w:sz w:val="20"/>
        </w:rPr>
        <w:t>že</w:t>
      </w:r>
      <w:r>
        <w:rPr>
          <w:spacing w:val="20"/>
          <w:sz w:val="20"/>
        </w:rPr>
        <w:t> </w:t>
      </w:r>
      <w:r>
        <w:rPr>
          <w:sz w:val="20"/>
        </w:rPr>
        <w:t>akce</w:t>
      </w:r>
      <w:r>
        <w:rPr>
          <w:spacing w:val="20"/>
          <w:sz w:val="20"/>
        </w:rPr>
        <w:t> </w:t>
      </w:r>
      <w:r>
        <w:rPr>
          <w:sz w:val="20"/>
        </w:rPr>
        <w:t>bude</w:t>
      </w:r>
      <w:r>
        <w:rPr>
          <w:spacing w:val="20"/>
          <w:sz w:val="20"/>
        </w:rPr>
        <w:t> </w:t>
      </w:r>
      <w:r>
        <w:rPr>
          <w:sz w:val="20"/>
        </w:rPr>
        <w:t>provedena</w:t>
      </w:r>
      <w:r>
        <w:rPr>
          <w:spacing w:val="20"/>
          <w:sz w:val="20"/>
        </w:rPr>
        <w:t> </w:t>
      </w:r>
      <w:r>
        <w:rPr>
          <w:sz w:val="20"/>
        </w:rPr>
        <w:t>v souladu</w:t>
      </w:r>
      <w:r>
        <w:rPr>
          <w:spacing w:val="21"/>
          <w:sz w:val="20"/>
        </w:rPr>
        <w:t> </w:t>
      </w:r>
      <w:r>
        <w:rPr>
          <w:sz w:val="20"/>
        </w:rPr>
        <w:t>s Výzvou,</w:t>
      </w:r>
      <w:r>
        <w:rPr>
          <w:spacing w:val="21"/>
          <w:sz w:val="20"/>
        </w:rPr>
        <w:t> </w:t>
      </w:r>
      <w:r>
        <w:rPr>
          <w:sz w:val="20"/>
        </w:rPr>
        <w:t>žádostí</w:t>
      </w:r>
      <w:r>
        <w:rPr>
          <w:spacing w:val="20"/>
          <w:sz w:val="20"/>
        </w:rPr>
        <w:t> </w:t>
      </w:r>
      <w:r>
        <w:rPr>
          <w:sz w:val="20"/>
        </w:rPr>
        <w:t>o podporu a jejími přílohami a touto Smlouvou,</w:t>
      </w:r>
    </w:p>
    <w:p>
      <w:pPr>
        <w:pStyle w:val="ListParagraph"/>
        <w:numPr>
          <w:ilvl w:val="1"/>
          <w:numId w:val="4"/>
        </w:numPr>
        <w:tabs>
          <w:tab w:pos="746" w:val="left" w:leader="none"/>
        </w:tabs>
        <w:spacing w:line="240" w:lineRule="auto" w:before="2" w:after="0"/>
        <w:ind w:left="745" w:right="110" w:hanging="360"/>
        <w:jc w:val="left"/>
        <w:rPr>
          <w:sz w:val="20"/>
        </w:rPr>
      </w:pPr>
      <w:r>
        <w:rPr>
          <w:sz w:val="20"/>
        </w:rPr>
        <w:t>realizací</w:t>
      </w:r>
      <w:r>
        <w:rPr>
          <w:spacing w:val="-12"/>
          <w:sz w:val="20"/>
        </w:rPr>
        <w:t> </w:t>
      </w:r>
      <w:r>
        <w:rPr>
          <w:sz w:val="20"/>
        </w:rPr>
        <w:t>projektu</w:t>
      </w:r>
      <w:r>
        <w:rPr>
          <w:spacing w:val="-10"/>
          <w:sz w:val="20"/>
        </w:rPr>
        <w:t> </w:t>
      </w:r>
      <w:r>
        <w:rPr>
          <w:sz w:val="20"/>
        </w:rPr>
        <w:t>dojde</w:t>
      </w:r>
      <w:r>
        <w:rPr>
          <w:spacing w:val="-12"/>
          <w:sz w:val="20"/>
        </w:rPr>
        <w:t> </w:t>
      </w:r>
      <w:r>
        <w:rPr>
          <w:sz w:val="20"/>
        </w:rPr>
        <w:t>k</w:t>
      </w:r>
      <w:r>
        <w:rPr>
          <w:spacing w:val="-8"/>
          <w:sz w:val="20"/>
        </w:rPr>
        <w:t> </w:t>
      </w:r>
      <w:r>
        <w:rPr>
          <w:sz w:val="20"/>
        </w:rPr>
        <w:t>výstavbě</w:t>
      </w:r>
      <w:r>
        <w:rPr>
          <w:spacing w:val="-12"/>
          <w:sz w:val="20"/>
        </w:rPr>
        <w:t> </w:t>
      </w:r>
      <w:r>
        <w:rPr>
          <w:sz w:val="20"/>
        </w:rPr>
        <w:t>nové</w:t>
      </w:r>
      <w:r>
        <w:rPr>
          <w:spacing w:val="-9"/>
          <w:sz w:val="20"/>
        </w:rPr>
        <w:t> </w:t>
      </w:r>
      <w:r>
        <w:rPr>
          <w:sz w:val="20"/>
        </w:rPr>
        <w:t>fotovoltaické</w:t>
      </w:r>
      <w:r>
        <w:rPr>
          <w:spacing w:val="-10"/>
          <w:sz w:val="20"/>
        </w:rPr>
        <w:t> </w:t>
      </w:r>
      <w:r>
        <w:rPr>
          <w:sz w:val="20"/>
        </w:rPr>
        <w:t>elektrárny</w:t>
      </w:r>
      <w:r>
        <w:rPr>
          <w:spacing w:val="-9"/>
          <w:sz w:val="20"/>
        </w:rPr>
        <w:t> </w:t>
      </w:r>
      <w:r>
        <w:rPr>
          <w:sz w:val="20"/>
        </w:rPr>
        <w:t>se</w:t>
      </w:r>
      <w:r>
        <w:rPr>
          <w:spacing w:val="-10"/>
          <w:sz w:val="20"/>
        </w:rPr>
        <w:t> </w:t>
      </w:r>
      <w:r>
        <w:rPr>
          <w:sz w:val="20"/>
        </w:rPr>
        <w:t>střešní</w:t>
      </w:r>
      <w:r>
        <w:rPr>
          <w:spacing w:val="-10"/>
          <w:sz w:val="20"/>
        </w:rPr>
        <w:t> </w:t>
      </w:r>
      <w:r>
        <w:rPr>
          <w:sz w:val="20"/>
        </w:rPr>
        <w:t>instalací</w:t>
      </w:r>
      <w:r>
        <w:rPr>
          <w:spacing w:val="-7"/>
          <w:sz w:val="20"/>
        </w:rPr>
        <w:t> </w:t>
      </w:r>
      <w:r>
        <w:rPr>
          <w:sz w:val="20"/>
        </w:rPr>
        <w:t>předpokládaným výkonem 221,4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221.40</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153</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461</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178</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2"/>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4"/>
          <w:sz w:val="20"/>
        </w:rPr>
        <w:t> </w:t>
      </w:r>
      <w:r>
        <w:rPr>
          <w:sz w:val="20"/>
        </w:rPr>
        <w:t>předání</w:t>
      </w:r>
      <w:r>
        <w:rPr>
          <w:spacing w:val="-9"/>
          <w:sz w:val="20"/>
        </w:rPr>
        <w:t> </w:t>
      </w:r>
      <w:r>
        <w:rPr>
          <w:sz w:val="20"/>
        </w:rPr>
        <w:t>a</w:t>
      </w:r>
      <w:r>
        <w:rPr>
          <w:spacing w:val="-12"/>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4"/>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spacing w:before="0"/>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10"/>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4"/>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31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65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2024-01-19T12:08:12Z</dcterms:created>
  <dcterms:modified xsi:type="dcterms:W3CDTF">2024-01-19T12:08:12Z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2024-01-19T00:00:00Z</vt:filetime>
  </property>
</Properties>
</file>