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49A46472" w14:textId="77777777" w:rsidR="00D91054" w:rsidRPr="00E93F51" w:rsidRDefault="00D91054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35B535A7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7E1390" w:rsidRPr="007E1390">
        <w:rPr>
          <w:rFonts w:ascii="Arial" w:hAnsi="Arial" w:cs="Arial"/>
          <w:i w:val="0"/>
          <w:sz w:val="22"/>
          <w:szCs w:val="22"/>
        </w:rPr>
        <w:t>pro Pardubický kraj</w:t>
      </w:r>
      <w:r w:rsidR="00A81D64">
        <w:rPr>
          <w:rFonts w:ascii="Arial" w:hAnsi="Arial" w:cs="Arial"/>
          <w:i w:val="0"/>
          <w:sz w:val="22"/>
          <w:szCs w:val="22"/>
        </w:rPr>
        <w:t xml:space="preserve">, </w:t>
      </w:r>
      <w:r w:rsidR="00A81D64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A81D64">
        <w:rPr>
          <w:rFonts w:ascii="Arial" w:hAnsi="Arial" w:cs="Arial"/>
          <w:i w:val="0"/>
          <w:sz w:val="22"/>
          <w:szCs w:val="22"/>
        </w:rPr>
        <w:t>Svitavy</w:t>
      </w:r>
    </w:p>
    <w:p w14:paraId="689A6A53" w14:textId="7FE7424B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7E1390" w:rsidRPr="007E1390">
        <w:rPr>
          <w:rFonts w:ascii="Arial" w:hAnsi="Arial" w:cs="Arial"/>
          <w:i w:val="0"/>
          <w:sz w:val="22"/>
          <w:szCs w:val="22"/>
        </w:rPr>
        <w:t>Milady Horákové 373/10, 568 02 Svitavy</w:t>
      </w:r>
    </w:p>
    <w:p w14:paraId="47549D99" w14:textId="4F4F9528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</w:p>
    <w:p w14:paraId="5C5F1CBD" w14:textId="67127255" w:rsidR="00A81D64" w:rsidRDefault="00D91054" w:rsidP="00A81D64">
      <w:pPr>
        <w:pStyle w:val="Bezmezer"/>
        <w:tabs>
          <w:tab w:val="left" w:pos="0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sz w:val="22"/>
          <w:szCs w:val="22"/>
        </w:rPr>
        <w:t>zastoupený:</w:t>
      </w:r>
      <w:r w:rsidR="00EA21B7" w:rsidRPr="00E93F51">
        <w:rPr>
          <w:rFonts w:ascii="Arial" w:hAnsi="Arial" w:cs="Arial"/>
          <w:sz w:val="22"/>
          <w:szCs w:val="22"/>
        </w:rPr>
        <w:tab/>
      </w:r>
      <w:r w:rsidR="00A81D64" w:rsidRPr="00A81D64">
        <w:rPr>
          <w:rFonts w:ascii="Arial" w:hAnsi="Arial" w:cs="Arial"/>
          <w:sz w:val="22"/>
          <w:szCs w:val="22"/>
        </w:rPr>
        <w:t>Ing. Milošem Šimkem, vedoucím Pobočky Svitavy</w:t>
      </w:r>
      <w:r w:rsidR="00EA21B7" w:rsidRPr="00E93F51">
        <w:rPr>
          <w:rFonts w:ascii="Arial" w:hAnsi="Arial" w:cs="Arial"/>
          <w:sz w:val="22"/>
          <w:szCs w:val="22"/>
        </w:rPr>
        <w:t xml:space="preserve">       </w:t>
      </w:r>
    </w:p>
    <w:p w14:paraId="104D3FEF" w14:textId="5F3B50E7" w:rsidR="00A81D64" w:rsidRDefault="00D91054" w:rsidP="00A81D64">
      <w:pPr>
        <w:pStyle w:val="Bezmezer"/>
        <w:tabs>
          <w:tab w:val="left" w:pos="0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sz w:val="22"/>
          <w:szCs w:val="22"/>
        </w:rPr>
        <w:t>ve smluvních záležitostech oprávněn jednat:</w:t>
      </w:r>
      <w:r w:rsidR="00EA21B7" w:rsidRPr="00E93F51">
        <w:rPr>
          <w:rFonts w:ascii="Arial" w:hAnsi="Arial" w:cs="Arial"/>
          <w:sz w:val="22"/>
          <w:szCs w:val="22"/>
        </w:rPr>
        <w:tab/>
      </w:r>
      <w:r w:rsidR="00A81D64" w:rsidRPr="00A81D64">
        <w:rPr>
          <w:rFonts w:ascii="Arial" w:hAnsi="Arial" w:cs="Arial"/>
          <w:sz w:val="22"/>
          <w:szCs w:val="22"/>
        </w:rPr>
        <w:t>Ing. Miloš Šimek, vedoucí Pobočky Svitavy</w:t>
      </w:r>
    </w:p>
    <w:p w14:paraId="4011BF84" w14:textId="709FEDBE" w:rsidR="00EA21B7" w:rsidRPr="00E93F51" w:rsidRDefault="00EA21B7" w:rsidP="00A81D64">
      <w:pPr>
        <w:pStyle w:val="Bezmezer"/>
        <w:tabs>
          <w:tab w:val="left" w:pos="0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</w:t>
      </w:r>
      <w:r w:rsidR="00D91054">
        <w:rPr>
          <w:rFonts w:ascii="Arial" w:hAnsi="Arial" w:cs="Arial"/>
          <w:sz w:val="22"/>
          <w:szCs w:val="22"/>
        </w:rPr>
        <w:t> 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A81D64" w:rsidRPr="00A81D64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A81D64">
        <w:rPr>
          <w:rFonts w:ascii="Arial" w:hAnsi="Arial" w:cs="Arial"/>
          <w:snapToGrid w:val="0"/>
          <w:sz w:val="22"/>
          <w:szCs w:val="22"/>
        </w:rPr>
        <w:t>Libor Sabáček</w:t>
      </w:r>
      <w:r w:rsidR="00A81D64" w:rsidRPr="00A81D64">
        <w:rPr>
          <w:rFonts w:ascii="Arial" w:hAnsi="Arial" w:cs="Arial"/>
          <w:snapToGrid w:val="0"/>
          <w:sz w:val="22"/>
          <w:szCs w:val="22"/>
        </w:rPr>
        <w:t>, odborný rada, Pobočka Svitavy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3EC78A5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A81D64">
        <w:rPr>
          <w:rFonts w:ascii="Arial" w:hAnsi="Arial" w:cs="Arial"/>
          <w:sz w:val="22"/>
          <w:szCs w:val="22"/>
        </w:rPr>
        <w:t> 725 184 843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750AF378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4060F4" w:rsidRPr="004060F4">
        <w:rPr>
          <w:rFonts w:ascii="Arial" w:hAnsi="Arial" w:cs="Arial"/>
          <w:sz w:val="22"/>
          <w:szCs w:val="22"/>
        </w:rPr>
        <w:t>l.sabacek@spucr</w:t>
      </w:r>
      <w:r w:rsidRPr="00E93F51">
        <w:rPr>
          <w:rFonts w:ascii="Arial" w:hAnsi="Arial" w:cs="Arial"/>
          <w:sz w:val="22"/>
          <w:szCs w:val="22"/>
        </w:rPr>
        <w:t>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427075AE" w:rsidR="00812ED3" w:rsidRPr="00471184" w:rsidRDefault="00ED61CA" w:rsidP="00471184">
      <w:pPr>
        <w:pStyle w:val="Odstavecseseznamem"/>
        <w:numPr>
          <w:ilvl w:val="0"/>
          <w:numId w:val="24"/>
        </w:num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71184">
        <w:rPr>
          <w:rFonts w:ascii="Arial" w:hAnsi="Arial" w:cs="Arial"/>
          <w:b/>
          <w:sz w:val="22"/>
          <w:szCs w:val="22"/>
        </w:rPr>
        <w:t>Zhotovitel:</w:t>
      </w:r>
    </w:p>
    <w:p w14:paraId="07A4F636" w14:textId="4D974333" w:rsidR="00D91054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napToGrid w:val="0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D91054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A81D64" w:rsidRPr="00471184">
        <w:rPr>
          <w:rFonts w:ascii="Arial" w:hAnsi="Arial" w:cs="Arial"/>
          <w:b/>
          <w:snapToGrid w:val="0"/>
          <w:sz w:val="22"/>
          <w:szCs w:val="22"/>
          <w:lang w:val="en-US"/>
        </w:rPr>
        <w:t>IHSgeo s.r.o.</w:t>
      </w:r>
    </w:p>
    <w:p w14:paraId="22AC3A08" w14:textId="75ACA36A" w:rsidR="00ED61CA" w:rsidRPr="00E93F51" w:rsidRDefault="0064480D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93F5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ídlo</w:t>
      </w:r>
      <w:r w:rsidRPr="00E93F51">
        <w:rPr>
          <w:rFonts w:ascii="Arial" w:hAnsi="Arial" w:cs="Arial"/>
          <w:sz w:val="22"/>
          <w:szCs w:val="22"/>
        </w:rPr>
        <w:t>:</w:t>
      </w:r>
      <w:r w:rsidR="00D91054">
        <w:rPr>
          <w:rFonts w:ascii="Arial" w:hAnsi="Arial" w:cs="Arial"/>
          <w:b/>
          <w:sz w:val="22"/>
          <w:szCs w:val="22"/>
        </w:rPr>
        <w:tab/>
      </w:r>
      <w:r w:rsidR="00D91054" w:rsidRPr="00D91054">
        <w:rPr>
          <w:rFonts w:ascii="Arial" w:hAnsi="Arial" w:cs="Arial"/>
          <w:b/>
          <w:sz w:val="22"/>
          <w:szCs w:val="22"/>
        </w:rPr>
        <w:t>Dlouhá 151, 535 01 Břehy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2A709E90" w14:textId="3ADE4892" w:rsidR="00ED61CA" w:rsidRPr="00E93F51" w:rsidRDefault="00ED61CA" w:rsidP="00A81D64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                                              </w:t>
      </w:r>
      <w:r w:rsidR="00A81D64">
        <w:rPr>
          <w:rFonts w:ascii="Arial" w:hAnsi="Arial" w:cs="Arial"/>
          <w:bCs/>
          <w:snapToGrid w:val="0"/>
          <w:sz w:val="22"/>
          <w:szCs w:val="22"/>
          <w:lang w:val="en-US"/>
        </w:rPr>
        <w:t>Mgr. Michal</w:t>
      </w:r>
      <w:r w:rsidR="00CD48D8">
        <w:rPr>
          <w:rFonts w:ascii="Arial" w:hAnsi="Arial" w:cs="Arial"/>
          <w:bCs/>
          <w:snapToGrid w:val="0"/>
          <w:sz w:val="22"/>
          <w:szCs w:val="22"/>
          <w:lang w:val="en-US"/>
        </w:rPr>
        <w:t>em</w:t>
      </w:r>
      <w:r w:rsidR="00A81D64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Štainer</w:t>
      </w:r>
      <w:r w:rsidR="00CD48D8">
        <w:rPr>
          <w:rFonts w:ascii="Arial" w:hAnsi="Arial" w:cs="Arial"/>
          <w:bCs/>
          <w:snapToGrid w:val="0"/>
          <w:sz w:val="22"/>
          <w:szCs w:val="22"/>
          <w:lang w:val="en-US"/>
        </w:rPr>
        <w:t>em</w:t>
      </w:r>
      <w:r w:rsidR="0064480D">
        <w:rPr>
          <w:rFonts w:ascii="Arial" w:hAnsi="Arial" w:cs="Arial"/>
          <w:bCs/>
          <w:snapToGrid w:val="0"/>
          <w:sz w:val="22"/>
          <w:szCs w:val="22"/>
          <w:lang w:val="en-US"/>
        </w:rPr>
        <w:t>, jednatel</w:t>
      </w:r>
      <w:r w:rsidR="00CD48D8">
        <w:rPr>
          <w:rFonts w:ascii="Arial" w:hAnsi="Arial" w:cs="Arial"/>
          <w:bCs/>
          <w:snapToGrid w:val="0"/>
          <w:sz w:val="22"/>
          <w:szCs w:val="22"/>
          <w:lang w:val="en-US"/>
        </w:rPr>
        <w:t>em</w:t>
      </w:r>
    </w:p>
    <w:p w14:paraId="3D7FB62E" w14:textId="5D68E395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="00A81D64">
        <w:rPr>
          <w:rFonts w:ascii="Arial" w:hAnsi="Arial" w:cs="Arial"/>
          <w:bCs/>
          <w:snapToGrid w:val="0"/>
          <w:sz w:val="22"/>
          <w:szCs w:val="22"/>
          <w:lang w:val="en-US"/>
        </w:rPr>
        <w:t>+420 </w:t>
      </w:r>
      <w:r w:rsidR="0076635C">
        <w:rPr>
          <w:rFonts w:ascii="Arial" w:hAnsi="Arial" w:cs="Arial"/>
          <w:bCs/>
          <w:snapToGrid w:val="0"/>
          <w:sz w:val="22"/>
          <w:szCs w:val="22"/>
          <w:lang w:val="en-US"/>
        </w:rPr>
        <w:t>xxx xxx xxx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402B3A41" w:rsidR="004060F4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Style w:val="Hypertextovodkaz"/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e-mail:   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="004060F4" w:rsidRPr="004060F4">
        <w:rPr>
          <w:rFonts w:ascii="Arial" w:hAnsi="Arial" w:cs="Arial"/>
          <w:bCs/>
          <w:snapToGrid w:val="0"/>
          <w:sz w:val="22"/>
          <w:szCs w:val="22"/>
          <w:lang w:val="en-US"/>
        </w:rPr>
        <w:t>xxxxxxxxxxxxxxx</w:t>
      </w:r>
    </w:p>
    <w:p w14:paraId="77BBC475" w14:textId="77777777" w:rsidR="004060F4" w:rsidRDefault="004060F4">
      <w:pPr>
        <w:rPr>
          <w:rStyle w:val="Hypertextovodkaz"/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Style w:val="Hypertextovodkaz"/>
          <w:rFonts w:ascii="Arial" w:hAnsi="Arial" w:cs="Arial"/>
          <w:bCs/>
          <w:snapToGrid w:val="0"/>
          <w:sz w:val="22"/>
          <w:szCs w:val="22"/>
          <w:lang w:val="en-US"/>
        </w:rPr>
        <w:br w:type="page"/>
      </w:r>
    </w:p>
    <w:p w14:paraId="4EA6F925" w14:textId="77777777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</w:p>
    <w:p w14:paraId="3CE6763B" w14:textId="57B66D41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</w:t>
      </w:r>
      <w:r w:rsidR="00B84F48">
        <w:rPr>
          <w:rFonts w:ascii="Arial" w:hAnsi="Arial" w:cs="Arial"/>
          <w:sz w:val="22"/>
          <w:szCs w:val="22"/>
        </w:rPr>
        <w:t> </w:t>
      </w:r>
      <w:r w:rsidRPr="00E93F51">
        <w:rPr>
          <w:rFonts w:ascii="Arial" w:hAnsi="Arial" w:cs="Arial"/>
          <w:sz w:val="22"/>
          <w:szCs w:val="22"/>
        </w:rPr>
        <w:t>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A130C2">
        <w:rPr>
          <w:rFonts w:ascii="Arial" w:hAnsi="Arial" w:cs="Arial"/>
          <w:bCs/>
          <w:snapToGrid w:val="0"/>
          <w:sz w:val="22"/>
          <w:szCs w:val="22"/>
          <w:lang w:val="en-US"/>
        </w:rPr>
        <w:t>xxxxxxxxxxxxxxxxx</w:t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0C8A40CA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                                                      </w:t>
      </w:r>
      <w:r w:rsidR="00A81D64">
        <w:rPr>
          <w:rFonts w:ascii="Arial" w:hAnsi="Arial" w:cs="Arial"/>
          <w:bCs/>
          <w:snapToGrid w:val="0"/>
          <w:sz w:val="22"/>
          <w:szCs w:val="22"/>
          <w:lang w:val="en-US"/>
        </w:rPr>
        <w:t>+420 </w:t>
      </w:r>
      <w:r w:rsidR="00A130C2">
        <w:rPr>
          <w:rFonts w:ascii="Arial" w:hAnsi="Arial" w:cs="Arial"/>
          <w:bCs/>
          <w:snapToGrid w:val="0"/>
          <w:sz w:val="22"/>
          <w:szCs w:val="22"/>
          <w:lang w:val="en-US"/>
        </w:rPr>
        <w:t>xxx xxx xxx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5566AC99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A81D64">
        <w:rPr>
          <w:rFonts w:ascii="Arial" w:hAnsi="Arial" w:cs="Arial"/>
          <w:sz w:val="22"/>
          <w:szCs w:val="22"/>
        </w:rPr>
        <w:tab/>
      </w:r>
      <w:r w:rsidR="004060F4" w:rsidRPr="004060F4">
        <w:rPr>
          <w:rFonts w:ascii="Arial" w:hAnsi="Arial" w:cs="Arial"/>
          <w:bCs/>
          <w:snapToGrid w:val="0"/>
          <w:sz w:val="22"/>
          <w:szCs w:val="22"/>
          <w:lang w:val="en-US"/>
        </w:rPr>
        <w:t>xxxxxxxxxxxxxxx</w:t>
      </w:r>
    </w:p>
    <w:p w14:paraId="170D298E" w14:textId="0F131008" w:rsidR="004922A9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4922A9" w:rsidRPr="004922A9">
        <w:rPr>
          <w:rFonts w:ascii="Arial" w:hAnsi="Arial" w:cs="Arial"/>
          <w:sz w:val="22"/>
          <w:szCs w:val="22"/>
        </w:rPr>
        <w:t>dnx7967</w:t>
      </w:r>
      <w:r w:rsidR="004922A9" w:rsidRPr="004922A9" w:rsidDel="004922A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2639769C" w14:textId="38AC55D0" w:rsidR="00ED61CA" w:rsidRPr="00E93F51" w:rsidRDefault="00ED61CA" w:rsidP="004922A9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B84F48" w:rsidRPr="00E93F51">
        <w:rPr>
          <w:rFonts w:ascii="Arial" w:hAnsi="Arial" w:cs="Arial"/>
          <w:sz w:val="22"/>
          <w:szCs w:val="22"/>
        </w:rPr>
        <w:t>B</w:t>
      </w:r>
      <w:r w:rsidRPr="00E93F51">
        <w:rPr>
          <w:rFonts w:ascii="Arial" w:hAnsi="Arial" w:cs="Arial"/>
          <w:sz w:val="22"/>
          <w:szCs w:val="22"/>
        </w:rPr>
        <w:t>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232093">
        <w:rPr>
          <w:rFonts w:ascii="Arial" w:hAnsi="Arial" w:cs="Arial"/>
          <w:bCs/>
          <w:snapToGrid w:val="0"/>
          <w:sz w:val="22"/>
          <w:szCs w:val="22"/>
          <w:lang w:val="en-US"/>
        </w:rPr>
        <w:t>Fio banka a.s.</w:t>
      </w:r>
      <w:r w:rsidR="00B84F48">
        <w:rPr>
          <w:rFonts w:ascii="Arial" w:hAnsi="Arial" w:cs="Arial"/>
          <w:bCs/>
          <w:snapToGrid w:val="0"/>
          <w:sz w:val="22"/>
          <w:szCs w:val="22"/>
          <w:lang w:val="en-US"/>
        </w:rPr>
        <w:t>, Praha 1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4664DD69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D9798C">
        <w:rPr>
          <w:rFonts w:ascii="Arial" w:hAnsi="Arial" w:cs="Arial"/>
          <w:bCs/>
          <w:snapToGrid w:val="0"/>
          <w:sz w:val="22"/>
          <w:szCs w:val="22"/>
          <w:lang w:val="en-US"/>
        </w:rPr>
        <w:t>725007250/</w:t>
      </w:r>
      <w:r w:rsidR="00232093">
        <w:rPr>
          <w:rFonts w:ascii="Arial" w:hAnsi="Arial" w:cs="Arial"/>
          <w:bCs/>
          <w:snapToGrid w:val="0"/>
          <w:sz w:val="22"/>
          <w:szCs w:val="22"/>
          <w:lang w:val="en-US"/>
        </w:rPr>
        <w:t>2010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695AC032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4922A9">
        <w:rPr>
          <w:rFonts w:ascii="Arial" w:hAnsi="Arial" w:cs="Arial"/>
          <w:bCs/>
          <w:snapToGrid w:val="0"/>
          <w:sz w:val="22"/>
          <w:szCs w:val="22"/>
          <w:lang w:val="en-US"/>
        </w:rPr>
        <w:t>17667917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268EDE9C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4922A9" w:rsidRPr="007B54F0">
        <w:rPr>
          <w:rFonts w:ascii="Arial" w:hAnsi="Arial" w:cs="Arial"/>
          <w:bCs/>
          <w:snapToGrid w:val="0"/>
          <w:sz w:val="22"/>
          <w:szCs w:val="22"/>
          <w:lang w:val="en-US"/>
        </w:rPr>
        <w:t>CZ17667917</w:t>
      </w:r>
      <w:r w:rsidR="00B84F48">
        <w:rPr>
          <w:rFonts w:ascii="Arial" w:hAnsi="Arial" w:cs="Arial"/>
          <w:bCs/>
          <w:snapToGrid w:val="0"/>
          <w:sz w:val="22"/>
          <w:szCs w:val="22"/>
          <w:lang w:val="en-US"/>
        </w:rPr>
        <w:t>,</w:t>
      </w:r>
      <w:r w:rsidR="00812ED3" w:rsidRPr="007B54F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812ED3" w:rsidRPr="00471184">
        <w:rPr>
          <w:rFonts w:ascii="Arial" w:hAnsi="Arial" w:cs="Arial"/>
          <w:bCs/>
          <w:snapToGrid w:val="0"/>
          <w:sz w:val="22"/>
          <w:szCs w:val="22"/>
          <w:lang w:val="en-US"/>
        </w:rPr>
        <w:t>je plátcem DPH</w:t>
      </w:r>
    </w:p>
    <w:p w14:paraId="049E6CED" w14:textId="3E62E582" w:rsidR="00ED61CA" w:rsidRPr="00D9798C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D9798C">
        <w:rPr>
          <w:rFonts w:ascii="Arial" w:hAnsi="Arial" w:cs="Arial"/>
          <w:sz w:val="22"/>
          <w:szCs w:val="22"/>
        </w:rPr>
        <w:t>Společnost je zapsaná v obchodním rejstříku</w:t>
      </w:r>
      <w:r w:rsidR="001A279F">
        <w:rPr>
          <w:rFonts w:ascii="Arial" w:hAnsi="Arial" w:cs="Arial"/>
          <w:sz w:val="22"/>
          <w:szCs w:val="22"/>
        </w:rPr>
        <w:t>,</w:t>
      </w:r>
      <w:r w:rsidRPr="00D9798C">
        <w:rPr>
          <w:rFonts w:ascii="Arial" w:hAnsi="Arial" w:cs="Arial"/>
          <w:sz w:val="22"/>
          <w:szCs w:val="22"/>
        </w:rPr>
        <w:t xml:space="preserve"> vedeném u </w:t>
      </w:r>
      <w:r w:rsidR="00D9798C" w:rsidRPr="00471184">
        <w:rPr>
          <w:rFonts w:ascii="Arial" w:hAnsi="Arial" w:cs="Arial"/>
          <w:bCs/>
          <w:snapToGrid w:val="0"/>
          <w:sz w:val="22"/>
          <w:szCs w:val="22"/>
        </w:rPr>
        <w:t>Krajského soudu v Hradci Králové</w:t>
      </w:r>
      <w:r w:rsidRPr="00D9798C">
        <w:rPr>
          <w:rFonts w:ascii="Arial" w:hAnsi="Arial" w:cs="Arial"/>
          <w:sz w:val="22"/>
          <w:szCs w:val="22"/>
        </w:rPr>
        <w:t>, oddíl</w:t>
      </w:r>
      <w:r w:rsidR="00D35F90" w:rsidRPr="00D9798C">
        <w:rPr>
          <w:rFonts w:ascii="Arial" w:hAnsi="Arial" w:cs="Arial"/>
          <w:sz w:val="22"/>
          <w:szCs w:val="22"/>
        </w:rPr>
        <w:t xml:space="preserve"> </w:t>
      </w:r>
      <w:r w:rsidR="00D9798C" w:rsidRPr="00471184">
        <w:rPr>
          <w:rFonts w:ascii="Arial" w:hAnsi="Arial" w:cs="Arial"/>
          <w:bCs/>
          <w:snapToGrid w:val="0"/>
          <w:sz w:val="22"/>
          <w:szCs w:val="22"/>
        </w:rPr>
        <w:t>C</w:t>
      </w:r>
      <w:r w:rsidRPr="00D9798C">
        <w:rPr>
          <w:rFonts w:ascii="Arial" w:hAnsi="Arial" w:cs="Arial"/>
          <w:sz w:val="22"/>
          <w:szCs w:val="22"/>
        </w:rPr>
        <w:t>, vložka</w:t>
      </w:r>
      <w:r w:rsidR="00D35F90" w:rsidRPr="00D9798C">
        <w:rPr>
          <w:rFonts w:ascii="Arial" w:hAnsi="Arial" w:cs="Arial"/>
          <w:sz w:val="22"/>
          <w:szCs w:val="22"/>
        </w:rPr>
        <w:t xml:space="preserve"> </w:t>
      </w:r>
      <w:r w:rsidR="00D9798C" w:rsidRPr="00471184">
        <w:rPr>
          <w:rFonts w:ascii="Arial" w:hAnsi="Arial" w:cs="Arial"/>
          <w:bCs/>
          <w:snapToGrid w:val="0"/>
          <w:sz w:val="22"/>
          <w:szCs w:val="22"/>
        </w:rPr>
        <w:t>50216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730B8996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76551EBD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4922A9" w:rsidRPr="004922A9">
        <w:t xml:space="preserve"> </w:t>
      </w:r>
      <w:r w:rsidR="004922A9" w:rsidRPr="004922A9">
        <w:rPr>
          <w:rFonts w:ascii="Arial" w:hAnsi="Arial" w:cs="Arial"/>
          <w:bCs/>
          <w:snapToGrid w:val="0"/>
          <w:sz w:val="22"/>
          <w:szCs w:val="22"/>
          <w:lang w:val="en-US"/>
        </w:rPr>
        <w:t>SPU 462382/2023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E93F51">
        <w:rPr>
          <w:rStyle w:val="Siln"/>
          <w:rFonts w:ascii="Arial" w:hAnsi="Arial" w:cs="Arial"/>
          <w:sz w:val="22"/>
          <w:szCs w:val="22"/>
        </w:rPr>
        <w:t>v k.ú.</w:t>
      </w:r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4922A9">
        <w:rPr>
          <w:rFonts w:ascii="Arial" w:hAnsi="Arial" w:cs="Arial"/>
          <w:b/>
          <w:sz w:val="22"/>
          <w:szCs w:val="22"/>
        </w:rPr>
        <w:t>Chornice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4922A9">
        <w:rPr>
          <w:rFonts w:ascii="Arial" w:hAnsi="Arial" w:cs="Arial"/>
          <w:sz w:val="22"/>
          <w:szCs w:val="22"/>
        </w:rPr>
        <w:t>Chornice.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1AA1A1A4" w:rsidR="00B04130" w:rsidRPr="00E93F51" w:rsidRDefault="004922A9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3897BD4" w14:textId="2BD7D1B9" w:rsidR="00BC1D8F" w:rsidRPr="00E93F51" w:rsidRDefault="008325A1" w:rsidP="006437E1">
      <w:pPr>
        <w:pStyle w:val="Bezmezer"/>
        <w:spacing w:line="276" w:lineRule="auto"/>
        <w:ind w:left="709"/>
        <w:rPr>
          <w:rFonts w:ascii="Arial" w:hAnsi="Arial" w:cs="Arial"/>
          <w:b/>
          <w:bCs/>
          <w:i/>
          <w:sz w:val="22"/>
          <w:szCs w:val="22"/>
          <w:lang w:val="x-non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F346F0">
        <w:rPr>
          <w:rStyle w:val="Siln"/>
          <w:rFonts w:ascii="Arial" w:hAnsi="Arial" w:cs="Arial"/>
          <w:b w:val="0"/>
          <w:sz w:val="22"/>
          <w:szCs w:val="22"/>
        </w:rPr>
        <w:t>: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3C604B28" w14:textId="7DBD59D5" w:rsidR="008325A1" w:rsidRPr="00E93F51" w:rsidRDefault="00DC55FB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7B54F0">
        <w:rPr>
          <w:rStyle w:val="Siln"/>
          <w:rFonts w:ascii="Arial" w:hAnsi="Arial" w:cs="Arial"/>
          <w:b w:val="0"/>
          <w:sz w:val="22"/>
          <w:szCs w:val="22"/>
        </w:rPr>
        <w:t>předběžný pro vodní nádrž</w:t>
      </w:r>
      <w:r w:rsidR="00F346F0" w:rsidRPr="007B54F0">
        <w:rPr>
          <w:rStyle w:val="Siln"/>
          <w:rFonts w:ascii="Arial" w:hAnsi="Arial" w:cs="Arial"/>
          <w:b w:val="0"/>
          <w:sz w:val="22"/>
          <w:szCs w:val="22"/>
        </w:rPr>
        <w:t xml:space="preserve"> (poldr)</w:t>
      </w:r>
      <w:r w:rsidRPr="007B54F0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F346F0" w:rsidRPr="007B54F0">
        <w:rPr>
          <w:rStyle w:val="Siln"/>
          <w:rFonts w:ascii="Arial" w:hAnsi="Arial" w:cs="Arial"/>
          <w:b w:val="0"/>
          <w:sz w:val="22"/>
          <w:szCs w:val="22"/>
        </w:rPr>
        <w:t>předb</w:t>
      </w:r>
      <w:r w:rsidR="00A85C66" w:rsidRPr="007B54F0">
        <w:rPr>
          <w:rStyle w:val="Siln"/>
          <w:rFonts w:ascii="Arial" w:hAnsi="Arial" w:cs="Arial"/>
          <w:b w:val="0"/>
          <w:sz w:val="22"/>
          <w:szCs w:val="22"/>
        </w:rPr>
        <w:t>ěžný pro protierozní stavby</w:t>
      </w:r>
      <w:r w:rsidR="00AC58B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podkladů a </w:t>
      </w:r>
      <w:r w:rsidR="008325A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8325A1"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2ED5B91D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</w:t>
      </w:r>
      <w:r w:rsidRPr="00087BB5">
        <w:rPr>
          <w:rStyle w:val="Siln"/>
          <w:rFonts w:ascii="Arial" w:hAnsi="Arial" w:cs="Arial"/>
          <w:b w:val="0"/>
          <w:sz w:val="22"/>
          <w:szCs w:val="22"/>
        </w:rPr>
        <w:t xml:space="preserve">Příloze č. 1 </w:t>
      </w:r>
      <w:r w:rsidR="00F346F0" w:rsidRPr="00087BB5">
        <w:rPr>
          <w:rStyle w:val="Siln"/>
          <w:rFonts w:ascii="Arial" w:hAnsi="Arial" w:cs="Arial"/>
          <w:b w:val="0"/>
          <w:sz w:val="22"/>
          <w:szCs w:val="22"/>
        </w:rPr>
        <w:t xml:space="preserve">a č. 2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39531A12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05EB" w:rsidRPr="00E94759">
        <w:rPr>
          <w:rStyle w:val="Siln"/>
          <w:b w:val="0"/>
        </w:rPr>
        <w:t xml:space="preserve">Čl. </w:t>
      </w:r>
      <w:r w:rsidR="001B05EB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2D0FC2A5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346F0" w:rsidRPr="007B54F0">
        <w:rPr>
          <w:rStyle w:val="Siln"/>
          <w:rFonts w:ascii="Arial" w:hAnsi="Arial" w:cs="Arial"/>
          <w:bCs w:val="0"/>
          <w:sz w:val="22"/>
          <w:szCs w:val="22"/>
        </w:rPr>
        <w:t>31.3.2024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79CD2BC7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F346F0">
        <w:rPr>
          <w:rStyle w:val="Siln"/>
          <w:rFonts w:ascii="Arial" w:hAnsi="Arial" w:cs="Arial"/>
          <w:b w:val="0"/>
          <w:sz w:val="22"/>
          <w:szCs w:val="22"/>
        </w:rPr>
        <w:t xml:space="preserve">okres Svitavy, </w:t>
      </w:r>
      <w:r w:rsidR="007B54F0">
        <w:rPr>
          <w:rStyle w:val="Siln"/>
          <w:rFonts w:ascii="Arial" w:hAnsi="Arial" w:cs="Arial"/>
          <w:b w:val="0"/>
          <w:sz w:val="22"/>
          <w:szCs w:val="22"/>
        </w:rPr>
        <w:t xml:space="preserve">obec Chornice, </w:t>
      </w:r>
      <w:r w:rsidR="00F346F0">
        <w:rPr>
          <w:rStyle w:val="Siln"/>
          <w:rFonts w:ascii="Arial" w:hAnsi="Arial" w:cs="Arial"/>
          <w:b w:val="0"/>
          <w:sz w:val="22"/>
          <w:szCs w:val="22"/>
        </w:rPr>
        <w:t>katastrální území Chornice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760E809F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316EF9" w:rsidRPr="007B54F0">
        <w:rPr>
          <w:rFonts w:ascii="Arial" w:hAnsi="Arial" w:cs="Arial"/>
          <w:i w:val="0"/>
          <w:sz w:val="22"/>
          <w:szCs w:val="22"/>
        </w:rPr>
        <w:t>31.3.2024</w:t>
      </w:r>
      <w:r w:rsidR="001C4016" w:rsidRPr="007B54F0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="00720F63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49EA0312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ílo objednateli v počtu 3 paré v listinné formě a v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e dvou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vyhotovení v digitální formě na paměťovém médiu (CD/DVD/flash disk),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7ECCF9FF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05EB" w:rsidRPr="00E94759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4177BBA6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</w:t>
      </w:r>
      <w:r w:rsidR="00720F63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sjednaných</w:t>
      </w:r>
      <w:r w:rsidR="00720F63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6EE31C48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316EF9" w:rsidRPr="007B54F0">
        <w:rPr>
          <w:rFonts w:ascii="Arial" w:hAnsi="Arial" w:cs="Arial"/>
          <w:bCs/>
          <w:i w:val="0"/>
          <w:sz w:val="22"/>
          <w:szCs w:val="22"/>
        </w:rPr>
        <w:t xml:space="preserve">55 000 </w:t>
      </w:r>
      <w:r w:rsidR="00B745E4" w:rsidRPr="007B54F0">
        <w:rPr>
          <w:rFonts w:ascii="Arial" w:hAnsi="Arial" w:cs="Arial"/>
          <w:bCs/>
          <w:i w:val="0"/>
          <w:sz w:val="22"/>
          <w:szCs w:val="22"/>
        </w:rPr>
        <w:t>Kč</w:t>
      </w:r>
      <w:r w:rsidR="002B0933" w:rsidRPr="00316EF9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0AC87DA9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316EF9" w:rsidRPr="007B54F0">
        <w:rPr>
          <w:rFonts w:ascii="Arial" w:hAnsi="Arial" w:cs="Arial"/>
          <w:bCs/>
          <w:i w:val="0"/>
          <w:sz w:val="22"/>
          <w:szCs w:val="22"/>
        </w:rPr>
        <w:t>11 550</w:t>
      </w:r>
      <w:r w:rsidRPr="007B54F0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4B57D632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06795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16EF9" w:rsidRPr="007B54F0">
        <w:rPr>
          <w:rFonts w:ascii="Arial" w:hAnsi="Arial" w:cs="Arial"/>
          <w:bCs/>
          <w:i w:val="0"/>
          <w:sz w:val="22"/>
          <w:szCs w:val="22"/>
        </w:rPr>
        <w:t>66 550</w:t>
      </w:r>
      <w:r w:rsidR="00B745E4" w:rsidRPr="007B54F0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2B0933" w:rsidRPr="007B54F0">
        <w:rPr>
          <w:rFonts w:ascii="Arial" w:hAnsi="Arial" w:cs="Arial"/>
          <w:b w:val="0"/>
          <w:bCs/>
          <w:i w:val="0"/>
          <w:sz w:val="22"/>
          <w:szCs w:val="22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7D0F0BF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0E3509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provedením</w:t>
      </w:r>
      <w:r w:rsidR="000E3509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díla,</w:t>
      </w:r>
      <w:r w:rsidR="000E3509">
        <w:rPr>
          <w:rFonts w:ascii="Arial" w:hAnsi="Arial" w:cs="Arial"/>
          <w:b w:val="0"/>
          <w:i w:val="0"/>
          <w:sz w:val="22"/>
          <w:szCs w:val="22"/>
        </w:rPr>
        <w:t> </w:t>
      </w:r>
      <w:r w:rsidR="00DE53A0">
        <w:rPr>
          <w:rFonts w:ascii="Arial" w:hAnsi="Arial" w:cs="Arial"/>
          <w:b w:val="0"/>
          <w:i w:val="0"/>
          <w:sz w:val="22"/>
          <w:szCs w:val="22"/>
        </w:rPr>
        <w:t>je</w:t>
      </w:r>
      <w:r w:rsidR="000E3509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</w:t>
      </w:r>
      <w:r w:rsidR="000E3509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účinnosti</w:t>
      </w:r>
      <w:r w:rsidR="000E3509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693B7AFE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</w:t>
      </w:r>
      <w:r w:rsidR="000E350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0347E2BA" w:rsidR="004641A4" w:rsidRPr="00E93F51" w:rsidRDefault="004641A4" w:rsidP="000E3509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</w:t>
      </w:r>
      <w:r w:rsidR="000E350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tím,</w:t>
      </w:r>
      <w:r w:rsidR="000E350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5D19303F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189FA540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05EB" w:rsidRPr="00E94759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3F93343C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05EB" w:rsidRPr="00E94759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05EB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4677837D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výši </w:t>
      </w:r>
      <w:r w:rsidR="004568DC" w:rsidRPr="007B54F0">
        <w:rPr>
          <w:rFonts w:ascii="Arial" w:hAnsi="Arial" w:cs="Arial"/>
          <w:sz w:val="22"/>
          <w:szCs w:val="22"/>
          <w:lang w:val="en-US"/>
        </w:rPr>
        <w:t>2</w:t>
      </w:r>
      <w:r w:rsidR="006717EA">
        <w:rPr>
          <w:rFonts w:ascii="Arial" w:hAnsi="Arial" w:cs="Arial"/>
          <w:sz w:val="22"/>
          <w:szCs w:val="22"/>
          <w:lang w:val="en-US"/>
        </w:rPr>
        <w:t> </w:t>
      </w:r>
      <w:r w:rsidR="004568DC" w:rsidRPr="007B54F0">
        <w:rPr>
          <w:rFonts w:ascii="Arial" w:hAnsi="Arial" w:cs="Arial"/>
          <w:sz w:val="22"/>
          <w:szCs w:val="22"/>
          <w:lang w:val="en-US"/>
        </w:rPr>
        <w:t>500</w:t>
      </w:r>
      <w:r w:rsidR="006717EA">
        <w:rPr>
          <w:rFonts w:ascii="Arial" w:hAnsi="Arial" w:cs="Arial"/>
          <w:sz w:val="22"/>
          <w:szCs w:val="22"/>
          <w:lang w:val="en-US"/>
        </w:rPr>
        <w:t>,00</w:t>
      </w:r>
      <w:r w:rsidR="004568DC" w:rsidRPr="007B54F0">
        <w:rPr>
          <w:rFonts w:ascii="Arial" w:hAnsi="Arial" w:cs="Arial"/>
          <w:sz w:val="22"/>
          <w:szCs w:val="22"/>
          <w:lang w:val="en-US"/>
        </w:rPr>
        <w:t xml:space="preserve"> Kč</w:t>
      </w:r>
      <w:r w:rsidR="004568DC" w:rsidRPr="007B54F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</w:t>
      </w:r>
      <w:r w:rsidRPr="008A38D2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. Toto ustanovení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den ode dne doručení písemné výzvy oprávněné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0D47AD2E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05EB" w:rsidRPr="00E94759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11CB66DA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05EB" w:rsidRPr="00E94759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433561F5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05EB" w:rsidRPr="00E94759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B05EB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 xml:space="preserve">Je-li závazek vypovězen, zaniká </w:t>
      </w:r>
      <w:r w:rsidRPr="00A661E7">
        <w:rPr>
          <w:rFonts w:ascii="Arial" w:hAnsi="Arial" w:cs="Arial"/>
          <w:bCs/>
          <w:sz w:val="22"/>
          <w:szCs w:val="22"/>
        </w:rPr>
        <w:lastRenderedPageBreak/>
        <w:t>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1596707D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087BB5">
        <w:rPr>
          <w:rFonts w:ascii="Arial" w:hAnsi="Arial" w:cs="Arial"/>
          <w:bCs/>
          <w:sz w:val="22"/>
          <w:szCs w:val="22"/>
        </w:rPr>
        <w:t xml:space="preserve">66 550,00 </w:t>
      </w:r>
      <w:r w:rsidRPr="00743BE9">
        <w:rPr>
          <w:rFonts w:ascii="Arial" w:hAnsi="Arial" w:cs="Arial"/>
          <w:bCs/>
          <w:sz w:val="22"/>
          <w:szCs w:val="22"/>
        </w:rPr>
        <w:t xml:space="preserve">Kč.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604C3434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0E3509">
        <w:rPr>
          <w:rStyle w:val="Siln"/>
          <w:rFonts w:ascii="Arial" w:hAnsi="Arial" w:cs="Arial"/>
          <w:b w:val="0"/>
          <w:sz w:val="22"/>
          <w:szCs w:val="22"/>
        </w:rPr>
        <w:t>:</w:t>
      </w:r>
    </w:p>
    <w:p w14:paraId="5E8334D5" w14:textId="1E8ADA84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4FEDCF39" w14:textId="4D317540" w:rsidR="008A38D2" w:rsidRPr="00E93F51" w:rsidRDefault="008A38D2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Příloha č. 2: Situace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40FB7562" w:rsidR="00433AC4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9D30CB1" w14:textId="77777777" w:rsidR="000E3509" w:rsidRPr="00E93F51" w:rsidRDefault="000E3509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1FC18703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8A38D2">
              <w:rPr>
                <w:rFonts w:ascii="Arial" w:hAnsi="Arial" w:cs="Arial"/>
                <w:b w:val="0"/>
                <w:i w:val="0"/>
                <w:sz w:val="22"/>
                <w:szCs w:val="22"/>
              </w:rPr>
              <w:t>e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8A38D2">
              <w:rPr>
                <w:rFonts w:ascii="Arial" w:hAnsi="Arial" w:cs="Arial"/>
                <w:b w:val="0"/>
                <w:i w:val="0"/>
                <w:sz w:val="22"/>
                <w:szCs w:val="22"/>
              </w:rPr>
              <w:t>Svitavách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C46C8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1. 12. 2023</w:t>
            </w:r>
          </w:p>
        </w:tc>
        <w:tc>
          <w:tcPr>
            <w:tcW w:w="4606" w:type="dxa"/>
            <w:shd w:val="clear" w:color="auto" w:fill="auto"/>
          </w:tcPr>
          <w:p w14:paraId="1A62A2E1" w14:textId="145CDD70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D9798C">
              <w:rPr>
                <w:rFonts w:ascii="Arial" w:hAnsi="Arial" w:cs="Arial"/>
                <w:b w:val="0"/>
                <w:i w:val="0"/>
                <w:sz w:val="22"/>
                <w:szCs w:val="22"/>
              </w:rPr>
              <w:t>Břehách</w:t>
            </w:r>
            <w:r w:rsidR="00D9798C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C46C8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1. 12. 2023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8CCC0B2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64918265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85BEDF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22972E2B" w14:textId="77777777" w:rsidR="000E3509" w:rsidRDefault="000E350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56FA4B0" w14:textId="77777777" w:rsidR="000E3509" w:rsidRDefault="000E350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66CC287" w:rsidR="008B0A11" w:rsidRPr="00E93F51" w:rsidRDefault="008B0A1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DA5AD5D" w14:textId="77777777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122C5B1" w14:textId="77777777" w:rsidR="000E3509" w:rsidRDefault="000E350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7276C44" w14:textId="18E8AC32" w:rsidR="000E3509" w:rsidRPr="00E93F51" w:rsidRDefault="000E350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6918F497" w14:textId="77777777" w:rsidR="008A38D2" w:rsidRDefault="008A38D2" w:rsidP="008A38D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Miloš Šimek </w:t>
            </w:r>
          </w:p>
          <w:p w14:paraId="7D6C249C" w14:textId="77777777" w:rsidR="008A38D2" w:rsidRDefault="008A38D2" w:rsidP="008A38D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vedoucí Pobočky Svitavy </w:t>
            </w:r>
          </w:p>
          <w:p w14:paraId="38C57A1F" w14:textId="77777777" w:rsidR="008A38D2" w:rsidRDefault="008A38D2" w:rsidP="008A38D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Státní pozemkový úřad </w:t>
            </w:r>
          </w:p>
          <w:p w14:paraId="3FFD21F9" w14:textId="2C179799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5C43AD2" w14:textId="48563A89" w:rsidR="0029141F" w:rsidRDefault="008B0A1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Mgr. Michal Štainer</w:t>
            </w:r>
          </w:p>
          <w:p w14:paraId="06F0B68A" w14:textId="77777777" w:rsidR="008B0A11" w:rsidRDefault="008B0A1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IHSgeo s.r.o.</w:t>
            </w:r>
          </w:p>
          <w:p w14:paraId="6D0D2AD1" w14:textId="74D0D2E8" w:rsidR="008B0A11" w:rsidRPr="00E93F51" w:rsidRDefault="008B0A1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296E9326" w:rsidR="00821765" w:rsidRPr="00E93F51" w:rsidRDefault="00821765" w:rsidP="007B54F0">
      <w:pPr>
        <w:pStyle w:val="TSlneksmlouvy"/>
        <w:spacing w:before="0" w:after="0" w:line="276" w:lineRule="auto"/>
        <w:jc w:val="left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471B371D" w14:textId="7836FBFA" w:rsidR="008A38D2" w:rsidRPr="00E93F51" w:rsidRDefault="008A38D2" w:rsidP="008A38D2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průzkum </w:t>
      </w:r>
      <w:r w:rsidR="009B077F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pro vodní nádrže a poldry</w:t>
      </w:r>
      <w:r w:rsidR="009B077F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, pro protierozní opatření)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12D1FA6" w14:textId="77777777" w:rsidR="008A38D2" w:rsidRPr="00E93F51" w:rsidRDefault="008A38D2" w:rsidP="008A38D2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6B2424B4" w14:textId="77777777" w:rsidR="008A38D2" w:rsidRPr="00E93F51" w:rsidRDefault="008A38D2" w:rsidP="008A38D2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64A101E7" w14:textId="77777777" w:rsidR="008A38D2" w:rsidRPr="00E93F51" w:rsidRDefault="008A38D2" w:rsidP="008A38D2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8A38D2" w:rsidRPr="00E93F51" w14:paraId="5FFEC9D4" w14:textId="77777777" w:rsidTr="003724EE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E625" w14:textId="77777777" w:rsidR="008A38D2" w:rsidRPr="00E93F51" w:rsidRDefault="008A38D2" w:rsidP="003724EE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3CA26" w14:textId="77777777" w:rsidR="008A38D2" w:rsidRPr="00E93F51" w:rsidRDefault="008A38D2" w:rsidP="003724EE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8A38D2" w:rsidRPr="00E93F51" w14:paraId="4EC88387" w14:textId="77777777" w:rsidTr="003724E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1A26E" w14:textId="77777777" w:rsidR="008A38D2" w:rsidRPr="00E93F51" w:rsidRDefault="008A38D2" w:rsidP="003724EE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13CB1" w14:textId="77777777" w:rsidR="008A38D2" w:rsidRPr="00E93F51" w:rsidRDefault="008A38D2" w:rsidP="003724E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206E6" w14:textId="77777777" w:rsidR="008A38D2" w:rsidRPr="00E93F51" w:rsidRDefault="008A38D2" w:rsidP="003724EE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F9307" w14:textId="77777777" w:rsidR="008A38D2" w:rsidRPr="00E93F51" w:rsidRDefault="008A38D2" w:rsidP="003724E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357B" w14:textId="77777777" w:rsidR="008A38D2" w:rsidRPr="00E93F51" w:rsidRDefault="008A38D2" w:rsidP="003724EE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8A38D2" w:rsidRPr="00E93F51" w14:paraId="1806127A" w14:textId="77777777" w:rsidTr="003724E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B5B2" w14:textId="77777777" w:rsidR="008A38D2" w:rsidRPr="00E93F51" w:rsidRDefault="008A38D2" w:rsidP="00372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95DD6" w14:textId="77777777" w:rsidR="008A38D2" w:rsidRPr="00E93F51" w:rsidRDefault="008A38D2" w:rsidP="003724EE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18B13" w14:textId="77777777" w:rsidR="008A38D2" w:rsidRPr="00E93F51" w:rsidRDefault="008A38D2" w:rsidP="003724E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11174" w14:textId="77777777" w:rsidR="008A38D2" w:rsidRPr="00E93F51" w:rsidRDefault="008A38D2" w:rsidP="003724E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4670" w14:textId="77777777" w:rsidR="008A38D2" w:rsidRPr="00E93F51" w:rsidRDefault="008A38D2" w:rsidP="003724E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8A38D2" w:rsidRPr="00E93F51" w14:paraId="1C16D973" w14:textId="77777777" w:rsidTr="003724E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F995A" w14:textId="77777777" w:rsidR="008A38D2" w:rsidRPr="00E93F51" w:rsidRDefault="008A38D2" w:rsidP="003724EE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AF307" w14:textId="77777777" w:rsidR="008A38D2" w:rsidRPr="00E93F51" w:rsidRDefault="008A38D2" w:rsidP="003724E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A2B82" w14:textId="77777777" w:rsidR="008A38D2" w:rsidRPr="00E93F51" w:rsidRDefault="008A38D2" w:rsidP="00372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3FD81" w14:textId="77777777" w:rsidR="008A38D2" w:rsidRPr="00E93F51" w:rsidRDefault="008A38D2" w:rsidP="00372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318D" w14:textId="77777777" w:rsidR="008A38D2" w:rsidRPr="00E93F51" w:rsidRDefault="008A38D2" w:rsidP="00372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8D2" w:rsidRPr="00E93F51" w14:paraId="701DF88C" w14:textId="77777777" w:rsidTr="003724E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0C18F" w14:textId="77777777" w:rsidR="008A38D2" w:rsidRPr="00E93F51" w:rsidRDefault="008A38D2" w:rsidP="00372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E47F1" w14:textId="77777777" w:rsidR="008A38D2" w:rsidRPr="00E93F51" w:rsidRDefault="008A38D2" w:rsidP="003724EE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ABCD8" w14:textId="77777777" w:rsidR="008A38D2" w:rsidRPr="00E93F51" w:rsidRDefault="008A38D2" w:rsidP="003724E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B9192" w14:textId="77777777" w:rsidR="008A38D2" w:rsidRPr="00E93F51" w:rsidRDefault="008A38D2" w:rsidP="003724E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C657B" w14:textId="77777777" w:rsidR="008A38D2" w:rsidRPr="00E93F51" w:rsidRDefault="008A38D2" w:rsidP="003724E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48D4FD08" w14:textId="77777777" w:rsidR="008A38D2" w:rsidRPr="00E93F51" w:rsidRDefault="008A38D2" w:rsidP="008A38D2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DFC0495" w14:textId="77777777" w:rsidR="008A38D2" w:rsidRPr="00E93F51" w:rsidRDefault="008A38D2" w:rsidP="008A38D2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8A38D2" w:rsidRPr="00E93F51" w14:paraId="540D6930" w14:textId="77777777" w:rsidTr="003724EE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89874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8A38D2" w:rsidRPr="00E93F51" w14:paraId="7360D67A" w14:textId="77777777" w:rsidTr="003724EE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9487B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E5BB2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07A4D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8A38D2" w:rsidRPr="00E93F51" w14:paraId="18F0F47D" w14:textId="77777777" w:rsidTr="003724EE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105EC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D1576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D2AD4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8A38D2" w:rsidRPr="00E93F51" w14:paraId="40F3490A" w14:textId="77777777" w:rsidTr="003724EE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02158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C272E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7CD13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8A38D2" w:rsidRPr="00E93F51" w14:paraId="4A76087F" w14:textId="77777777" w:rsidTr="003724EE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5D747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0A60C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ED95F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8A38D2" w:rsidRPr="00E93F51" w14:paraId="76F1EBB6" w14:textId="77777777" w:rsidTr="003724EE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0DB10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0B001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D033D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8A38D2" w:rsidRPr="00E93F51" w14:paraId="6C815145" w14:textId="77777777" w:rsidTr="003724EE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C99EE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A2032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1E4BE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8A38D2" w:rsidRPr="00E93F51" w14:paraId="47B6D912" w14:textId="77777777" w:rsidTr="003724EE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17B4D6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813775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94271" w14:textId="77777777" w:rsidR="008A38D2" w:rsidRPr="00E93F51" w:rsidRDefault="008A38D2" w:rsidP="003724EE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4CB25BD5" w14:textId="77777777" w:rsidR="008A38D2" w:rsidRPr="00E93F51" w:rsidRDefault="008A38D2" w:rsidP="008A38D2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7179E17A" w14:textId="77777777" w:rsidR="008A38D2" w:rsidRPr="00E93F51" w:rsidRDefault="008A38D2" w:rsidP="008A38D2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6BCC031F" w14:textId="77777777" w:rsidR="008A38D2" w:rsidRPr="00E93F51" w:rsidRDefault="008A38D2" w:rsidP="008A38D2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0CA0BB91" w14:textId="77777777" w:rsidR="008A38D2" w:rsidRPr="00E93F51" w:rsidRDefault="008A38D2" w:rsidP="008A38D2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0D487488" w14:textId="77777777" w:rsidR="008A38D2" w:rsidRPr="00E93F51" w:rsidRDefault="008A38D2" w:rsidP="008A38D2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2FAB4A7E" w14:textId="77777777" w:rsidR="008A38D2" w:rsidRPr="00E93F51" w:rsidRDefault="008A38D2" w:rsidP="008A38D2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9558961" w14:textId="77777777" w:rsidR="008A38D2" w:rsidRPr="00E93F51" w:rsidRDefault="008A38D2" w:rsidP="008A38D2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418444A0" w14:textId="77777777" w:rsidR="008A38D2" w:rsidRPr="00E93F51" w:rsidRDefault="008A38D2" w:rsidP="008A38D2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A4987AB" w14:textId="77777777" w:rsidR="008A38D2" w:rsidRPr="00E93F51" w:rsidRDefault="008A38D2" w:rsidP="008A38D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41E660EB" w14:textId="77777777" w:rsidR="008A38D2" w:rsidRPr="00E93F51" w:rsidRDefault="008A38D2" w:rsidP="008A38D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E21013F" w14:textId="77777777" w:rsidR="008A38D2" w:rsidRPr="00E93F51" w:rsidRDefault="008A38D2" w:rsidP="008A38D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3399A9E" w14:textId="77777777" w:rsidR="008A38D2" w:rsidRPr="00E93F51" w:rsidRDefault="008A38D2" w:rsidP="008A38D2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3ED52E0" w14:textId="77777777" w:rsidR="008A38D2" w:rsidRPr="00E93F51" w:rsidRDefault="008A38D2" w:rsidP="008A38D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62912D0C" w14:textId="77777777" w:rsidR="008A38D2" w:rsidRPr="00E93F51" w:rsidRDefault="008A38D2" w:rsidP="008A38D2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679FEBF" w14:textId="77777777" w:rsidR="008A38D2" w:rsidRPr="00E93F51" w:rsidRDefault="008A38D2" w:rsidP="008A38D2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EN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206-1</w:t>
      </w:r>
    </w:p>
    <w:p w14:paraId="412ED9FA" w14:textId="3EE27313" w:rsidR="008A38D2" w:rsidRDefault="008A38D2" w:rsidP="008A38D2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p w14:paraId="10657C98" w14:textId="77777777" w:rsidR="008A38D2" w:rsidRPr="00E93F51" w:rsidRDefault="008A38D2" w:rsidP="008A38D2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8A38D2" w:rsidRPr="00E93F51" w14:paraId="1D2E2E62" w14:textId="77777777" w:rsidTr="003724EE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D1793" w14:textId="77777777" w:rsidR="008A38D2" w:rsidRPr="00E93F51" w:rsidRDefault="008A38D2" w:rsidP="003724EE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8A38D2" w:rsidRPr="00E93F51" w14:paraId="3418E34D" w14:textId="77777777" w:rsidTr="003724EE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62020" w14:textId="77777777" w:rsidR="008A38D2" w:rsidRPr="00E93F51" w:rsidRDefault="008A38D2" w:rsidP="003724E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B19C8" w14:textId="77777777" w:rsidR="008A38D2" w:rsidRPr="00E93F51" w:rsidRDefault="008A38D2" w:rsidP="003724E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8A38D2" w:rsidRPr="00E93F51" w14:paraId="58806DB9" w14:textId="77777777" w:rsidTr="003724EE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4CC0D" w14:textId="77777777" w:rsidR="008A38D2" w:rsidRPr="00E93F51" w:rsidRDefault="008A38D2" w:rsidP="003724E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4E8B6" w14:textId="77777777" w:rsidR="008A38D2" w:rsidRPr="00E93F51" w:rsidRDefault="008A38D2" w:rsidP="003724EE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206-1)</w:t>
            </w:r>
          </w:p>
        </w:tc>
      </w:tr>
      <w:tr w:rsidR="008A38D2" w:rsidRPr="00E93F51" w14:paraId="0AC9CB00" w14:textId="77777777" w:rsidTr="003724EE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E49B8" w14:textId="77777777" w:rsidR="008A38D2" w:rsidRPr="00E93F51" w:rsidRDefault="008A38D2" w:rsidP="003724E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E6D2" w14:textId="77777777" w:rsidR="008A38D2" w:rsidRPr="00E93F51" w:rsidRDefault="008A38D2" w:rsidP="003724EE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8A38D2" w:rsidRPr="00E93F51" w14:paraId="685B0B23" w14:textId="77777777" w:rsidTr="003724EE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D8820" w14:textId="77777777" w:rsidR="008A38D2" w:rsidRPr="00E93F51" w:rsidRDefault="008A38D2" w:rsidP="003724E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C3E9E" w14:textId="77777777" w:rsidR="008A38D2" w:rsidRPr="00E93F51" w:rsidRDefault="008A38D2" w:rsidP="003724EE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8A38D2" w:rsidRPr="00E93F51" w14:paraId="6B3A601D" w14:textId="77777777" w:rsidTr="003724EE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73275" w14:textId="77777777" w:rsidR="008A38D2" w:rsidRPr="00E93F51" w:rsidRDefault="008A38D2" w:rsidP="003724E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765D4" w14:textId="77777777" w:rsidR="008A38D2" w:rsidRPr="00E93F51" w:rsidRDefault="008A38D2" w:rsidP="003724EE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8A38D2" w:rsidRPr="00E93F51" w14:paraId="5DE7BEBF" w14:textId="77777777" w:rsidTr="003724EE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61A2B" w14:textId="77777777" w:rsidR="008A38D2" w:rsidRPr="00E93F51" w:rsidRDefault="008A38D2" w:rsidP="003724E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6B12B" w14:textId="77777777" w:rsidR="008A38D2" w:rsidRPr="00E93F51" w:rsidRDefault="008A38D2" w:rsidP="003724E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8A38D2" w:rsidRPr="00E93F51" w14:paraId="61657D84" w14:textId="77777777" w:rsidTr="003724EE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9675" w14:textId="77777777" w:rsidR="008A38D2" w:rsidRPr="00E93F51" w:rsidRDefault="008A38D2" w:rsidP="003724E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1BDA7" w14:textId="77777777" w:rsidR="008A38D2" w:rsidRPr="00E93F51" w:rsidRDefault="008A38D2" w:rsidP="003724E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8A38D2" w:rsidRPr="00E93F51" w14:paraId="6F0A5AB2" w14:textId="77777777" w:rsidTr="003724EE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D2698" w14:textId="77777777" w:rsidR="008A38D2" w:rsidRPr="00E93F51" w:rsidRDefault="008A38D2" w:rsidP="003724E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E4F6F" w14:textId="77777777" w:rsidR="008A38D2" w:rsidRPr="00E93F51" w:rsidRDefault="008A38D2" w:rsidP="003724EE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8A38D2" w:rsidRPr="00E93F51" w14:paraId="4A0BDD2C" w14:textId="77777777" w:rsidTr="003724EE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644CA" w14:textId="77777777" w:rsidR="008A38D2" w:rsidRPr="00E93F51" w:rsidRDefault="008A38D2" w:rsidP="003724E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9E966" w14:textId="77777777" w:rsidR="008A38D2" w:rsidRPr="00E93F51" w:rsidRDefault="008A38D2" w:rsidP="003724EE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8A38D2" w:rsidRPr="00E93F51" w14:paraId="22FB04A9" w14:textId="77777777" w:rsidTr="003724EE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0C923" w14:textId="77777777" w:rsidR="008A38D2" w:rsidRPr="00E93F51" w:rsidRDefault="008A38D2" w:rsidP="003724E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109A0" w14:textId="77777777" w:rsidR="008A38D2" w:rsidRPr="00E93F51" w:rsidRDefault="008A38D2" w:rsidP="003724EE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12EE9074" w14:textId="77777777" w:rsidR="008A38D2" w:rsidRPr="00E93F51" w:rsidRDefault="008A38D2" w:rsidP="008A38D2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7DF009E4" w:rsidR="00C60B08" w:rsidRPr="00E93F51" w:rsidRDefault="00C60B08" w:rsidP="007B54F0">
      <w:pPr>
        <w:spacing w:before="126"/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D833" w14:textId="77777777" w:rsidR="00EA5237" w:rsidRDefault="00EA5237">
      <w:r>
        <w:separator/>
      </w:r>
    </w:p>
  </w:endnote>
  <w:endnote w:type="continuationSeparator" w:id="0">
    <w:p w14:paraId="4A247BEC" w14:textId="77777777" w:rsidR="00EA5237" w:rsidRDefault="00EA5237">
      <w:r>
        <w:continuationSeparator/>
      </w:r>
    </w:p>
  </w:endnote>
  <w:endnote w:type="continuationNotice" w:id="1">
    <w:p w14:paraId="0CAF1950" w14:textId="77777777" w:rsidR="00EA5237" w:rsidRDefault="00EA5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8AD3" w14:textId="77777777" w:rsidR="001F31BD" w:rsidRDefault="00EA523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8419" w14:textId="77777777" w:rsidR="00EA5237" w:rsidRDefault="00EA5237">
      <w:r>
        <w:separator/>
      </w:r>
    </w:p>
  </w:footnote>
  <w:footnote w:type="continuationSeparator" w:id="0">
    <w:p w14:paraId="48CD390B" w14:textId="77777777" w:rsidR="00EA5237" w:rsidRDefault="00EA5237">
      <w:r>
        <w:continuationSeparator/>
      </w:r>
    </w:p>
  </w:footnote>
  <w:footnote w:type="continuationNotice" w:id="1">
    <w:p w14:paraId="47FAD901" w14:textId="77777777" w:rsidR="00EA5237" w:rsidRDefault="00EA5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83BA" w14:textId="77777777" w:rsidR="00F523A5" w:rsidRPr="004652E6" w:rsidRDefault="00F523A5" w:rsidP="007B54F0">
    <w:pPr>
      <w:pStyle w:val="Zhlav"/>
      <w:tabs>
        <w:tab w:val="clear" w:pos="4536"/>
        <w:tab w:val="center" w:pos="69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353844422">
    <w:abstractNumId w:val="5"/>
  </w:num>
  <w:num w:numId="2" w16cid:durableId="1733769872">
    <w:abstractNumId w:val="12"/>
  </w:num>
  <w:num w:numId="3" w16cid:durableId="590313997">
    <w:abstractNumId w:val="8"/>
  </w:num>
  <w:num w:numId="4" w16cid:durableId="1765150199">
    <w:abstractNumId w:val="17"/>
  </w:num>
  <w:num w:numId="5" w16cid:durableId="209462296">
    <w:abstractNumId w:val="45"/>
  </w:num>
  <w:num w:numId="6" w16cid:durableId="856964838">
    <w:abstractNumId w:val="14"/>
  </w:num>
  <w:num w:numId="7" w16cid:durableId="927926072">
    <w:abstractNumId w:val="4"/>
  </w:num>
  <w:num w:numId="8" w16cid:durableId="199318999">
    <w:abstractNumId w:val="24"/>
  </w:num>
  <w:num w:numId="9" w16cid:durableId="741484594">
    <w:abstractNumId w:val="41"/>
  </w:num>
  <w:num w:numId="10" w16cid:durableId="1367833591">
    <w:abstractNumId w:val="35"/>
  </w:num>
  <w:num w:numId="11" w16cid:durableId="1526166775">
    <w:abstractNumId w:val="47"/>
  </w:num>
  <w:num w:numId="12" w16cid:durableId="311100071">
    <w:abstractNumId w:val="10"/>
  </w:num>
  <w:num w:numId="13" w16cid:durableId="1120490065">
    <w:abstractNumId w:val="9"/>
  </w:num>
  <w:num w:numId="14" w16cid:durableId="1376351565">
    <w:abstractNumId w:val="46"/>
  </w:num>
  <w:num w:numId="15" w16cid:durableId="1098254804">
    <w:abstractNumId w:val="16"/>
  </w:num>
  <w:num w:numId="16" w16cid:durableId="459151639">
    <w:abstractNumId w:val="30"/>
  </w:num>
  <w:num w:numId="17" w16cid:durableId="1749881598">
    <w:abstractNumId w:val="25"/>
  </w:num>
  <w:num w:numId="18" w16cid:durableId="1749693484">
    <w:abstractNumId w:val="0"/>
  </w:num>
  <w:num w:numId="19" w16cid:durableId="1410418223">
    <w:abstractNumId w:val="2"/>
  </w:num>
  <w:num w:numId="20" w16cid:durableId="773862178">
    <w:abstractNumId w:val="11"/>
  </w:num>
  <w:num w:numId="21" w16cid:durableId="526915418">
    <w:abstractNumId w:val="28"/>
  </w:num>
  <w:num w:numId="22" w16cid:durableId="76753227">
    <w:abstractNumId w:val="31"/>
  </w:num>
  <w:num w:numId="23" w16cid:durableId="313028752">
    <w:abstractNumId w:val="29"/>
  </w:num>
  <w:num w:numId="24" w16cid:durableId="516164557">
    <w:abstractNumId w:val="26"/>
  </w:num>
  <w:num w:numId="25" w16cid:durableId="2089883514">
    <w:abstractNumId w:val="22"/>
  </w:num>
  <w:num w:numId="26" w16cid:durableId="1199976100">
    <w:abstractNumId w:val="3"/>
  </w:num>
  <w:num w:numId="27" w16cid:durableId="973218632">
    <w:abstractNumId w:val="37"/>
  </w:num>
  <w:num w:numId="28" w16cid:durableId="487019658">
    <w:abstractNumId w:val="48"/>
  </w:num>
  <w:num w:numId="29" w16cid:durableId="949513030">
    <w:abstractNumId w:val="13"/>
  </w:num>
  <w:num w:numId="30" w16cid:durableId="48307044">
    <w:abstractNumId w:val="34"/>
  </w:num>
  <w:num w:numId="31" w16cid:durableId="1506817934">
    <w:abstractNumId w:val="18"/>
  </w:num>
  <w:num w:numId="32" w16cid:durableId="475412235">
    <w:abstractNumId w:val="32"/>
  </w:num>
  <w:num w:numId="33" w16cid:durableId="1823546671">
    <w:abstractNumId w:val="19"/>
  </w:num>
  <w:num w:numId="34" w16cid:durableId="17781405">
    <w:abstractNumId w:val="21"/>
  </w:num>
  <w:num w:numId="35" w16cid:durableId="374432368">
    <w:abstractNumId w:val="33"/>
  </w:num>
  <w:num w:numId="36" w16cid:durableId="85539432">
    <w:abstractNumId w:val="20"/>
  </w:num>
  <w:num w:numId="37" w16cid:durableId="2126078593">
    <w:abstractNumId w:val="7"/>
  </w:num>
  <w:num w:numId="38" w16cid:durableId="328143481">
    <w:abstractNumId w:val="49"/>
  </w:num>
  <w:num w:numId="39" w16cid:durableId="601498665">
    <w:abstractNumId w:val="1"/>
  </w:num>
  <w:num w:numId="40" w16cid:durableId="763259897">
    <w:abstractNumId w:val="44"/>
  </w:num>
  <w:num w:numId="41" w16cid:durableId="231545552">
    <w:abstractNumId w:val="27"/>
  </w:num>
  <w:num w:numId="42" w16cid:durableId="2102872626">
    <w:abstractNumId w:val="42"/>
  </w:num>
  <w:num w:numId="43" w16cid:durableId="1564214516">
    <w:abstractNumId w:val="43"/>
  </w:num>
  <w:num w:numId="44" w16cid:durableId="287396757">
    <w:abstractNumId w:val="40"/>
  </w:num>
  <w:num w:numId="45" w16cid:durableId="1493719941">
    <w:abstractNumId w:val="36"/>
  </w:num>
  <w:num w:numId="46" w16cid:durableId="303850462">
    <w:abstractNumId w:val="15"/>
  </w:num>
  <w:num w:numId="47" w16cid:durableId="306519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51809305">
    <w:abstractNumId w:val="38"/>
  </w:num>
  <w:num w:numId="49" w16cid:durableId="1889760781">
    <w:abstractNumId w:val="39"/>
  </w:num>
  <w:num w:numId="50" w16cid:durableId="354506509">
    <w:abstractNumId w:val="6"/>
  </w:num>
  <w:num w:numId="51" w16cid:durableId="193659286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544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87BB5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C7A77"/>
    <w:rsid w:val="000D045E"/>
    <w:rsid w:val="000D303F"/>
    <w:rsid w:val="000D5B15"/>
    <w:rsid w:val="000D74D5"/>
    <w:rsid w:val="000E2569"/>
    <w:rsid w:val="000E350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79F"/>
    <w:rsid w:val="001A2CA6"/>
    <w:rsid w:val="001A32A5"/>
    <w:rsid w:val="001B043B"/>
    <w:rsid w:val="001B05E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31BD"/>
    <w:rsid w:val="001F742F"/>
    <w:rsid w:val="00200A21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093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B8A"/>
    <w:rsid w:val="002F1C3E"/>
    <w:rsid w:val="002F2110"/>
    <w:rsid w:val="002F7752"/>
    <w:rsid w:val="00305829"/>
    <w:rsid w:val="00307007"/>
    <w:rsid w:val="00307F23"/>
    <w:rsid w:val="003129F1"/>
    <w:rsid w:val="00313197"/>
    <w:rsid w:val="00313A87"/>
    <w:rsid w:val="00316EF9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3BAB"/>
    <w:rsid w:val="00343C04"/>
    <w:rsid w:val="00344DBA"/>
    <w:rsid w:val="003465E3"/>
    <w:rsid w:val="003473A4"/>
    <w:rsid w:val="00347565"/>
    <w:rsid w:val="00353F49"/>
    <w:rsid w:val="0035537C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3D46"/>
    <w:rsid w:val="004049DD"/>
    <w:rsid w:val="0040514A"/>
    <w:rsid w:val="004060F4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1184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2A9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5F4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A7"/>
    <w:rsid w:val="005F4DB2"/>
    <w:rsid w:val="005F724E"/>
    <w:rsid w:val="006011C1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80D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17EA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0055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0F63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35C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54F0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1390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6795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5842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38D2"/>
    <w:rsid w:val="008A6351"/>
    <w:rsid w:val="008B0A1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077F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4A4"/>
    <w:rsid w:val="009F46E4"/>
    <w:rsid w:val="00A00311"/>
    <w:rsid w:val="00A0087F"/>
    <w:rsid w:val="00A04B8C"/>
    <w:rsid w:val="00A10FD0"/>
    <w:rsid w:val="00A130C2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1D64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090"/>
    <w:rsid w:val="00B745E4"/>
    <w:rsid w:val="00B746AE"/>
    <w:rsid w:val="00B77FCC"/>
    <w:rsid w:val="00B80B4E"/>
    <w:rsid w:val="00B84F48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188F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6C8A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48D8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CF756A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054"/>
    <w:rsid w:val="00D91A18"/>
    <w:rsid w:val="00D941F2"/>
    <w:rsid w:val="00D96BD8"/>
    <w:rsid w:val="00D9798C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759"/>
    <w:rsid w:val="00E94EB0"/>
    <w:rsid w:val="00E96C05"/>
    <w:rsid w:val="00EA21B7"/>
    <w:rsid w:val="00EA29FD"/>
    <w:rsid w:val="00EA34A4"/>
    <w:rsid w:val="00EA5237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46F0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BA226B4F-ACFC-4C23-960A-28FA05D3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A38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9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1F70F2DA-6FA4-493F-BDAE-6111971B7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9F6918-E8A7-4A20-B654-B01439AB9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F73DA2-79D4-41F2-A1E9-B71C4EE2622E}">
  <ds:schemaRefs>
    <ds:schemaRef ds:uri="http://purl.org/dc/elements/1.1/"/>
    <ds:schemaRef ds:uri="http://schemas.microsoft.com/office/2006/documentManagement/types"/>
    <ds:schemaRef ds:uri="http://purl.org/dc/terms/"/>
    <ds:schemaRef ds:uri="ada3fa48-c231-4f9d-a491-19361e04fcb4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046fdb6-fa60-49a6-a635-1115ab0d2074"/>
    <ds:schemaRef ds:uri="85f4b5cc-4033-44c7-b405-f5eed34c8154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4270</Words>
  <Characters>25194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Sabáček Libor Ing.</cp:lastModifiedBy>
  <cp:revision>27</cp:revision>
  <cp:lastPrinted>2023-12-01T09:34:00Z</cp:lastPrinted>
  <dcterms:created xsi:type="dcterms:W3CDTF">2023-12-01T10:06:00Z</dcterms:created>
  <dcterms:modified xsi:type="dcterms:W3CDTF">2024-01-19T11:48:00Z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