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9A3D" w14:textId="77777777" w:rsidR="00B03E0E" w:rsidRDefault="00FD0500">
      <w:pPr>
        <w:pStyle w:val="Zkladntext"/>
        <w:jc w:val="center"/>
        <w:rPr>
          <w:rFonts w:ascii="Arial" w:hAnsi="Arial" w:cs="Arial"/>
          <w:b/>
          <w:sz w:val="22"/>
          <w:szCs w:val="22"/>
        </w:rPr>
      </w:pPr>
      <w:r>
        <w:rPr>
          <w:rFonts w:ascii="Arial" w:hAnsi="Arial" w:cs="Arial"/>
          <w:b/>
          <w:sz w:val="22"/>
          <w:szCs w:val="22"/>
        </w:rPr>
        <w:t>Smlouva o poskytnutí návratné finanční výpomoci</w:t>
      </w:r>
    </w:p>
    <w:p w14:paraId="55BB7EF9" w14:textId="77777777" w:rsidR="00B03E0E" w:rsidRDefault="00B03E0E">
      <w:pPr>
        <w:pStyle w:val="Zkladntext"/>
        <w:jc w:val="center"/>
        <w:rPr>
          <w:rFonts w:ascii="Arial" w:hAnsi="Arial" w:cs="Arial"/>
          <w:sz w:val="22"/>
          <w:szCs w:val="22"/>
        </w:rPr>
      </w:pPr>
    </w:p>
    <w:p w14:paraId="1502ECB4" w14:textId="77777777" w:rsidR="00B03E0E" w:rsidRDefault="00FD0500">
      <w:pPr>
        <w:pStyle w:val="Zkladntext"/>
        <w:jc w:val="center"/>
        <w:rPr>
          <w:rFonts w:ascii="Arial" w:hAnsi="Arial" w:cs="Arial"/>
          <w:sz w:val="20"/>
        </w:rPr>
      </w:pPr>
      <w:r>
        <w:rPr>
          <w:rFonts w:ascii="Arial" w:hAnsi="Arial" w:cs="Arial"/>
          <w:sz w:val="20"/>
        </w:rPr>
        <w:t>(uzavřená dle §159 a násl. zákona č. 500/2004 Sb., správní řád, ve znění pozdějších předpisů)</w:t>
      </w:r>
    </w:p>
    <w:p w14:paraId="2C3F6B7E" w14:textId="77777777" w:rsidR="00B03E0E" w:rsidRDefault="00B03E0E">
      <w:pPr>
        <w:pStyle w:val="Zkladntext"/>
        <w:jc w:val="center"/>
        <w:rPr>
          <w:rFonts w:ascii="Arial" w:hAnsi="Arial" w:cs="Arial"/>
          <w:b/>
          <w:sz w:val="20"/>
        </w:rPr>
      </w:pPr>
    </w:p>
    <w:p w14:paraId="180B79CC" w14:textId="77777777" w:rsidR="00B03E0E" w:rsidRDefault="00FD0500">
      <w:pPr>
        <w:pStyle w:val="Zkladntext"/>
        <w:jc w:val="center"/>
        <w:rPr>
          <w:rFonts w:ascii="Arial" w:hAnsi="Arial" w:cs="Arial"/>
          <w:sz w:val="20"/>
        </w:rPr>
      </w:pPr>
      <w:r>
        <w:rPr>
          <w:rFonts w:ascii="Arial" w:hAnsi="Arial" w:cs="Arial"/>
          <w:sz w:val="20"/>
        </w:rPr>
        <w:t>mezi:</w:t>
      </w:r>
    </w:p>
    <w:p w14:paraId="0B4C435B" w14:textId="77777777" w:rsidR="00B03E0E" w:rsidRDefault="00B03E0E">
      <w:pPr>
        <w:pStyle w:val="Zkladntext"/>
        <w:rPr>
          <w:rFonts w:ascii="Arial" w:hAnsi="Arial" w:cs="Arial"/>
          <w:sz w:val="20"/>
        </w:rPr>
      </w:pPr>
    </w:p>
    <w:p w14:paraId="07C0AF09" w14:textId="5589A059" w:rsidR="00B03E0E" w:rsidRDefault="00FD0500">
      <w:pPr>
        <w:pStyle w:val="Zkladntext"/>
        <w:tabs>
          <w:tab w:val="left" w:pos="426"/>
          <w:tab w:val="left" w:pos="2552"/>
        </w:tabs>
        <w:spacing w:before="60"/>
        <w:rPr>
          <w:rFonts w:ascii="Arial" w:hAnsi="Arial" w:cs="Arial"/>
          <w:b/>
          <w:sz w:val="20"/>
        </w:rPr>
      </w:pPr>
      <w:r>
        <w:rPr>
          <w:rFonts w:ascii="Arial" w:hAnsi="Arial" w:cs="Arial"/>
          <w:sz w:val="20"/>
        </w:rPr>
        <w:t>Poskytovatelem:</w:t>
      </w:r>
      <w:r>
        <w:rPr>
          <w:rFonts w:ascii="Arial" w:hAnsi="Arial" w:cs="Arial"/>
          <w:sz w:val="20"/>
        </w:rPr>
        <w:tab/>
      </w:r>
      <w:r w:rsidR="007E1E04">
        <w:rPr>
          <w:rFonts w:ascii="Arial" w:hAnsi="Arial" w:cs="Arial"/>
          <w:sz w:val="20"/>
        </w:rPr>
        <w:tab/>
      </w:r>
      <w:r>
        <w:rPr>
          <w:rFonts w:ascii="Arial" w:hAnsi="Arial" w:cs="Arial"/>
          <w:b/>
          <w:sz w:val="20"/>
        </w:rPr>
        <w:t xml:space="preserve">Zlínský kraj </w:t>
      </w:r>
    </w:p>
    <w:p w14:paraId="0607AFDC" w14:textId="77777777" w:rsidR="00B03E0E" w:rsidRDefault="00FD0500">
      <w:pPr>
        <w:spacing w:line="276" w:lineRule="auto"/>
        <w:ind w:firstLine="2552"/>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6FF23840" w14:textId="6D222615" w:rsidR="00B03E0E" w:rsidRDefault="00FD0500">
      <w:pPr>
        <w:spacing w:line="276" w:lineRule="auto"/>
        <w:ind w:left="2552"/>
        <w:jc w:val="both"/>
        <w:rPr>
          <w:rFonts w:ascii="Arial" w:hAnsi="Arial" w:cs="Arial"/>
          <w:color w:val="000000" w:themeColor="text1"/>
          <w:sz w:val="20"/>
          <w:szCs w:val="20"/>
        </w:rPr>
      </w:pPr>
      <w:r>
        <w:rPr>
          <w:rFonts w:ascii="Arial" w:hAnsi="Arial" w:cs="Arial"/>
          <w:sz w:val="20"/>
        </w:rPr>
        <w:t xml:space="preserve">zastupuje: </w:t>
      </w:r>
      <w:r w:rsidR="007E1E04">
        <w:rPr>
          <w:rFonts w:ascii="Arial" w:hAnsi="Arial" w:cs="Arial"/>
          <w:sz w:val="20"/>
          <w:szCs w:val="20"/>
        </w:rPr>
        <w:t xml:space="preserve">Bc. Hana Ančincová, </w:t>
      </w:r>
      <w:r w:rsidR="007E1E04">
        <w:rPr>
          <w:rFonts w:ascii="Arial" w:hAnsi="Arial" w:cs="Arial"/>
          <w:color w:val="000000" w:themeColor="text1"/>
          <w:spacing w:val="-2"/>
          <w:sz w:val="20"/>
          <w:szCs w:val="20"/>
        </w:rPr>
        <w:t xml:space="preserve">statutární náměstkyně hejtmana Zlínského kraje, na základě plné moci hejtmana Zlínského kraje ze dne </w:t>
      </w:r>
      <w:r w:rsidR="00EA3C8C">
        <w:rPr>
          <w:rFonts w:ascii="Arial" w:hAnsi="Arial" w:cs="Arial"/>
          <w:color w:val="000000" w:themeColor="text1"/>
          <w:spacing w:val="-2"/>
          <w:sz w:val="20"/>
          <w:szCs w:val="20"/>
        </w:rPr>
        <w:t>8</w:t>
      </w:r>
      <w:r w:rsidR="007E1E04">
        <w:rPr>
          <w:rFonts w:ascii="Arial" w:hAnsi="Arial" w:cs="Arial"/>
          <w:color w:val="000000" w:themeColor="text1"/>
          <w:spacing w:val="-2"/>
          <w:sz w:val="20"/>
          <w:szCs w:val="20"/>
        </w:rPr>
        <w:t>.</w:t>
      </w:r>
      <w:r w:rsidR="00EA3C8C">
        <w:rPr>
          <w:rFonts w:ascii="Arial" w:hAnsi="Arial" w:cs="Arial"/>
          <w:color w:val="000000" w:themeColor="text1"/>
          <w:spacing w:val="-2"/>
          <w:sz w:val="20"/>
          <w:szCs w:val="20"/>
        </w:rPr>
        <w:t> 12. 2023</w:t>
      </w:r>
      <w:r w:rsidR="007E1E04">
        <w:rPr>
          <w:rFonts w:ascii="Arial" w:hAnsi="Arial" w:cs="Arial"/>
          <w:sz w:val="20"/>
          <w:szCs w:val="20"/>
        </w:rPr>
        <w:t xml:space="preserve"> </w:t>
      </w:r>
    </w:p>
    <w:p w14:paraId="3A64EB55" w14:textId="77777777" w:rsidR="00B03E0E" w:rsidRDefault="00FD0500">
      <w:pPr>
        <w:pStyle w:val="Zkladntext"/>
        <w:spacing w:before="60"/>
        <w:ind w:left="2552"/>
        <w:rPr>
          <w:rFonts w:ascii="Arial" w:hAnsi="Arial" w:cs="Arial"/>
          <w:sz w:val="20"/>
        </w:rPr>
      </w:pPr>
      <w:r>
        <w:rPr>
          <w:rFonts w:ascii="Arial" w:hAnsi="Arial" w:cs="Arial"/>
          <w:sz w:val="20"/>
        </w:rPr>
        <w:t>IČO: 70891320</w:t>
      </w:r>
    </w:p>
    <w:p w14:paraId="4CA4EDED" w14:textId="77777777" w:rsidR="00B03E0E" w:rsidRDefault="00FD0500">
      <w:pPr>
        <w:spacing w:before="60"/>
        <w:ind w:left="2520"/>
        <w:rPr>
          <w:rFonts w:ascii="Arial" w:hAnsi="Arial" w:cs="Arial"/>
          <w:i/>
          <w:color w:val="FF0000"/>
          <w:sz w:val="16"/>
          <w:szCs w:val="16"/>
        </w:rPr>
      </w:pPr>
      <w:r>
        <w:rPr>
          <w:rFonts w:ascii="Arial" w:hAnsi="Arial" w:cs="Arial"/>
          <w:sz w:val="20"/>
          <w:szCs w:val="20"/>
        </w:rPr>
        <w:t xml:space="preserve"> bankovní spojení: 2786182/0800, Česká spořitelna, a.s.</w:t>
      </w:r>
    </w:p>
    <w:p w14:paraId="6E4872F7" w14:textId="77777777" w:rsidR="00B03E0E" w:rsidRDefault="00FD0500">
      <w:pPr>
        <w:spacing w:before="60"/>
        <w:ind w:left="2552"/>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w:t>
      </w:r>
    </w:p>
    <w:p w14:paraId="6C6F4DB6" w14:textId="77777777" w:rsidR="00B03E0E" w:rsidRDefault="00B03E0E">
      <w:pPr>
        <w:pStyle w:val="Zkladntext"/>
        <w:spacing w:before="60"/>
        <w:ind w:left="2552"/>
        <w:rPr>
          <w:rFonts w:ascii="Arial" w:hAnsi="Arial" w:cs="Arial"/>
          <w:sz w:val="22"/>
        </w:rPr>
      </w:pPr>
    </w:p>
    <w:p w14:paraId="0505332F" w14:textId="77777777" w:rsidR="00B03E0E" w:rsidRDefault="00FD0500">
      <w:pPr>
        <w:pStyle w:val="Zkladntext"/>
        <w:spacing w:before="60"/>
        <w:ind w:firstLine="2552"/>
        <w:rPr>
          <w:rFonts w:ascii="Arial" w:hAnsi="Arial" w:cs="Arial"/>
          <w:sz w:val="20"/>
        </w:rPr>
      </w:pPr>
      <w:r>
        <w:rPr>
          <w:rFonts w:ascii="Arial" w:hAnsi="Arial" w:cs="Arial"/>
          <w:sz w:val="20"/>
        </w:rPr>
        <w:t>a</w:t>
      </w:r>
    </w:p>
    <w:p w14:paraId="3389537D" w14:textId="77777777" w:rsidR="00B03E0E" w:rsidRDefault="00B03E0E">
      <w:pPr>
        <w:pStyle w:val="Zkladntext"/>
        <w:spacing w:before="60"/>
        <w:rPr>
          <w:rFonts w:ascii="Arial" w:hAnsi="Arial" w:cs="Arial"/>
          <w:sz w:val="20"/>
        </w:rPr>
      </w:pPr>
    </w:p>
    <w:p w14:paraId="3654ABD7" w14:textId="197757DD" w:rsidR="00B03E0E" w:rsidRDefault="00FD0500">
      <w:pPr>
        <w:spacing w:before="60"/>
        <w:jc w:val="both"/>
        <w:rPr>
          <w:rFonts w:ascii="Arial" w:hAnsi="Arial" w:cs="Arial"/>
          <w:i/>
          <w:color w:val="00B050"/>
          <w:sz w:val="20"/>
          <w:szCs w:val="20"/>
        </w:rPr>
      </w:pPr>
      <w:r>
        <w:rPr>
          <w:rFonts w:ascii="Arial" w:hAnsi="Arial" w:cs="Arial"/>
          <w:sz w:val="20"/>
          <w:szCs w:val="20"/>
        </w:rPr>
        <w:t xml:space="preserve">Příjemcem: </w:t>
      </w:r>
      <w:r>
        <w:rPr>
          <w:rFonts w:ascii="Arial" w:hAnsi="Arial" w:cs="Arial"/>
          <w:sz w:val="20"/>
          <w:szCs w:val="20"/>
        </w:rPr>
        <w:tab/>
        <w:t xml:space="preserve">       </w:t>
      </w:r>
      <w:r>
        <w:rPr>
          <w:rFonts w:ascii="Arial" w:hAnsi="Arial" w:cs="Arial"/>
          <w:sz w:val="20"/>
          <w:szCs w:val="20"/>
        </w:rPr>
        <w:tab/>
        <w:t xml:space="preserve">       </w:t>
      </w:r>
      <w:r w:rsidR="00EA3C8C">
        <w:rPr>
          <w:rFonts w:ascii="Arial" w:hAnsi="Arial" w:cs="Arial"/>
          <w:b/>
          <w:sz w:val="20"/>
          <w:szCs w:val="20"/>
        </w:rPr>
        <w:t>NADĚJE</w:t>
      </w:r>
    </w:p>
    <w:p w14:paraId="6951313E" w14:textId="6D4B5292" w:rsidR="00B03E0E" w:rsidRDefault="00EA3C8C">
      <w:pPr>
        <w:spacing w:before="60"/>
        <w:ind w:left="2520"/>
        <w:rPr>
          <w:rFonts w:ascii="Arial" w:hAnsi="Arial" w:cs="Arial"/>
          <w:i/>
          <w:sz w:val="20"/>
          <w:szCs w:val="20"/>
        </w:rPr>
      </w:pPr>
      <w:r>
        <w:rPr>
          <w:rFonts w:ascii="Arial" w:hAnsi="Arial" w:cs="Arial"/>
          <w:sz w:val="20"/>
          <w:szCs w:val="20"/>
        </w:rPr>
        <w:t>s</w:t>
      </w:r>
      <w:r w:rsidR="00FD0500">
        <w:rPr>
          <w:rFonts w:ascii="Arial" w:hAnsi="Arial" w:cs="Arial"/>
          <w:sz w:val="20"/>
          <w:szCs w:val="20"/>
        </w:rPr>
        <w:t>ídlo</w:t>
      </w:r>
      <w:r>
        <w:rPr>
          <w:rFonts w:ascii="Arial" w:hAnsi="Arial" w:cs="Arial"/>
          <w:sz w:val="20"/>
          <w:szCs w:val="20"/>
        </w:rPr>
        <w:t>:</w:t>
      </w:r>
      <w:r w:rsidRPr="00EA3C8C">
        <w:rPr>
          <w:rFonts w:ascii="Arial" w:hAnsi="Arial" w:cs="Arial"/>
          <w:sz w:val="20"/>
          <w:szCs w:val="20"/>
        </w:rPr>
        <w:t xml:space="preserve"> </w:t>
      </w:r>
      <w:r>
        <w:rPr>
          <w:rFonts w:ascii="Arial" w:hAnsi="Arial" w:cs="Arial"/>
          <w:sz w:val="20"/>
          <w:szCs w:val="20"/>
        </w:rPr>
        <w:t>K Brance 11/19e, Stodůlky, 155 00 Praha 5</w:t>
      </w:r>
      <w:r w:rsidR="00FD0500">
        <w:rPr>
          <w:rFonts w:ascii="Arial" w:hAnsi="Arial" w:cs="Arial"/>
          <w:sz w:val="20"/>
          <w:szCs w:val="20"/>
        </w:rPr>
        <w:t xml:space="preserve"> </w:t>
      </w:r>
    </w:p>
    <w:p w14:paraId="6ADB0511" w14:textId="324117DF" w:rsidR="00B03E0E" w:rsidRDefault="00FD0500">
      <w:pPr>
        <w:spacing w:before="60"/>
        <w:ind w:left="2520"/>
        <w:rPr>
          <w:rFonts w:ascii="Arial" w:hAnsi="Arial" w:cs="Arial"/>
          <w:i/>
          <w:color w:val="00B050"/>
          <w:sz w:val="20"/>
          <w:szCs w:val="20"/>
        </w:rPr>
      </w:pPr>
      <w:r>
        <w:rPr>
          <w:rFonts w:ascii="Arial" w:hAnsi="Arial" w:cs="Arial"/>
          <w:sz w:val="20"/>
          <w:szCs w:val="20"/>
        </w:rPr>
        <w:t xml:space="preserve">IČO: </w:t>
      </w:r>
      <w:r w:rsidR="00EA3C8C">
        <w:rPr>
          <w:rFonts w:ascii="Arial" w:hAnsi="Arial" w:cs="Arial"/>
          <w:sz w:val="20"/>
          <w:szCs w:val="20"/>
        </w:rPr>
        <w:t>00570931</w:t>
      </w:r>
    </w:p>
    <w:p w14:paraId="6F5E4C71" w14:textId="4056D408" w:rsidR="00B03E0E" w:rsidRDefault="00FD0500">
      <w:pPr>
        <w:spacing w:before="60"/>
        <w:ind w:left="2520"/>
        <w:jc w:val="both"/>
        <w:rPr>
          <w:rFonts w:ascii="Arial" w:hAnsi="Arial" w:cs="Arial"/>
          <w:i/>
          <w:color w:val="00B050"/>
          <w:sz w:val="20"/>
          <w:szCs w:val="20"/>
        </w:rPr>
      </w:pPr>
      <w:r>
        <w:rPr>
          <w:rFonts w:ascii="Arial" w:hAnsi="Arial" w:cs="Arial"/>
          <w:sz w:val="20"/>
          <w:szCs w:val="20"/>
        </w:rPr>
        <w:t xml:space="preserve">typ příjemce: </w:t>
      </w:r>
      <w:r w:rsidR="00EA3C8C" w:rsidRPr="00EA3C8C">
        <w:rPr>
          <w:rFonts w:ascii="Arial" w:hAnsi="Arial" w:cs="Arial"/>
          <w:sz w:val="20"/>
          <w:szCs w:val="20"/>
        </w:rPr>
        <w:t>Právnická osoba – Spolek</w:t>
      </w:r>
    </w:p>
    <w:p w14:paraId="0FA78137" w14:textId="7EBF0E72" w:rsidR="00B03E0E" w:rsidRDefault="00FD0500">
      <w:pPr>
        <w:spacing w:before="60"/>
        <w:ind w:left="2520"/>
        <w:jc w:val="both"/>
        <w:rPr>
          <w:rFonts w:ascii="Arial" w:hAnsi="Arial" w:cs="Arial"/>
          <w:sz w:val="20"/>
          <w:szCs w:val="20"/>
        </w:rPr>
      </w:pPr>
      <w:r>
        <w:rPr>
          <w:rFonts w:ascii="Arial" w:hAnsi="Arial" w:cs="Arial"/>
          <w:sz w:val="20"/>
          <w:szCs w:val="20"/>
        </w:rPr>
        <w:t>zastupuje</w:t>
      </w:r>
      <w:r w:rsidR="00EA3C8C">
        <w:rPr>
          <w:rFonts w:ascii="Arial" w:hAnsi="Arial" w:cs="Arial"/>
          <w:sz w:val="20"/>
          <w:szCs w:val="20"/>
        </w:rPr>
        <w:t xml:space="preserve">: </w:t>
      </w:r>
      <w:proofErr w:type="spellStart"/>
      <w:r w:rsidR="00105DC9">
        <w:rPr>
          <w:rFonts w:ascii="Arial" w:hAnsi="Arial" w:cs="Arial"/>
          <w:sz w:val="20"/>
          <w:szCs w:val="20"/>
        </w:rPr>
        <w:t>xxxxx</w:t>
      </w:r>
      <w:proofErr w:type="spellEnd"/>
    </w:p>
    <w:p w14:paraId="2814DFB1" w14:textId="35D27BAF" w:rsidR="00B03E0E" w:rsidRDefault="00FD0500">
      <w:pPr>
        <w:spacing w:before="60"/>
        <w:ind w:left="2520"/>
        <w:rPr>
          <w:rFonts w:ascii="Arial" w:hAnsi="Arial" w:cs="Arial"/>
          <w:i/>
          <w:color w:val="00B050"/>
          <w:sz w:val="20"/>
          <w:szCs w:val="20"/>
        </w:rPr>
      </w:pPr>
      <w:r>
        <w:rPr>
          <w:rFonts w:ascii="Arial" w:hAnsi="Arial" w:cs="Arial"/>
          <w:sz w:val="20"/>
          <w:szCs w:val="20"/>
        </w:rPr>
        <w:t>bankovní spojení</w:t>
      </w:r>
      <w:r>
        <w:rPr>
          <w:rFonts w:ascii="Arial" w:hAnsi="Arial" w:cs="Arial"/>
          <w:i/>
          <w:sz w:val="20"/>
          <w:szCs w:val="20"/>
        </w:rPr>
        <w:t xml:space="preserve">: </w:t>
      </w:r>
      <w:r w:rsidR="00EA3C8C">
        <w:rPr>
          <w:rFonts w:ascii="Arial" w:hAnsi="Arial" w:cs="Arial"/>
          <w:color w:val="000000" w:themeColor="text1"/>
          <w:sz w:val="20"/>
        </w:rPr>
        <w:t xml:space="preserve">1400880339/0300, </w:t>
      </w:r>
      <w:r w:rsidR="00EA3C8C">
        <w:rPr>
          <w:rFonts w:ascii="Arial" w:hAnsi="Arial" w:cs="Arial"/>
          <w:color w:val="000000"/>
          <w:sz w:val="20"/>
          <w:szCs w:val="20"/>
        </w:rPr>
        <w:t>Československá obchodní banka, a.s.</w:t>
      </w:r>
    </w:p>
    <w:p w14:paraId="751CD6A7" w14:textId="77777777" w:rsidR="00EA3C8C" w:rsidRDefault="00EA3C8C" w:rsidP="00EA3C8C">
      <w:pPr>
        <w:spacing w:before="60" w:after="120"/>
        <w:ind w:left="2517"/>
        <w:rPr>
          <w:rFonts w:ascii="Arial" w:hAnsi="Arial" w:cs="Arial"/>
          <w:color w:val="000000" w:themeColor="text1"/>
          <w:sz w:val="20"/>
          <w:szCs w:val="20"/>
        </w:rPr>
      </w:pPr>
      <w:r>
        <w:rPr>
          <w:rFonts w:ascii="Arial" w:hAnsi="Arial" w:cs="Arial"/>
          <w:sz w:val="20"/>
          <w:szCs w:val="20"/>
        </w:rPr>
        <w:t>zapsaná u Městského soudu v Praze, oddíl L, vložka 975</w:t>
      </w:r>
    </w:p>
    <w:p w14:paraId="2E036E16" w14:textId="77777777" w:rsidR="00B03E0E" w:rsidRDefault="00FD0500">
      <w:pPr>
        <w:spacing w:before="6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(dále jen „</w:t>
      </w:r>
      <w:r>
        <w:rPr>
          <w:rFonts w:ascii="Arial" w:hAnsi="Arial" w:cs="Arial"/>
          <w:b/>
          <w:sz w:val="20"/>
          <w:szCs w:val="20"/>
        </w:rPr>
        <w:t>příjemce“</w:t>
      </w:r>
      <w:r>
        <w:rPr>
          <w:rFonts w:ascii="Arial" w:hAnsi="Arial" w:cs="Arial"/>
          <w:sz w:val="20"/>
          <w:szCs w:val="20"/>
        </w:rPr>
        <w:t>)</w:t>
      </w:r>
    </w:p>
    <w:p w14:paraId="54A31FE0" w14:textId="77777777" w:rsidR="00B03E0E" w:rsidRDefault="00B03E0E">
      <w:pPr>
        <w:spacing w:before="60"/>
        <w:ind w:left="2552" w:hanging="2552"/>
        <w:jc w:val="both"/>
        <w:rPr>
          <w:rFonts w:ascii="Arial" w:hAnsi="Arial" w:cs="Arial"/>
          <w:sz w:val="20"/>
          <w:szCs w:val="20"/>
        </w:rPr>
      </w:pPr>
    </w:p>
    <w:p w14:paraId="110AC512" w14:textId="77777777" w:rsidR="00B03E0E" w:rsidRDefault="00B03E0E">
      <w:pPr>
        <w:spacing w:before="60"/>
        <w:ind w:left="2552" w:hanging="2552"/>
        <w:jc w:val="both"/>
        <w:rPr>
          <w:rFonts w:ascii="Arial" w:hAnsi="Arial" w:cs="Arial"/>
          <w:sz w:val="20"/>
          <w:szCs w:val="20"/>
        </w:rPr>
      </w:pPr>
    </w:p>
    <w:p w14:paraId="6536FE35" w14:textId="77777777" w:rsidR="00B03E0E" w:rsidRDefault="00B03E0E">
      <w:pPr>
        <w:jc w:val="center"/>
        <w:rPr>
          <w:rFonts w:ascii="Arial" w:hAnsi="Arial" w:cs="Arial"/>
          <w:b/>
          <w:sz w:val="20"/>
          <w:szCs w:val="20"/>
        </w:rPr>
      </w:pPr>
    </w:p>
    <w:p w14:paraId="09C319B7" w14:textId="77777777" w:rsidR="00B03E0E" w:rsidRDefault="00FD0500">
      <w:pPr>
        <w:jc w:val="center"/>
        <w:rPr>
          <w:rFonts w:ascii="Arial" w:hAnsi="Arial" w:cs="Arial"/>
          <w:b/>
          <w:sz w:val="20"/>
          <w:szCs w:val="20"/>
        </w:rPr>
      </w:pPr>
      <w:r>
        <w:rPr>
          <w:rFonts w:ascii="Arial" w:hAnsi="Arial" w:cs="Arial"/>
          <w:b/>
          <w:sz w:val="20"/>
          <w:szCs w:val="20"/>
        </w:rPr>
        <w:t>I.</w:t>
      </w:r>
    </w:p>
    <w:p w14:paraId="1CBE2885" w14:textId="77777777" w:rsidR="00B03E0E" w:rsidRDefault="00FD0500">
      <w:pPr>
        <w:spacing w:before="60" w:after="120"/>
        <w:jc w:val="center"/>
        <w:rPr>
          <w:rFonts w:ascii="Arial" w:hAnsi="Arial" w:cs="Arial"/>
          <w:b/>
          <w:sz w:val="20"/>
          <w:szCs w:val="20"/>
        </w:rPr>
      </w:pPr>
      <w:r>
        <w:rPr>
          <w:rFonts w:ascii="Arial" w:hAnsi="Arial" w:cs="Arial"/>
          <w:b/>
          <w:sz w:val="20"/>
          <w:szCs w:val="20"/>
        </w:rPr>
        <w:t>Předmět smlouvy</w:t>
      </w:r>
    </w:p>
    <w:p w14:paraId="46254225" w14:textId="0FD939D8" w:rsidR="00B03E0E" w:rsidRDefault="00FD0500">
      <w:pPr>
        <w:pStyle w:val="Zkladntext"/>
        <w:keepNext/>
        <w:widowControl/>
        <w:numPr>
          <w:ilvl w:val="0"/>
          <w:numId w:val="40"/>
        </w:numPr>
        <w:spacing w:before="60" w:after="120" w:line="276" w:lineRule="auto"/>
        <w:ind w:left="357" w:right="0" w:hanging="357"/>
        <w:rPr>
          <w:rFonts w:ascii="Arial" w:hAnsi="Arial" w:cs="Arial"/>
          <w:color w:val="000000" w:themeColor="text1"/>
          <w:sz w:val="20"/>
        </w:rPr>
      </w:pPr>
      <w:r>
        <w:rPr>
          <w:rFonts w:ascii="Arial" w:hAnsi="Arial" w:cs="Arial"/>
          <w:sz w:val="20"/>
        </w:rPr>
        <w:t xml:space="preserve">Poskytovatel se zavazuje poskytnout příjemci </w:t>
      </w:r>
      <w:r>
        <w:rPr>
          <w:rFonts w:ascii="Arial" w:hAnsi="Arial" w:cs="Arial"/>
          <w:b/>
          <w:sz w:val="20"/>
        </w:rPr>
        <w:t>návratnou finanční výpomoc</w:t>
      </w:r>
      <w:r>
        <w:rPr>
          <w:rFonts w:ascii="Arial" w:hAnsi="Arial" w:cs="Arial"/>
          <w:sz w:val="20"/>
        </w:rPr>
        <w:t xml:space="preserve"> z rozpočtu Zlínského kraje (dále jen „NFV“) </w:t>
      </w:r>
      <w:r>
        <w:rPr>
          <w:rFonts w:ascii="Arial" w:hAnsi="Arial" w:cs="Arial"/>
          <w:b/>
          <w:sz w:val="20"/>
        </w:rPr>
        <w:t xml:space="preserve">ve výši </w:t>
      </w:r>
      <w:r w:rsidR="00EA3C8C" w:rsidRPr="00EA3C8C">
        <w:rPr>
          <w:rFonts w:ascii="Arial" w:hAnsi="Arial" w:cs="Arial"/>
          <w:b/>
          <w:sz w:val="20"/>
        </w:rPr>
        <w:t>26 336 600</w:t>
      </w:r>
      <w:r>
        <w:rPr>
          <w:rFonts w:ascii="Arial" w:hAnsi="Arial" w:cs="Arial"/>
          <w:b/>
          <w:sz w:val="20"/>
        </w:rPr>
        <w:t>,- Kč</w:t>
      </w:r>
      <w:r>
        <w:rPr>
          <w:rFonts w:ascii="Arial" w:hAnsi="Arial" w:cs="Arial"/>
          <w:sz w:val="20"/>
        </w:rPr>
        <w:t xml:space="preserve"> (slovy: </w:t>
      </w:r>
      <w:r w:rsidR="00EA3C8C" w:rsidRPr="00EA3C8C">
        <w:rPr>
          <w:rFonts w:ascii="Arial" w:hAnsi="Arial" w:cs="Arial"/>
          <w:sz w:val="20"/>
        </w:rPr>
        <w:t>dvacet šest milionů tři sta třicet šest tisíc šest set</w:t>
      </w:r>
      <w:r w:rsidR="00EA3C8C">
        <w:rPr>
          <w:rFonts w:ascii="Arial" w:hAnsi="Arial" w:cs="Arial"/>
          <w:sz w:val="20"/>
        </w:rPr>
        <w:t xml:space="preserve"> korun českých</w:t>
      </w:r>
      <w:r>
        <w:rPr>
          <w:rFonts w:ascii="Arial" w:hAnsi="Arial" w:cs="Arial"/>
          <w:sz w:val="20"/>
        </w:rPr>
        <w:t>)</w:t>
      </w:r>
      <w:r w:rsidR="00273776">
        <w:rPr>
          <w:rFonts w:ascii="Arial" w:hAnsi="Arial" w:cs="Arial"/>
          <w:sz w:val="20"/>
        </w:rPr>
        <w:t xml:space="preserve"> </w:t>
      </w:r>
      <w:r w:rsidR="007E1E04">
        <w:rPr>
          <w:rFonts w:ascii="Arial" w:hAnsi="Arial" w:cs="Arial"/>
          <w:sz w:val="20"/>
        </w:rPr>
        <w:t>pro zajištění plynulého financování sociálních služeb v prvním čtvrtletí roku 202</w:t>
      </w:r>
      <w:r w:rsidR="00E7557E">
        <w:rPr>
          <w:rFonts w:ascii="Arial" w:hAnsi="Arial" w:cs="Arial"/>
          <w:sz w:val="20"/>
        </w:rPr>
        <w:t>4</w:t>
      </w:r>
      <w:r>
        <w:rPr>
          <w:rFonts w:ascii="Arial" w:hAnsi="Arial" w:cs="Arial"/>
          <w:sz w:val="20"/>
        </w:rPr>
        <w:t xml:space="preserve">. </w:t>
      </w:r>
      <w:r>
        <w:rPr>
          <w:rFonts w:ascii="Arial" w:hAnsi="Arial" w:cs="Arial"/>
          <w:color w:val="000000" w:themeColor="text1"/>
          <w:sz w:val="20"/>
        </w:rPr>
        <w:t>Rozdělení NFV je uvedeno v Příloze č. 1.</w:t>
      </w:r>
    </w:p>
    <w:p w14:paraId="1E675864" w14:textId="5380705E" w:rsidR="00B03E0E" w:rsidRDefault="00FD0500">
      <w:pPr>
        <w:pStyle w:val="Zkladntext"/>
        <w:keepNext/>
        <w:widowControl/>
        <w:numPr>
          <w:ilvl w:val="1"/>
          <w:numId w:val="41"/>
        </w:numPr>
        <w:spacing w:before="60" w:after="120" w:line="276" w:lineRule="auto"/>
        <w:ind w:right="0"/>
        <w:rPr>
          <w:rFonts w:ascii="Arial" w:hAnsi="Arial" w:cs="Arial"/>
          <w:sz w:val="20"/>
        </w:rPr>
      </w:pPr>
      <w:r>
        <w:rPr>
          <w:rFonts w:ascii="Arial" w:hAnsi="Arial" w:cs="Arial"/>
          <w:sz w:val="20"/>
        </w:rPr>
        <w:t>NFV je poskytována na krytí běžných výdajů organizace vzniklých za období nejdéle od 1. 1. 202</w:t>
      </w:r>
      <w:r w:rsidR="00E7557E">
        <w:rPr>
          <w:rFonts w:ascii="Arial" w:hAnsi="Arial" w:cs="Arial"/>
          <w:sz w:val="20"/>
        </w:rPr>
        <w:t>4</w:t>
      </w:r>
      <w:r>
        <w:rPr>
          <w:rFonts w:ascii="Arial" w:hAnsi="Arial" w:cs="Arial"/>
          <w:sz w:val="20"/>
        </w:rPr>
        <w:t xml:space="preserve"> do 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xml:space="preserve">, které budou uhrazeny nejpozději do </w:t>
      </w:r>
      <w:r w:rsidR="007E1E04">
        <w:rPr>
          <w:rFonts w:ascii="Arial" w:hAnsi="Arial" w:cs="Arial"/>
          <w:sz w:val="20"/>
        </w:rPr>
        <w:t xml:space="preserve">30. </w:t>
      </w:r>
      <w:r w:rsidR="00E7557E">
        <w:rPr>
          <w:rFonts w:ascii="Arial" w:hAnsi="Arial" w:cs="Arial"/>
          <w:sz w:val="20"/>
        </w:rPr>
        <w:t>4</w:t>
      </w:r>
      <w:r w:rsidR="007E1E04">
        <w:rPr>
          <w:rFonts w:ascii="Arial" w:hAnsi="Arial" w:cs="Arial"/>
          <w:sz w:val="20"/>
        </w:rPr>
        <w:t>. 202</w:t>
      </w:r>
      <w:r w:rsidR="00E7557E">
        <w:rPr>
          <w:rFonts w:ascii="Arial" w:hAnsi="Arial" w:cs="Arial"/>
          <w:sz w:val="20"/>
        </w:rPr>
        <w:t>4</w:t>
      </w:r>
      <w:r>
        <w:rPr>
          <w:rFonts w:ascii="Arial" w:hAnsi="Arial" w:cs="Arial"/>
          <w:sz w:val="20"/>
        </w:rPr>
        <w:t xml:space="preserve">. Dohodnutého účelu bude dosaženo poskytováním základních druhů a forem sociálních služeb v rozsahu stanoveném základními činnostmi u jednotlivých druhů sociálních služeb. </w:t>
      </w:r>
    </w:p>
    <w:p w14:paraId="63C07676" w14:textId="77777777" w:rsidR="00B03E0E" w:rsidRDefault="00B03E0E">
      <w:pPr>
        <w:spacing w:before="120" w:after="120"/>
        <w:ind w:left="425" w:hanging="425"/>
        <w:jc w:val="center"/>
        <w:rPr>
          <w:rFonts w:ascii="Arial" w:hAnsi="Arial" w:cs="Arial"/>
          <w:b/>
          <w:sz w:val="20"/>
          <w:szCs w:val="20"/>
        </w:rPr>
      </w:pPr>
    </w:p>
    <w:p w14:paraId="75448A66" w14:textId="6B4AF7CD" w:rsidR="00B03E0E" w:rsidRDefault="00B03E0E">
      <w:pPr>
        <w:widowControl w:val="0"/>
        <w:tabs>
          <w:tab w:val="left" w:pos="708"/>
          <w:tab w:val="left" w:pos="8928"/>
        </w:tabs>
        <w:spacing w:after="60"/>
        <w:jc w:val="center"/>
        <w:rPr>
          <w:rFonts w:ascii="Arial" w:hAnsi="Arial" w:cs="Arial"/>
          <w:b/>
          <w:snapToGrid w:val="0"/>
          <w:sz w:val="20"/>
          <w:szCs w:val="20"/>
        </w:rPr>
      </w:pPr>
    </w:p>
    <w:p w14:paraId="361152C9" w14:textId="77777777" w:rsidR="00273776" w:rsidRDefault="00273776">
      <w:pPr>
        <w:widowControl w:val="0"/>
        <w:tabs>
          <w:tab w:val="left" w:pos="708"/>
          <w:tab w:val="left" w:pos="8928"/>
        </w:tabs>
        <w:spacing w:after="60"/>
        <w:jc w:val="center"/>
        <w:rPr>
          <w:rFonts w:ascii="Arial" w:hAnsi="Arial" w:cs="Arial"/>
          <w:b/>
          <w:snapToGrid w:val="0"/>
          <w:sz w:val="20"/>
          <w:szCs w:val="20"/>
        </w:rPr>
      </w:pPr>
    </w:p>
    <w:p w14:paraId="617E6928" w14:textId="77777777" w:rsidR="00B03E0E" w:rsidRDefault="00FD0500">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w:t>
      </w:r>
    </w:p>
    <w:p w14:paraId="49951858" w14:textId="77777777" w:rsidR="00B03E0E" w:rsidRDefault="00FD0500">
      <w:pPr>
        <w:pStyle w:val="Zkladntext"/>
        <w:spacing w:after="120"/>
        <w:jc w:val="center"/>
        <w:rPr>
          <w:rFonts w:ascii="Arial" w:hAnsi="Arial" w:cs="Arial"/>
          <w:sz w:val="20"/>
        </w:rPr>
      </w:pPr>
      <w:r>
        <w:rPr>
          <w:rFonts w:ascii="Arial" w:hAnsi="Arial" w:cs="Arial"/>
          <w:b/>
          <w:snapToGrid w:val="0"/>
          <w:sz w:val="20"/>
        </w:rPr>
        <w:t xml:space="preserve">Financování </w:t>
      </w:r>
    </w:p>
    <w:p w14:paraId="739A69F0" w14:textId="703DD07D" w:rsidR="00231612" w:rsidRDefault="00FD0500" w:rsidP="00076A78">
      <w:pPr>
        <w:pStyle w:val="Zkladntext"/>
        <w:numPr>
          <w:ilvl w:val="1"/>
          <w:numId w:val="43"/>
        </w:numPr>
        <w:tabs>
          <w:tab w:val="left" w:pos="7560"/>
        </w:tabs>
        <w:spacing w:beforeLines="30" w:before="72" w:line="276" w:lineRule="auto"/>
        <w:ind w:left="360" w:right="0"/>
        <w:rPr>
          <w:rFonts w:ascii="Arial" w:hAnsi="Arial" w:cs="Arial"/>
          <w:sz w:val="20"/>
        </w:rPr>
      </w:pPr>
      <w:r w:rsidRPr="00231612">
        <w:rPr>
          <w:rFonts w:ascii="Arial" w:hAnsi="Arial" w:cs="Arial"/>
          <w:sz w:val="20"/>
        </w:rPr>
        <w:t xml:space="preserve">NFV bude příjemci poskytnuta </w:t>
      </w:r>
      <w:r w:rsidR="002E1AB9" w:rsidRPr="00231612">
        <w:rPr>
          <w:rFonts w:ascii="Arial" w:hAnsi="Arial" w:cs="Arial"/>
          <w:sz w:val="20"/>
        </w:rPr>
        <w:t xml:space="preserve">jednorázově </w:t>
      </w:r>
      <w:r w:rsidRPr="00FC23BF">
        <w:rPr>
          <w:rFonts w:ascii="Arial" w:hAnsi="Arial" w:cs="Arial"/>
          <w:sz w:val="20"/>
        </w:rPr>
        <w:t>na účet uvedený v záhlaví této smlouvy do 30 pracovních dnů po nabytí účinnosti této smlouvy.</w:t>
      </w:r>
      <w:r w:rsidRPr="00231612">
        <w:rPr>
          <w:rFonts w:ascii="Arial" w:hAnsi="Arial" w:cs="Arial"/>
          <w:b/>
          <w:sz w:val="20"/>
        </w:rPr>
        <w:t xml:space="preserve"> </w:t>
      </w:r>
    </w:p>
    <w:p w14:paraId="7075CCCE" w14:textId="04820F07" w:rsidR="00E351C5" w:rsidRPr="00076A78" w:rsidRDefault="000D109D" w:rsidP="00076A78">
      <w:pPr>
        <w:pStyle w:val="Zkladntext"/>
        <w:numPr>
          <w:ilvl w:val="1"/>
          <w:numId w:val="43"/>
        </w:numPr>
        <w:tabs>
          <w:tab w:val="left" w:pos="7560"/>
        </w:tabs>
        <w:spacing w:beforeLines="30" w:before="72" w:line="276" w:lineRule="auto"/>
        <w:ind w:left="360" w:right="0"/>
        <w:rPr>
          <w:rFonts w:ascii="Arial" w:hAnsi="Arial" w:cs="Arial"/>
          <w:sz w:val="20"/>
        </w:rPr>
      </w:pPr>
      <w:r w:rsidRPr="00076A78">
        <w:rPr>
          <w:rFonts w:ascii="Arial" w:hAnsi="Arial" w:cs="Arial"/>
          <w:b/>
          <w:sz w:val="20"/>
        </w:rPr>
        <w:t>Příjemc</w:t>
      </w:r>
      <w:r w:rsidRPr="00231612">
        <w:rPr>
          <w:rFonts w:ascii="Arial" w:hAnsi="Arial" w:cs="Arial"/>
          <w:b/>
          <w:sz w:val="20"/>
        </w:rPr>
        <w:t>e</w:t>
      </w:r>
      <w:r w:rsidR="006D417E" w:rsidRPr="00231612">
        <w:rPr>
          <w:rFonts w:ascii="Arial" w:hAnsi="Arial" w:cs="Arial"/>
          <w:b/>
          <w:sz w:val="20"/>
        </w:rPr>
        <w:t xml:space="preserve"> je</w:t>
      </w:r>
      <w:r w:rsidR="006D417E" w:rsidRPr="00076A78">
        <w:rPr>
          <w:rFonts w:ascii="Arial" w:hAnsi="Arial" w:cs="Arial"/>
          <w:b/>
          <w:sz w:val="20"/>
        </w:rPr>
        <w:t xml:space="preserve"> povinen vrátit celou výši návratné finanční výpomoci na účet Zlínského kraje </w:t>
      </w:r>
      <w:r w:rsidR="00805DFF" w:rsidRPr="00076A78">
        <w:rPr>
          <w:rFonts w:ascii="Arial" w:hAnsi="Arial" w:cs="Arial"/>
          <w:b/>
          <w:sz w:val="20"/>
        </w:rPr>
        <w:t xml:space="preserve">v termínu do 15 dnů od připsání 1. zálohy finanční podpory z rozpočtu Zlínského kraje na rok 2024 z „Programu pro poskytnutí finanční podpory z rozpočtu Zlínského kraje k zajištění dostupnosti sociálních služeb na území Zlínského kraje pro rok 2024“ bez ohledu na výši </w:t>
      </w:r>
      <w:r w:rsidR="00805DFF" w:rsidRPr="00076A78">
        <w:rPr>
          <w:rFonts w:ascii="Arial" w:hAnsi="Arial" w:cs="Arial"/>
          <w:b/>
          <w:sz w:val="20"/>
        </w:rPr>
        <w:lastRenderedPageBreak/>
        <w:t xml:space="preserve">této zálohy. </w:t>
      </w:r>
      <w:r w:rsidR="00805DFF" w:rsidRPr="00076A78">
        <w:rPr>
          <w:rFonts w:ascii="Arial" w:hAnsi="Arial" w:cs="Arial"/>
          <w:sz w:val="20"/>
        </w:rPr>
        <w:t>V případě, že Zlínský kraj nepřipíše Poskytovateli sociální služby 1. zálohu dle první věty tohoto odstavce, je Poskytovatel povinen vrátit návratnou finanční výpomoc do rozpočtu Zlínského kraje v termínu do 30. 6. 2024.</w:t>
      </w:r>
    </w:p>
    <w:p w14:paraId="7C2DE44C" w14:textId="3B88B102" w:rsidR="00E351C5" w:rsidRPr="00E351C5" w:rsidRDefault="006D417E"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Současně s vrácením návratné finanční výpomoci je </w:t>
      </w:r>
      <w:r w:rsidR="000D109D" w:rsidRPr="00E351C5">
        <w:rPr>
          <w:rFonts w:ascii="Arial" w:hAnsi="Arial" w:cs="Arial"/>
          <w:sz w:val="20"/>
        </w:rPr>
        <w:t>příjemce</w:t>
      </w:r>
      <w:r w:rsidRPr="00E351C5">
        <w:rPr>
          <w:rFonts w:ascii="Arial" w:hAnsi="Arial" w:cs="Arial"/>
          <w:sz w:val="20"/>
        </w:rPr>
        <w:t xml:space="preserve"> povinen předložit Odboru sociálních věcí KÚZK její vyúčtování ve formě závěrečné zprávy. </w:t>
      </w:r>
      <w:r w:rsidR="00FD0500" w:rsidRPr="00E351C5">
        <w:rPr>
          <w:rFonts w:ascii="Arial" w:hAnsi="Arial" w:cs="Arial"/>
          <w:sz w:val="20"/>
        </w:rPr>
        <w:t>Závěrečnou zprávou s vyúčtováním NFV se rozumí předložení vyplněné</w:t>
      </w:r>
      <w:r w:rsidR="00077176" w:rsidRPr="00E351C5">
        <w:rPr>
          <w:rFonts w:ascii="Arial" w:hAnsi="Arial" w:cs="Arial"/>
          <w:sz w:val="20"/>
        </w:rPr>
        <w:t>ho formuláře</w:t>
      </w:r>
      <w:r w:rsidR="002A61B7" w:rsidRPr="00E351C5">
        <w:rPr>
          <w:rFonts w:ascii="Arial" w:hAnsi="Arial" w:cs="Arial"/>
          <w:sz w:val="20"/>
        </w:rPr>
        <w:t xml:space="preserve"> včetně přílohy za jednotlivé identifikátory</w:t>
      </w:r>
      <w:r w:rsidR="00FD0500" w:rsidRPr="00E351C5">
        <w:rPr>
          <w:rFonts w:ascii="Arial" w:hAnsi="Arial" w:cs="Arial"/>
          <w:sz w:val="20"/>
        </w:rPr>
        <w:t>, kter</w:t>
      </w:r>
      <w:r w:rsidR="00077176" w:rsidRPr="00E351C5">
        <w:rPr>
          <w:rFonts w:ascii="Arial" w:hAnsi="Arial" w:cs="Arial"/>
          <w:sz w:val="20"/>
        </w:rPr>
        <w:t>ý</w:t>
      </w:r>
      <w:r w:rsidR="00FD0500" w:rsidRPr="00E351C5">
        <w:rPr>
          <w:rFonts w:ascii="Arial" w:hAnsi="Arial" w:cs="Arial"/>
          <w:sz w:val="20"/>
        </w:rPr>
        <w:t xml:space="preserve"> bude k dispozici na webových stránkách poskytovatele </w:t>
      </w:r>
      <w:hyperlink r:id="rId11" w:history="1">
        <w:r w:rsidR="00E7557E" w:rsidRPr="00E7557E">
          <w:rPr>
            <w:rStyle w:val="Hypertextovodkaz"/>
            <w:rFonts w:ascii="Arial" w:hAnsi="Arial" w:cs="Arial"/>
            <w:sz w:val="20"/>
          </w:rPr>
          <w:t>www.zlinskykraj.cz</w:t>
        </w:r>
      </w:hyperlink>
      <w:r w:rsidR="00FD0500" w:rsidRPr="00E351C5">
        <w:rPr>
          <w:rFonts w:ascii="Arial" w:hAnsi="Arial" w:cs="Arial"/>
          <w:sz w:val="20"/>
        </w:rPr>
        <w:t xml:space="preserve"> v sekci Finanční podpora v roce 202</w:t>
      </w:r>
      <w:r w:rsidR="00E7557E">
        <w:rPr>
          <w:rFonts w:ascii="Arial" w:hAnsi="Arial" w:cs="Arial"/>
          <w:sz w:val="20"/>
        </w:rPr>
        <w:t>4</w:t>
      </w:r>
      <w:r w:rsidR="00FD0500" w:rsidRPr="00E351C5">
        <w:rPr>
          <w:rFonts w:ascii="Arial" w:hAnsi="Arial" w:cs="Arial"/>
          <w:sz w:val="20"/>
        </w:rPr>
        <w:t xml:space="preserve"> nejpozději do </w:t>
      </w:r>
      <w:r w:rsidR="00077176" w:rsidRPr="00E351C5">
        <w:rPr>
          <w:rFonts w:ascii="Arial" w:hAnsi="Arial" w:cs="Arial"/>
          <w:sz w:val="20"/>
        </w:rPr>
        <w:t>2</w:t>
      </w:r>
      <w:r w:rsidR="009B4C20">
        <w:rPr>
          <w:rFonts w:ascii="Arial" w:hAnsi="Arial" w:cs="Arial"/>
          <w:sz w:val="20"/>
        </w:rPr>
        <w:t>9</w:t>
      </w:r>
      <w:r w:rsidR="00077176" w:rsidRPr="00E351C5">
        <w:rPr>
          <w:rFonts w:ascii="Arial" w:hAnsi="Arial" w:cs="Arial"/>
          <w:sz w:val="20"/>
        </w:rPr>
        <w:t>. 2.</w:t>
      </w:r>
      <w:r w:rsidR="00FD0500" w:rsidRPr="00E351C5">
        <w:rPr>
          <w:rFonts w:ascii="Arial" w:hAnsi="Arial" w:cs="Arial"/>
          <w:sz w:val="20"/>
        </w:rPr>
        <w:t xml:space="preserve"> 202</w:t>
      </w:r>
      <w:r w:rsidR="00E7557E">
        <w:rPr>
          <w:rFonts w:ascii="Arial" w:hAnsi="Arial" w:cs="Arial"/>
          <w:sz w:val="20"/>
        </w:rPr>
        <w:t>4</w:t>
      </w:r>
      <w:r w:rsidR="00FD0500" w:rsidRPr="00E351C5">
        <w:rPr>
          <w:rFonts w:ascii="Arial" w:hAnsi="Arial" w:cs="Arial"/>
          <w:sz w:val="20"/>
        </w:rPr>
        <w:t>.</w:t>
      </w:r>
      <w:r w:rsidR="00077176" w:rsidRPr="00E351C5">
        <w:rPr>
          <w:rFonts w:ascii="Arial" w:hAnsi="Arial" w:cs="Arial"/>
          <w:sz w:val="20"/>
        </w:rPr>
        <w:t xml:space="preserve"> Dále má příjemce povinnost doložit na vyžádání poskytovatele další doklady prokazující oprávněné využití NFV (např. účetní doklady).</w:t>
      </w:r>
    </w:p>
    <w:p w14:paraId="1B37AAA2"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poskytovatel neshledá v předložené Závěrečné zprávě s vyúčtováním NFV nedostatky či nesrovnalosti, schválí ji do 30 pracovních dnů ode dne jejího předložení. Budou-li shledány nedostatky či nesrovnalosti, bude příjemce vyzván k jejich odstranění, a to do 20 pracovních dnů ode dne doručení výzvy. </w:t>
      </w:r>
    </w:p>
    <w:p w14:paraId="4003A9DA" w14:textId="06FB395B"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příjemce Závěrečnou zprávu s vyúčtováním NFV </w:t>
      </w:r>
      <w:proofErr w:type="gramStart"/>
      <w:r w:rsidRPr="00E351C5">
        <w:rPr>
          <w:rFonts w:ascii="Arial" w:hAnsi="Arial" w:cs="Arial"/>
          <w:sz w:val="20"/>
        </w:rPr>
        <w:t>nepředloží</w:t>
      </w:r>
      <w:proofErr w:type="gramEnd"/>
      <w:r w:rsidRPr="00E351C5">
        <w:rPr>
          <w:rFonts w:ascii="Arial" w:hAnsi="Arial" w:cs="Arial"/>
          <w:sz w:val="20"/>
        </w:rPr>
        <w:t xml:space="preserve">, bude poskytovatelem vyzván </w:t>
      </w:r>
      <w:r w:rsidR="00E727D3">
        <w:rPr>
          <w:rFonts w:ascii="Arial" w:hAnsi="Arial" w:cs="Arial"/>
          <w:sz w:val="20"/>
        </w:rPr>
        <w:t>k dodatečnému předložení. Termín pro dodatečné předložení Závěrečné zprávy s vyúčtováním NFV bude stanoven</w:t>
      </w:r>
      <w:r w:rsidRPr="00E351C5">
        <w:rPr>
          <w:rFonts w:ascii="Arial" w:hAnsi="Arial" w:cs="Arial"/>
          <w:sz w:val="20"/>
        </w:rPr>
        <w:t xml:space="preserve"> do 30 pracovních dnů ode dne doručení výzvy. </w:t>
      </w:r>
    </w:p>
    <w:p w14:paraId="243C7DD6"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3FB43D6E"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00A571C4" w14:textId="77777777" w:rsidR="00B03E0E" w:rsidRDefault="00FD0500">
      <w:pPr>
        <w:spacing w:before="120" w:after="60" w:line="276" w:lineRule="auto"/>
        <w:ind w:left="425" w:hanging="425"/>
        <w:jc w:val="center"/>
        <w:rPr>
          <w:rFonts w:ascii="Arial" w:hAnsi="Arial" w:cs="Arial"/>
          <w:b/>
          <w:sz w:val="20"/>
          <w:szCs w:val="20"/>
        </w:rPr>
      </w:pPr>
      <w:r>
        <w:rPr>
          <w:rFonts w:ascii="Arial" w:hAnsi="Arial" w:cs="Arial"/>
          <w:b/>
          <w:sz w:val="20"/>
          <w:szCs w:val="20"/>
        </w:rPr>
        <w:t>III.</w:t>
      </w:r>
    </w:p>
    <w:p w14:paraId="660A26A5" w14:textId="77777777" w:rsidR="00B03E0E" w:rsidRDefault="00FD0500">
      <w:pPr>
        <w:pStyle w:val="Zkladntext"/>
        <w:spacing w:after="60" w:line="276" w:lineRule="auto"/>
        <w:jc w:val="center"/>
        <w:rPr>
          <w:rFonts w:ascii="Arial" w:hAnsi="Arial" w:cs="Arial"/>
          <w:b/>
          <w:snapToGrid w:val="0"/>
          <w:sz w:val="20"/>
        </w:rPr>
      </w:pPr>
      <w:r>
        <w:rPr>
          <w:rFonts w:ascii="Arial" w:hAnsi="Arial" w:cs="Arial"/>
          <w:b/>
          <w:snapToGrid w:val="0"/>
          <w:sz w:val="20"/>
        </w:rPr>
        <w:t>Podmínky použití prostředků</w:t>
      </w:r>
    </w:p>
    <w:p w14:paraId="6DD6F82F" w14:textId="77777777" w:rsidR="009F54CB" w:rsidRPr="00076A78" w:rsidRDefault="009F54CB" w:rsidP="00076A78">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sidRPr="00E351C5">
        <w:rPr>
          <w:rFonts w:ascii="Arial" w:hAnsi="Arial" w:cs="Arial"/>
          <w:sz w:val="20"/>
        </w:rPr>
        <w:t xml:space="preserve">Poskytovatel si vyhrazuje právo odložit poskytnutí NFV nebo její části v případě, že nebude mít k dispozici dostatek finančních prostředků. </w:t>
      </w:r>
    </w:p>
    <w:p w14:paraId="2E797BDC" w14:textId="393E825E" w:rsidR="00B03E0E" w:rsidRDefault="00FD0500"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Finanční prostředky NFV lze použít na úhradu výdajů vzniklých v období od 1. 1. 202</w:t>
      </w:r>
      <w:r w:rsidR="00E7557E">
        <w:rPr>
          <w:rFonts w:ascii="Arial" w:hAnsi="Arial" w:cs="Arial"/>
          <w:sz w:val="20"/>
        </w:rPr>
        <w:t>4</w:t>
      </w:r>
      <w:r>
        <w:rPr>
          <w:rFonts w:ascii="Arial" w:hAnsi="Arial" w:cs="Arial"/>
          <w:sz w:val="20"/>
        </w:rPr>
        <w:t xml:space="preserve"> do </w:t>
      </w:r>
      <w:r>
        <w:rPr>
          <w:rFonts w:ascii="Arial" w:hAnsi="Arial" w:cs="Arial"/>
          <w:sz w:val="20"/>
        </w:rPr>
        <w:br/>
        <w:t>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které souvisejí s účelem uvedeným v čl. I. smlouvy.</w:t>
      </w:r>
    </w:p>
    <w:p w14:paraId="21A74FD0" w14:textId="6BEDDC23" w:rsidR="00232ED2" w:rsidRDefault="00232ED2"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 xml:space="preserve">Příjemce </w:t>
      </w:r>
      <w:r w:rsidR="00475A3B">
        <w:rPr>
          <w:rFonts w:ascii="Arial" w:hAnsi="Arial" w:cs="Arial"/>
          <w:sz w:val="20"/>
        </w:rPr>
        <w:t xml:space="preserve">není oprávněn návratnou finanční výpomoc převést na </w:t>
      </w:r>
      <w:r w:rsidR="00017B8A" w:rsidRPr="00017B8A">
        <w:rPr>
          <w:rFonts w:ascii="Arial" w:hAnsi="Arial" w:cs="Arial"/>
          <w:sz w:val="20"/>
        </w:rPr>
        <w:t>bankovní produkty, které jsou zřízeny za účelem dosažen</w:t>
      </w:r>
      <w:r w:rsidR="00017B8A">
        <w:rPr>
          <w:rFonts w:ascii="Arial" w:hAnsi="Arial" w:cs="Arial"/>
          <w:sz w:val="20"/>
        </w:rPr>
        <w:t>í úroků (tj. termínované vklady</w:t>
      </w:r>
      <w:r w:rsidR="00017B8A" w:rsidRPr="00017B8A">
        <w:rPr>
          <w:rFonts w:ascii="Arial" w:hAnsi="Arial" w:cs="Arial"/>
          <w:sz w:val="20"/>
        </w:rPr>
        <w:t xml:space="preserve"> či jiné podobné produkty)</w:t>
      </w:r>
      <w:r>
        <w:rPr>
          <w:rFonts w:ascii="Arial" w:hAnsi="Arial" w:cs="Arial"/>
          <w:sz w:val="20"/>
        </w:rPr>
        <w:t>.</w:t>
      </w:r>
    </w:p>
    <w:p w14:paraId="35FAB912" w14:textId="05FA3358" w:rsidR="00B03E0E" w:rsidRPr="00273776" w:rsidRDefault="00FD0500" w:rsidP="001A30EF">
      <w:pPr>
        <w:pStyle w:val="Odstavecseseznamem"/>
        <w:numPr>
          <w:ilvl w:val="1"/>
          <w:numId w:val="44"/>
        </w:numPr>
        <w:tabs>
          <w:tab w:val="left" w:pos="8928"/>
        </w:tabs>
        <w:spacing w:before="100" w:after="120"/>
        <w:ind w:left="360"/>
        <w:jc w:val="both"/>
        <w:rPr>
          <w:rFonts w:ascii="Arial" w:hAnsi="Arial" w:cs="Arial"/>
          <w:sz w:val="20"/>
          <w:szCs w:val="20"/>
        </w:rPr>
      </w:pPr>
      <w:r w:rsidRPr="00273776">
        <w:rPr>
          <w:rFonts w:ascii="Arial" w:hAnsi="Arial" w:cs="Arial"/>
          <w:b/>
          <w:sz w:val="20"/>
          <w:szCs w:val="20"/>
        </w:rPr>
        <w:t>Způsobilými výdaji</w:t>
      </w:r>
      <w:r w:rsidRPr="00273776">
        <w:rPr>
          <w:rFonts w:ascii="Arial" w:hAnsi="Arial" w:cs="Arial"/>
          <w:sz w:val="20"/>
          <w:szCs w:val="20"/>
        </w:rPr>
        <w:t xml:space="preserve"> jsou proplacená plnění, jež mohou být hrazena z NFV a vyhovují zásadám účelnosti, efektivnosti a hospodárnosti podle zákona č. 320/2001 Sb., o finanční kontrole, ve znění pozdějších předpisů.</w:t>
      </w:r>
    </w:p>
    <w:p w14:paraId="40054E6A" w14:textId="77777777" w:rsidR="00B03E0E" w:rsidRDefault="00B03E0E" w:rsidP="001A30EF">
      <w:pPr>
        <w:pStyle w:val="Odstavecseseznamem"/>
        <w:tabs>
          <w:tab w:val="left" w:pos="8928"/>
        </w:tabs>
        <w:spacing w:before="100" w:after="120"/>
        <w:ind w:left="360"/>
        <w:jc w:val="both"/>
        <w:rPr>
          <w:rFonts w:ascii="Arial" w:hAnsi="Arial" w:cs="Arial"/>
          <w:sz w:val="6"/>
          <w:szCs w:val="6"/>
        </w:rPr>
      </w:pPr>
    </w:p>
    <w:p w14:paraId="269E060F" w14:textId="0BA4A8C8" w:rsidR="00B03E0E" w:rsidRDefault="00FD0500" w:rsidP="001A30EF">
      <w:pPr>
        <w:pStyle w:val="Odstavecseseznamem"/>
        <w:numPr>
          <w:ilvl w:val="1"/>
          <w:numId w:val="44"/>
        </w:numPr>
        <w:tabs>
          <w:tab w:val="left" w:pos="8928"/>
        </w:tabs>
        <w:spacing w:before="240" w:after="0"/>
        <w:ind w:left="360"/>
        <w:jc w:val="both"/>
        <w:rPr>
          <w:rFonts w:ascii="Arial" w:hAnsi="Arial" w:cs="Arial"/>
          <w:sz w:val="20"/>
          <w:szCs w:val="20"/>
        </w:rPr>
      </w:pPr>
      <w:r>
        <w:rPr>
          <w:rFonts w:ascii="Arial" w:hAnsi="Arial" w:cs="Arial"/>
          <w:b/>
          <w:sz w:val="20"/>
          <w:szCs w:val="20"/>
        </w:rPr>
        <w:t>N</w:t>
      </w:r>
      <w:r w:rsidR="00273776">
        <w:rPr>
          <w:rFonts w:ascii="Arial" w:hAnsi="Arial" w:cs="Arial"/>
          <w:b/>
          <w:sz w:val="20"/>
          <w:szCs w:val="20"/>
        </w:rPr>
        <w:t>e</w:t>
      </w:r>
      <w:r>
        <w:rPr>
          <w:rFonts w:ascii="Arial" w:hAnsi="Arial" w:cs="Arial"/>
          <w:b/>
          <w:sz w:val="20"/>
          <w:szCs w:val="20"/>
        </w:rPr>
        <w:t>způsobilé výdaje</w:t>
      </w:r>
      <w:r>
        <w:rPr>
          <w:rFonts w:ascii="Arial" w:hAnsi="Arial" w:cs="Arial"/>
          <w:sz w:val="20"/>
          <w:szCs w:val="20"/>
        </w:rPr>
        <w:t xml:space="preserve">  </w:t>
      </w:r>
    </w:p>
    <w:p w14:paraId="24B426F1" w14:textId="77777777" w:rsidR="00273776" w:rsidRDefault="00273776">
      <w:pPr>
        <w:spacing w:line="276" w:lineRule="auto"/>
        <w:contextualSpacing/>
        <w:jc w:val="both"/>
        <w:rPr>
          <w:rFonts w:ascii="Arial" w:hAnsi="Arial" w:cs="Arial"/>
          <w:color w:val="000000" w:themeColor="text1"/>
          <w:sz w:val="20"/>
          <w:szCs w:val="20"/>
        </w:rPr>
      </w:pPr>
    </w:p>
    <w:p w14:paraId="23C7D3B0" w14:textId="17EAC5D4" w:rsidR="00B03E0E" w:rsidRDefault="00FD0500">
      <w:pP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Z poskytnuté NFV nelze hradit tyto náklady (výdaje):</w:t>
      </w:r>
    </w:p>
    <w:p w14:paraId="798FDC7D" w14:textId="0878C529" w:rsidR="00E351C5" w:rsidRPr="00E351C5" w:rsidRDefault="00FD0500" w:rsidP="0061119D">
      <w:pPr>
        <w:pStyle w:val="Odstavecseseznamem"/>
        <w:numPr>
          <w:ilvl w:val="0"/>
          <w:numId w:val="28"/>
        </w:numPr>
        <w:spacing w:after="60"/>
        <w:ind w:left="851" w:hanging="425"/>
        <w:contextualSpacing w:val="0"/>
        <w:jc w:val="both"/>
        <w:rPr>
          <w:rFonts w:ascii="Arial" w:hAnsi="Arial" w:cs="Arial"/>
          <w:color w:val="000000" w:themeColor="text1"/>
          <w:sz w:val="20"/>
          <w:szCs w:val="20"/>
        </w:rPr>
      </w:pPr>
      <w:r w:rsidRPr="00E351C5">
        <w:rPr>
          <w:rFonts w:ascii="Arial" w:hAnsi="Arial" w:cs="Arial"/>
          <w:color w:val="000000" w:themeColor="text1"/>
          <w:sz w:val="20"/>
          <w:szCs w:val="20"/>
        </w:rPr>
        <w:t>Nesouvisející s poskytováním základních činností u jednotlivých druhů sociálních služeb.</w:t>
      </w:r>
    </w:p>
    <w:p w14:paraId="51591FD8"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14:paraId="632770BE" w14:textId="3DDC89C3" w:rsidR="00B03E0E" w:rsidRDefault="00FD0500" w:rsidP="00E351C5">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Na pořízení nebo technické zhodnocení dlouhodobého hmotného a nehmotného majetku </w:t>
      </w:r>
      <w:r w:rsidR="007E1E04" w:rsidRPr="007E1E04">
        <w:rPr>
          <w:rFonts w:ascii="Arial" w:hAnsi="Arial" w:cs="Arial"/>
          <w:color w:val="000000" w:themeColor="text1"/>
          <w:sz w:val="20"/>
          <w:szCs w:val="20"/>
        </w:rPr>
        <w:t>podle právních předpisů upravujících účetnictví</w:t>
      </w:r>
      <w:r w:rsidR="007E1E04">
        <w:rPr>
          <w:rFonts w:ascii="Arial" w:hAnsi="Arial" w:cs="Arial"/>
          <w:color w:val="000000" w:themeColor="text1"/>
          <w:sz w:val="20"/>
          <w:szCs w:val="20"/>
        </w:rPr>
        <w:t>.</w:t>
      </w:r>
      <w:r w:rsidR="007E1E04" w:rsidRPr="007E1E04" w:rsidDel="007E1E04">
        <w:rPr>
          <w:rFonts w:ascii="Arial" w:hAnsi="Arial" w:cs="Arial"/>
          <w:color w:val="000000" w:themeColor="text1"/>
          <w:sz w:val="20"/>
          <w:szCs w:val="20"/>
        </w:rPr>
        <w:t xml:space="preserve"> </w:t>
      </w:r>
    </w:p>
    <w:p w14:paraId="7B1D099A"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Odpisy dlouhodobého hmotného a nehmotného majetku, rezervy, náklady příštích období a opravné položky provozních nákladů.</w:t>
      </w:r>
    </w:p>
    <w:p w14:paraId="24065E52"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14:paraId="235D2F8E"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reprezentaci.</w:t>
      </w:r>
    </w:p>
    <w:p w14:paraId="48F6242A"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činnost a odměny členů kolektivních orgánů příjemců finanční podpory.</w:t>
      </w:r>
    </w:p>
    <w:p w14:paraId="25D64756"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Finanční leasing, s výjimkou finančního leasingu motorového vozidla </w:t>
      </w:r>
      <w:r>
        <w:rPr>
          <w:rFonts w:ascii="Arial" w:hAnsi="Arial" w:cs="Arial"/>
          <w:color w:val="000000" w:themeColor="text1"/>
          <w:spacing w:val="-2"/>
          <w:sz w:val="20"/>
          <w:szCs w:val="20"/>
        </w:rPr>
        <w:t>využívaného v rámci poskytování sociální služby.</w:t>
      </w:r>
    </w:p>
    <w:p w14:paraId="287B6D2F"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Daně a poplatky nesouvisející s poskytováním základních činností u jednotlivých druhů sociálních služeb.</w:t>
      </w:r>
    </w:p>
    <w:p w14:paraId="22186DBB"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Daň z přidané hodnoty, o jejíž vrácení lze podle jiného právního předpisu</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xml:space="preserve"> požádat.</w:t>
      </w:r>
    </w:p>
    <w:p w14:paraId="1E36679E"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14:paraId="2831D338"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Členské poplatky/příspěvky v institucích/asociacích.</w:t>
      </w:r>
    </w:p>
    <w:p w14:paraId="1A80D560"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pořádání workshopů, teambuildingů, výjezdních zasedání apod.</w:t>
      </w:r>
    </w:p>
    <w:p w14:paraId="5343EAD8" w14:textId="569BD280" w:rsidR="00B03E0E" w:rsidRPr="009F54CB" w:rsidRDefault="00FD0500" w:rsidP="00076A78">
      <w:pPr>
        <w:pStyle w:val="Odstavecseseznamem"/>
        <w:numPr>
          <w:ilvl w:val="0"/>
          <w:numId w:val="28"/>
        </w:numPr>
        <w:spacing w:after="120"/>
        <w:ind w:left="870" w:hanging="425"/>
        <w:contextualSpacing w:val="0"/>
        <w:jc w:val="both"/>
        <w:outlineLvl w:val="0"/>
        <w:rPr>
          <w:rFonts w:ascii="Arial" w:hAnsi="Arial" w:cs="Arial"/>
          <w:color w:val="000000" w:themeColor="text1"/>
          <w:sz w:val="20"/>
          <w:szCs w:val="20"/>
        </w:rPr>
      </w:pPr>
      <w:r w:rsidRPr="009F54CB">
        <w:rPr>
          <w:rFonts w:ascii="Arial" w:hAnsi="Arial" w:cs="Arial"/>
          <w:color w:val="000000" w:themeColor="text1"/>
          <w:sz w:val="20"/>
          <w:szCs w:val="20"/>
        </w:rPr>
        <w:t>Výdaje, které nelze účetně doložit.</w:t>
      </w:r>
    </w:p>
    <w:p w14:paraId="6F9552BB" w14:textId="3AA74520"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Příjemce je povinen vést o </w:t>
      </w:r>
      <w:r w:rsidR="00273776">
        <w:rPr>
          <w:rFonts w:ascii="Arial" w:hAnsi="Arial" w:cs="Arial"/>
          <w:sz w:val="20"/>
        </w:rPr>
        <w:t>p</w:t>
      </w:r>
      <w:r>
        <w:rPr>
          <w:rFonts w:ascii="Arial" w:hAnsi="Arial" w:cs="Arial"/>
          <w:sz w:val="20"/>
        </w:rPr>
        <w:t>oskytnuté NFV oddělenou účetní evidenci a výkaznictví</w:t>
      </w:r>
      <w:r w:rsidR="00F23A81">
        <w:rPr>
          <w:rFonts w:ascii="Arial" w:hAnsi="Arial" w:cs="Arial"/>
          <w:sz w:val="20"/>
        </w:rPr>
        <w:t xml:space="preserve"> v souladu s právními předpisy ČR</w:t>
      </w:r>
      <w:r>
        <w:rPr>
          <w:rFonts w:ascii="Arial" w:hAnsi="Arial" w:cs="Arial"/>
          <w:sz w:val="20"/>
        </w:rPr>
        <w:t xml:space="preserve">. Musí být jednoznačně prokazatelné, zda konkrétní výdaj nebo příjem je vykazován na předmět smlouvy dle </w:t>
      </w:r>
      <w:proofErr w:type="spellStart"/>
      <w:r>
        <w:rPr>
          <w:rFonts w:ascii="Arial" w:hAnsi="Arial" w:cs="Arial"/>
          <w:sz w:val="20"/>
        </w:rPr>
        <w:t>čl.I</w:t>
      </w:r>
      <w:proofErr w:type="spellEnd"/>
      <w:r>
        <w:rPr>
          <w:rFonts w:ascii="Arial" w:hAnsi="Arial" w:cs="Arial"/>
          <w:sz w:val="20"/>
        </w:rPr>
        <w:t>. Subjekty, které vedou daňovou evidenci v souladu se zákonem č. 586/1992 Sb., o daních z příjmů, ve znění pozdějších předpisů, jsou povinny použít jiný prokazatelný způsob vedení evidence o finančních tocích projektu. Doklady prokazující využití NFV musí být viditelně označeny „NFV ZK“ (označeny musí být již originály dokladů). Příjemce je povinen umožnit poskytovateli na základě jeho požadavku provedení kontroly všech prvotních účetních dokladů za účelem prověření předloženého vyúčtování. Zlínský kraj bude vykonávat u příjemce kontrolu vyplývající ze zákona č. 320/2001 Sb., o finanční kontrole ve veřejné správě, ve znění pozdějších předpisů.</w:t>
      </w:r>
    </w:p>
    <w:p w14:paraId="4E93D036" w14:textId="0FDEBA0E"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DPH je pro příjemce </w:t>
      </w:r>
      <w:r w:rsidR="00273776">
        <w:rPr>
          <w:rFonts w:ascii="Arial" w:hAnsi="Arial" w:cs="Arial"/>
          <w:sz w:val="20"/>
        </w:rPr>
        <w:t>z</w:t>
      </w:r>
      <w:r>
        <w:rPr>
          <w:rFonts w:ascii="Arial" w:hAnsi="Arial" w:cs="Arial"/>
          <w:sz w:val="20"/>
        </w:rPr>
        <w:t>působilým výdajem za podmínky, že příjemce není plátcem DPH. Pro příjemce, který je plátcem DPH, je DPH u přijatých plnění, která jsou současně způsobilými výdaji projektu, taktéž způsobilým výdajem v případech, kdy není nárok na odpočet DPH na vstupu ve smyslu zákona č. 235/2004 Sb., o dani z přidané hodnoty, ve znění pozdějších předpisů. V případě, že je přijaté plnění způsobilým výdajem pouze z alikvotní části, pak je DPH vztahující se k tomuto plnění způsobilá ze stejné alikvotní části. Pokud má příjemce u přijatého plnění nárok na odpočet v</w:t>
      </w:r>
      <w:r w:rsidR="00A73735">
        <w:rPr>
          <w:rFonts w:ascii="Arial" w:hAnsi="Arial" w:cs="Arial"/>
          <w:sz w:val="20"/>
        </w:rPr>
        <w:t> </w:t>
      </w:r>
      <w:r>
        <w:rPr>
          <w:rFonts w:ascii="Arial" w:hAnsi="Arial" w:cs="Arial"/>
          <w:sz w:val="20"/>
        </w:rPr>
        <w:t>poměrné části nebo ve výši dle koeficientu, bude způsobilým výdajem část oprávněně neuplatněné DPH dle zákona č. 235/2004 Sb. V případě, že dojde ke změně výše nároku na odpočet v poměrné části nebo výši dle koeficientu k 31. 12., a to do 30 dnů od podání přiznání DPH, v němž si nárokuje odpočet, částku DPH vrátit na účet poskytovatele.</w:t>
      </w:r>
    </w:p>
    <w:p w14:paraId="17A78043"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V případě, že příjemce není plátce DPH a finanční částky odpovídající DPH jsou posuzovány jako způsobilé výdaje a následně se stane plátcem DPH a uplatní si nárok na odpočet daně při změně režimu na částky dříve posouzené jako způsobilé výdaje, je povinností žadatele vrátit na účet poskytovatele finanční prostředky v alikvotní výši. Registraci k DPH je příjemce povinen neprodleně oznámit poskytovateli a do 30 dnů ode dne podání přiznání k DPH, v němž si nárokuje výše zmíněný odpočet, částku vyčíslit, doložit a uhradit. </w:t>
      </w:r>
    </w:p>
    <w:p w14:paraId="0FF03940" w14:textId="74E224C8"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V případec</w:t>
      </w:r>
      <w:r w:rsidR="00273776">
        <w:rPr>
          <w:rFonts w:ascii="Arial" w:hAnsi="Arial" w:cs="Arial"/>
          <w:sz w:val="20"/>
        </w:rPr>
        <w:t xml:space="preserve">h, kdy příjemce </w:t>
      </w:r>
      <w:r>
        <w:rPr>
          <w:rFonts w:ascii="Arial" w:hAnsi="Arial" w:cs="Arial"/>
          <w:sz w:val="20"/>
        </w:rPr>
        <w:t>je plátcem DPH a NFV bude použita v rámci ekonomické činnosti pro plnění, které spadá do režimu přenesení daňové povinnosti dle § 92a zákona č. 235/2004 Sb., o</w:t>
      </w:r>
      <w:r w:rsidR="00A73735">
        <w:rPr>
          <w:rFonts w:ascii="Arial" w:hAnsi="Arial" w:cs="Arial"/>
          <w:sz w:val="20"/>
        </w:rPr>
        <w:t> </w:t>
      </w:r>
      <w:r>
        <w:rPr>
          <w:rFonts w:ascii="Arial" w:hAnsi="Arial" w:cs="Arial"/>
          <w:sz w:val="20"/>
        </w:rPr>
        <w:t>dani z přidané hodnoty, ve znění pozdějších předpisů a odpovídá číselnému kódu klasifikace produkce CZ-CPA 41 až 43 – poskytnutí stavebních nebo montážních prací dle § 92e zákona č.</w:t>
      </w:r>
      <w:r w:rsidR="00A73735">
        <w:rPr>
          <w:rFonts w:ascii="Arial" w:hAnsi="Arial" w:cs="Arial"/>
          <w:sz w:val="20"/>
        </w:rPr>
        <w:t> </w:t>
      </w:r>
      <w:r>
        <w:rPr>
          <w:rFonts w:ascii="Arial" w:hAnsi="Arial" w:cs="Arial"/>
          <w:sz w:val="20"/>
        </w:rPr>
        <w:t>235/2004 Sb. a daň z přidané hodnoty je uznatelným výdajem, bude výše DPH doložena příjemcem poskytovateli těmito doklady:</w:t>
      </w:r>
    </w:p>
    <w:p w14:paraId="0DD0F47D"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vnitřním účetním dokladem s vyčíslením částky DPH,</w:t>
      </w:r>
    </w:p>
    <w:p w14:paraId="244027A5"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daňovým přiznáním k DPH,</w:t>
      </w:r>
    </w:p>
    <w:p w14:paraId="4C3D9C50"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výpisem z evidence pro účely daně z přidané hodnoty,</w:t>
      </w:r>
    </w:p>
    <w:p w14:paraId="72A28BD1"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lastRenderedPageBreak/>
        <w:t>bankovním výpisem.</w:t>
      </w:r>
    </w:p>
    <w:p w14:paraId="55FFA617" w14:textId="53CCACE9" w:rsidR="00B16D79" w:rsidRPr="00B16D79" w:rsidRDefault="00B16D79" w:rsidP="007D7258">
      <w:pPr>
        <w:pStyle w:val="Zkladntext"/>
        <w:numPr>
          <w:ilvl w:val="1"/>
          <w:numId w:val="44"/>
        </w:numPr>
        <w:tabs>
          <w:tab w:val="clear" w:pos="2016"/>
          <w:tab w:val="clear" w:pos="3168"/>
          <w:tab w:val="clear" w:pos="4320"/>
          <w:tab w:val="clear" w:pos="5472"/>
          <w:tab w:val="clear" w:pos="6624"/>
          <w:tab w:val="clear" w:pos="7776"/>
          <w:tab w:val="clear" w:pos="8928"/>
        </w:tabs>
        <w:spacing w:beforeLines="50" w:before="120" w:line="276" w:lineRule="auto"/>
        <w:ind w:left="426" w:right="0" w:hanging="426"/>
        <w:rPr>
          <w:rFonts w:ascii="Arial" w:hAnsi="Arial" w:cs="Arial"/>
          <w:sz w:val="20"/>
        </w:rPr>
      </w:pPr>
      <w:r w:rsidRPr="00B16D79">
        <w:rPr>
          <w:rFonts w:ascii="Arial" w:hAnsi="Arial" w:cs="Arial"/>
          <w:sz w:val="20"/>
        </w:rPr>
        <w:t xml:space="preserve">Příjemce je povinen </w:t>
      </w:r>
      <w:r w:rsidR="00551080">
        <w:rPr>
          <w:rFonts w:ascii="Arial" w:hAnsi="Arial" w:cs="Arial"/>
          <w:sz w:val="20"/>
        </w:rPr>
        <w:t xml:space="preserve">do 15 dnů ode dne změny </w:t>
      </w:r>
      <w:r w:rsidRPr="00B16D79">
        <w:rPr>
          <w:rFonts w:ascii="Arial" w:hAnsi="Arial" w:cs="Arial"/>
          <w:sz w:val="20"/>
        </w:rPr>
        <w:t xml:space="preserve">oznamovat poskytovateli změnu názvu, </w:t>
      </w:r>
      <w:r w:rsidR="00551080">
        <w:rPr>
          <w:rFonts w:ascii="Arial" w:hAnsi="Arial" w:cs="Arial"/>
          <w:sz w:val="20"/>
        </w:rPr>
        <w:t xml:space="preserve">statutárního orgánu, </w:t>
      </w:r>
      <w:r w:rsidRPr="00B16D79">
        <w:rPr>
          <w:rFonts w:ascii="Arial" w:hAnsi="Arial" w:cs="Arial"/>
          <w:sz w:val="20"/>
        </w:rPr>
        <w:t>bankovního spojení, sídla či adresy.</w:t>
      </w:r>
    </w:p>
    <w:p w14:paraId="25940802" w14:textId="30EC5B66" w:rsidR="001509EF" w:rsidRPr="00273776" w:rsidRDefault="001509EF" w:rsidP="00273776">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273776">
        <w:rPr>
          <w:rFonts w:ascii="Arial" w:hAnsi="Arial" w:cs="Arial"/>
          <w:sz w:val="20"/>
        </w:rPr>
        <w:t>V případě, že dojde ke změně nebo ukončení Veřejnoprávní smlouvy a tato skutečnost má vliv na výši finanční podpory (zejména se jedná o situace, kdy k změně, ukončení či zrušení dochází v průběhu období, na které byla finanční podpora poskytnuta), je příjemce povinen předložit Odboru sociálních věcí KÚZK vyúčtování, které provede do 30 kalendářních dnů od účinnosti změny nebo ukončení Veřejnoprávní smlouvy pro aktuální rok, není-li stanoveno jinak.</w:t>
      </w:r>
    </w:p>
    <w:p w14:paraId="4226184F" w14:textId="77777777" w:rsidR="00B03E0E" w:rsidRPr="005C6DF1" w:rsidRDefault="00FD0500" w:rsidP="001A30EF">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B31AF5">
        <w:rPr>
          <w:rFonts w:ascii="Arial" w:hAnsi="Arial" w:cs="Arial"/>
          <w:sz w:val="20"/>
        </w:rPr>
        <w:t>Příjemce je dále povinen:</w:t>
      </w:r>
    </w:p>
    <w:p w14:paraId="4A7F6A1D" w14:textId="77777777" w:rsidR="00B03E0E"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zajistit, aby všechny údaje, které uvádí poskytovateli, byly vždy úplné a pravdivé,</w:t>
      </w:r>
    </w:p>
    <w:p w14:paraId="4B1E42A2" w14:textId="77777777" w:rsidR="00B16D79"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zabezpečit archivaci veškeré dokumentace k poskytnuté NFV, včetně účetnictví po dobu 10 let ode dne, kdy příjemce vrátí poskytovateli poskytnuté finanční prostředky</w:t>
      </w:r>
      <w:r w:rsidR="00B16D79">
        <w:rPr>
          <w:rFonts w:ascii="Arial" w:hAnsi="Arial" w:cs="Arial"/>
          <w:sz w:val="20"/>
          <w:szCs w:val="20"/>
        </w:rPr>
        <w:t>,</w:t>
      </w:r>
    </w:p>
    <w:p w14:paraId="1516A517" w14:textId="103EDE3D" w:rsidR="00B03E0E" w:rsidRDefault="00B16D79">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dohodnout s dodavateli v rámci návratné finanční výpomoci fakturační podmínky tak, aby byla doložena účelovost faktur, včetně specifikace jednotlivých způsobilých výdajů.</w:t>
      </w:r>
      <w:r w:rsidR="00FD0500">
        <w:rPr>
          <w:rFonts w:ascii="Arial" w:hAnsi="Arial" w:cs="Arial"/>
          <w:sz w:val="20"/>
          <w:szCs w:val="20"/>
        </w:rPr>
        <w:t xml:space="preserve"> </w:t>
      </w:r>
    </w:p>
    <w:p w14:paraId="20C832EE" w14:textId="0BB23B3B" w:rsidR="00B03E0E" w:rsidRDefault="00B03E0E">
      <w:pPr>
        <w:tabs>
          <w:tab w:val="left" w:pos="3600"/>
        </w:tabs>
        <w:spacing w:line="276" w:lineRule="auto"/>
        <w:ind w:left="357"/>
        <w:jc w:val="both"/>
        <w:rPr>
          <w:rFonts w:ascii="Arial" w:hAnsi="Arial" w:cs="Arial"/>
          <w:sz w:val="20"/>
          <w:szCs w:val="20"/>
        </w:rPr>
      </w:pPr>
    </w:p>
    <w:p w14:paraId="4F9702E6" w14:textId="77777777" w:rsidR="005C6DF1" w:rsidRDefault="005C6DF1">
      <w:pPr>
        <w:tabs>
          <w:tab w:val="left" w:pos="3600"/>
        </w:tabs>
        <w:spacing w:line="276" w:lineRule="auto"/>
        <w:ind w:left="357"/>
        <w:jc w:val="both"/>
        <w:rPr>
          <w:rFonts w:ascii="Arial" w:hAnsi="Arial" w:cs="Arial"/>
          <w:sz w:val="20"/>
          <w:szCs w:val="20"/>
        </w:rPr>
      </w:pPr>
    </w:p>
    <w:p w14:paraId="3B56AA8E" w14:textId="77777777" w:rsidR="00B03E0E" w:rsidRDefault="00FD0500">
      <w:pPr>
        <w:spacing w:before="60" w:line="276" w:lineRule="auto"/>
        <w:ind w:left="425" w:hanging="425"/>
        <w:jc w:val="center"/>
        <w:rPr>
          <w:rFonts w:ascii="Arial" w:hAnsi="Arial" w:cs="Arial"/>
          <w:b/>
          <w:sz w:val="20"/>
          <w:szCs w:val="20"/>
        </w:rPr>
      </w:pPr>
      <w:r>
        <w:rPr>
          <w:rFonts w:ascii="Arial" w:hAnsi="Arial" w:cs="Arial"/>
          <w:b/>
          <w:sz w:val="20"/>
          <w:szCs w:val="20"/>
        </w:rPr>
        <w:t>IV.</w:t>
      </w:r>
    </w:p>
    <w:p w14:paraId="06D9D81D" w14:textId="77777777" w:rsidR="00B03E0E" w:rsidRDefault="00FD0500">
      <w:pPr>
        <w:widowControl w:val="0"/>
        <w:tabs>
          <w:tab w:val="left" w:pos="708"/>
          <w:tab w:val="left" w:pos="8928"/>
        </w:tabs>
        <w:spacing w:before="60" w:after="60" w:line="276" w:lineRule="auto"/>
        <w:jc w:val="center"/>
        <w:rPr>
          <w:rFonts w:ascii="Arial" w:hAnsi="Arial" w:cs="Arial"/>
          <w:b/>
          <w:snapToGrid w:val="0"/>
          <w:sz w:val="20"/>
          <w:szCs w:val="20"/>
        </w:rPr>
      </w:pPr>
      <w:r>
        <w:rPr>
          <w:rFonts w:ascii="Arial" w:hAnsi="Arial" w:cs="Arial"/>
          <w:b/>
          <w:snapToGrid w:val="0"/>
          <w:sz w:val="20"/>
          <w:szCs w:val="20"/>
        </w:rPr>
        <w:t>Sankce</w:t>
      </w:r>
    </w:p>
    <w:p w14:paraId="1C5910A1" w14:textId="3CDC3ACC" w:rsidR="003471AE" w:rsidRPr="003471AE" w:rsidRDefault="003471AE" w:rsidP="003471AE">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3471AE">
        <w:rPr>
          <w:rFonts w:ascii="Arial" w:hAnsi="Arial" w:cs="Arial"/>
          <w:b w:val="0"/>
          <w:sz w:val="20"/>
        </w:rPr>
        <w:t xml:space="preserve">V případě porušení rozpočtové kázně ze strany příjemce bude poskytovatel postupovat v souladu s ustanovením § 22 zákona </w:t>
      </w:r>
      <w:r>
        <w:rPr>
          <w:rFonts w:ascii="Arial" w:hAnsi="Arial" w:cs="Arial"/>
          <w:b w:val="0"/>
          <w:sz w:val="20"/>
        </w:rPr>
        <w:t xml:space="preserve">č. 250/2000 Sb., </w:t>
      </w:r>
      <w:r w:rsidRPr="003471AE">
        <w:rPr>
          <w:rFonts w:ascii="Arial" w:hAnsi="Arial" w:cs="Arial"/>
          <w:b w:val="0"/>
          <w:sz w:val="20"/>
        </w:rPr>
        <w:t>o rozpočtových pravidlech</w:t>
      </w:r>
      <w:r>
        <w:rPr>
          <w:rFonts w:ascii="Arial" w:hAnsi="Arial" w:cs="Arial"/>
          <w:b w:val="0"/>
          <w:sz w:val="20"/>
        </w:rPr>
        <w:t xml:space="preserve"> </w:t>
      </w:r>
      <w:r w:rsidRPr="003471AE">
        <w:rPr>
          <w:rFonts w:ascii="Arial" w:hAnsi="Arial" w:cs="Arial"/>
          <w:b w:val="0"/>
          <w:sz w:val="20"/>
        </w:rPr>
        <w:t>územních rozpočtů, ve znění pozdějších předpisů (dále jen „zákon o rozpočtových pravidlech“)</w:t>
      </w:r>
      <w:r w:rsidR="00475A3B">
        <w:rPr>
          <w:rFonts w:ascii="Arial" w:hAnsi="Arial" w:cs="Arial"/>
          <w:b w:val="0"/>
          <w:sz w:val="20"/>
        </w:rPr>
        <w:t xml:space="preserve"> a příjemci bude uložen odvod ve výši poskytnuté NFV</w:t>
      </w:r>
      <w:r w:rsidRPr="003471AE">
        <w:rPr>
          <w:rFonts w:ascii="Arial" w:hAnsi="Arial" w:cs="Arial"/>
          <w:b w:val="0"/>
          <w:sz w:val="20"/>
        </w:rPr>
        <w:t>.</w:t>
      </w:r>
    </w:p>
    <w:p w14:paraId="35E63E96" w14:textId="77777777" w:rsidR="005C6DF1" w:rsidRDefault="005C6DF1" w:rsidP="00897C68">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firstLine="360"/>
        <w:jc w:val="both"/>
        <w:rPr>
          <w:rFonts w:ascii="Arial" w:hAnsi="Arial" w:cs="Arial"/>
          <w:b w:val="0"/>
          <w:sz w:val="20"/>
        </w:rPr>
      </w:pPr>
      <w:r w:rsidRPr="005C6DF1">
        <w:rPr>
          <w:rFonts w:ascii="Arial" w:hAnsi="Arial" w:cs="Arial"/>
          <w:b w:val="0"/>
          <w:sz w:val="20"/>
        </w:rPr>
        <w:t>Porušením rozpočtov</w:t>
      </w:r>
      <w:r>
        <w:rPr>
          <w:rFonts w:ascii="Arial" w:hAnsi="Arial" w:cs="Arial"/>
          <w:b w:val="0"/>
          <w:sz w:val="20"/>
        </w:rPr>
        <w:t xml:space="preserve">é kázně se rozumí zejména: </w:t>
      </w:r>
    </w:p>
    <w:p w14:paraId="2E4B0E7A" w14:textId="60453CDB"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v roz</w:t>
      </w:r>
      <w:r>
        <w:rPr>
          <w:rFonts w:ascii="Arial" w:hAnsi="Arial" w:cs="Arial"/>
          <w:b w:val="0"/>
          <w:sz w:val="20"/>
        </w:rPr>
        <w:t xml:space="preserve">poru se stanoveným účelem. </w:t>
      </w:r>
    </w:p>
    <w:p w14:paraId="3A15565A"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w:t>
      </w:r>
      <w:r>
        <w:rPr>
          <w:rFonts w:ascii="Arial" w:hAnsi="Arial" w:cs="Arial"/>
          <w:b w:val="0"/>
          <w:sz w:val="20"/>
        </w:rPr>
        <w:t>euznatelné náklady.</w:t>
      </w:r>
    </w:p>
    <w:p w14:paraId="7C604C47"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náklady, které se netýkají období, na které je návratná finanční výpom</w:t>
      </w:r>
      <w:r>
        <w:rPr>
          <w:rFonts w:ascii="Arial" w:hAnsi="Arial" w:cs="Arial"/>
          <w:b w:val="0"/>
          <w:sz w:val="20"/>
        </w:rPr>
        <w:t xml:space="preserve">oc poskytnuta. </w:t>
      </w:r>
    </w:p>
    <w:p w14:paraId="5254B089"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Zadržení finančních prostředků, tzn. nevrácení návratné finanční výpom</w:t>
      </w:r>
      <w:r>
        <w:rPr>
          <w:rFonts w:ascii="Arial" w:hAnsi="Arial" w:cs="Arial"/>
          <w:b w:val="0"/>
          <w:sz w:val="20"/>
        </w:rPr>
        <w:t xml:space="preserve">oci ve stanoveném termínu. </w:t>
      </w:r>
    </w:p>
    <w:p w14:paraId="091B92D0"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Použití peněžních prostředků, při kterém byla porušena povinnost stanovená právním předpisem nebo přímo použitelný</w:t>
      </w:r>
      <w:r>
        <w:rPr>
          <w:rFonts w:ascii="Arial" w:hAnsi="Arial" w:cs="Arial"/>
          <w:b w:val="0"/>
          <w:sz w:val="20"/>
        </w:rPr>
        <w:t>m předpisem Evropské Unie.</w:t>
      </w:r>
    </w:p>
    <w:p w14:paraId="0240CF28"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Neprokáže-li poskytovatel sociální služby, jak byla návratná</w:t>
      </w:r>
      <w:r>
        <w:rPr>
          <w:rFonts w:ascii="Arial" w:hAnsi="Arial" w:cs="Arial"/>
          <w:b w:val="0"/>
          <w:sz w:val="20"/>
        </w:rPr>
        <w:t xml:space="preserve"> finanční výpomoc použita.</w:t>
      </w:r>
    </w:p>
    <w:p w14:paraId="5A070893"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Neumožnění veřejnos</w:t>
      </w:r>
      <w:r>
        <w:rPr>
          <w:rFonts w:ascii="Arial" w:hAnsi="Arial" w:cs="Arial"/>
          <w:b w:val="0"/>
          <w:sz w:val="20"/>
        </w:rPr>
        <w:t>právní kontroly.</w:t>
      </w:r>
    </w:p>
    <w:p w14:paraId="46E6E012" w14:textId="68DD2642"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 xml:space="preserve">Nedoložení účetnictví v rámci veřejnosprávní kontroly v období 10 let od ukončení období, na které byla návratná </w:t>
      </w:r>
      <w:r>
        <w:rPr>
          <w:rFonts w:ascii="Arial" w:hAnsi="Arial" w:cs="Arial"/>
          <w:b w:val="0"/>
          <w:sz w:val="20"/>
        </w:rPr>
        <w:t xml:space="preserve">finanční výpomoc poskytnuta. </w:t>
      </w:r>
    </w:p>
    <w:p w14:paraId="4607129C" w14:textId="6E8E31FF" w:rsidR="00475A3B" w:rsidRPr="00B36A98" w:rsidRDefault="00475A3B" w:rsidP="00475A3B">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Nepředložení </w:t>
      </w:r>
      <w:r w:rsidRPr="00B36A98">
        <w:rPr>
          <w:rFonts w:ascii="Arial" w:hAnsi="Arial" w:cs="Arial"/>
          <w:b w:val="0"/>
          <w:sz w:val="20"/>
        </w:rPr>
        <w:t xml:space="preserve">Závěrečné zprávy </w:t>
      </w:r>
      <w:r>
        <w:rPr>
          <w:rFonts w:ascii="Arial" w:hAnsi="Arial" w:cs="Arial"/>
          <w:b w:val="0"/>
          <w:sz w:val="20"/>
        </w:rPr>
        <w:t>s vyúčtováním</w:t>
      </w:r>
      <w:r w:rsidRPr="00264301">
        <w:rPr>
          <w:rFonts w:ascii="Arial" w:hAnsi="Arial" w:cs="Arial"/>
          <w:b w:val="0"/>
          <w:sz w:val="20"/>
        </w:rPr>
        <w:t xml:space="preserve"> ani v dodatečné lhůtě</w:t>
      </w:r>
      <w:r>
        <w:rPr>
          <w:rFonts w:ascii="Arial" w:hAnsi="Arial" w:cs="Arial"/>
          <w:b w:val="0"/>
          <w:sz w:val="20"/>
        </w:rPr>
        <w:t>.</w:t>
      </w:r>
    </w:p>
    <w:p w14:paraId="0711951C"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720"/>
        <w:jc w:val="both"/>
        <w:rPr>
          <w:rFonts w:ascii="Arial" w:hAnsi="Arial" w:cs="Arial"/>
          <w:b w:val="0"/>
          <w:sz w:val="20"/>
        </w:rPr>
      </w:pPr>
    </w:p>
    <w:p w14:paraId="579A20F7" w14:textId="71908D4B" w:rsidR="00B03E0E" w:rsidRPr="006D417E" w:rsidRDefault="00FD0500" w:rsidP="006D417E">
      <w:pPr>
        <w:pStyle w:val="Odstavecseseznamem"/>
        <w:widowControl w:val="0"/>
        <w:numPr>
          <w:ilvl w:val="1"/>
          <w:numId w:val="46"/>
        </w:numPr>
        <w:tabs>
          <w:tab w:val="left" w:pos="8928"/>
        </w:tabs>
        <w:spacing w:before="120" w:after="120"/>
        <w:jc w:val="both"/>
        <w:rPr>
          <w:rFonts w:ascii="Arial" w:hAnsi="Arial" w:cs="Arial"/>
          <w:sz w:val="20"/>
          <w:szCs w:val="20"/>
        </w:rPr>
      </w:pPr>
      <w:r w:rsidRPr="006D417E">
        <w:rPr>
          <w:rFonts w:ascii="Arial" w:hAnsi="Arial" w:cs="Arial"/>
          <w:sz w:val="20"/>
          <w:szCs w:val="20"/>
        </w:rPr>
        <w:t xml:space="preserve">Porušení povinností uvedených </w:t>
      </w:r>
      <w:r w:rsidRPr="007B0115">
        <w:rPr>
          <w:rFonts w:ascii="Arial" w:hAnsi="Arial" w:cs="Arial"/>
          <w:sz w:val="20"/>
          <w:szCs w:val="20"/>
        </w:rPr>
        <w:t>v článku II. odst. 2.</w:t>
      </w:r>
      <w:r w:rsidR="008F20B3" w:rsidRPr="007B0115">
        <w:rPr>
          <w:rFonts w:ascii="Arial" w:hAnsi="Arial" w:cs="Arial"/>
          <w:sz w:val="20"/>
          <w:szCs w:val="20"/>
        </w:rPr>
        <w:t>4</w:t>
      </w:r>
      <w:r w:rsidR="00E727D3">
        <w:rPr>
          <w:rFonts w:ascii="Arial" w:hAnsi="Arial" w:cs="Arial"/>
          <w:sz w:val="20"/>
          <w:szCs w:val="20"/>
        </w:rPr>
        <w:t xml:space="preserve"> v druhé větě</w:t>
      </w:r>
      <w:r w:rsidR="00A73735">
        <w:rPr>
          <w:rFonts w:ascii="Arial" w:hAnsi="Arial" w:cs="Arial"/>
          <w:sz w:val="20"/>
          <w:szCs w:val="20"/>
        </w:rPr>
        <w:t xml:space="preserve">, 2.5 </w:t>
      </w:r>
      <w:r w:rsidR="00E727D3">
        <w:rPr>
          <w:rFonts w:ascii="Arial" w:hAnsi="Arial" w:cs="Arial"/>
          <w:sz w:val="20"/>
          <w:szCs w:val="20"/>
        </w:rPr>
        <w:t xml:space="preserve">v první větě </w:t>
      </w:r>
      <w:r w:rsidRPr="007B0115">
        <w:rPr>
          <w:rFonts w:ascii="Arial" w:hAnsi="Arial" w:cs="Arial"/>
          <w:sz w:val="20"/>
          <w:szCs w:val="20"/>
        </w:rPr>
        <w:t>a v článku III. odst. 3.</w:t>
      </w:r>
      <w:r w:rsidR="009F54CB">
        <w:rPr>
          <w:rFonts w:ascii="Arial" w:hAnsi="Arial" w:cs="Arial"/>
          <w:sz w:val="20"/>
          <w:szCs w:val="20"/>
        </w:rPr>
        <w:t>10</w:t>
      </w:r>
      <w:r w:rsidRPr="006D417E">
        <w:rPr>
          <w:rFonts w:ascii="Arial" w:hAnsi="Arial" w:cs="Arial"/>
          <w:sz w:val="20"/>
          <w:szCs w:val="20"/>
        </w:rPr>
        <w:t xml:space="preserve"> je považováno za méně závažné porušení rozpočtové kázně ve smyslu § 10a odst. 6 zákona o rozpočtových pravidlech. V případě porušení těchto povinností se příjemci </w:t>
      </w:r>
      <w:proofErr w:type="gramStart"/>
      <w:r w:rsidRPr="006D417E">
        <w:rPr>
          <w:rFonts w:ascii="Arial" w:hAnsi="Arial" w:cs="Arial"/>
          <w:sz w:val="20"/>
          <w:szCs w:val="20"/>
        </w:rPr>
        <w:t>uloží</w:t>
      </w:r>
      <w:proofErr w:type="gramEnd"/>
      <w:r w:rsidRPr="006D417E">
        <w:rPr>
          <w:rFonts w:ascii="Arial" w:hAnsi="Arial" w:cs="Arial"/>
          <w:sz w:val="20"/>
          <w:szCs w:val="20"/>
        </w:rPr>
        <w:t xml:space="preserve"> odvod za porušení rozpočtové kázně ve výši 5 % z výše poskytnuté NFV. </w:t>
      </w:r>
    </w:p>
    <w:p w14:paraId="2BCA528B"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b w:val="0"/>
          <w:sz w:val="20"/>
        </w:rPr>
      </w:pPr>
      <w:r w:rsidRPr="005C6DF1">
        <w:rPr>
          <w:rFonts w:ascii="Arial" w:hAnsi="Arial" w:cs="Arial"/>
          <w:b w:val="0"/>
          <w:sz w:val="20"/>
        </w:rPr>
        <w:t xml:space="preserve">O odvodu za porušení rozpočtové kázně a souvisejícím penále rozhoduje příslušný orgán Zlínského kraje. </w:t>
      </w:r>
    </w:p>
    <w:p w14:paraId="0BCD72A5" w14:textId="77777777" w:rsidR="00475A3B" w:rsidRPr="00897C68"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sz w:val="20"/>
        </w:rPr>
      </w:pPr>
      <w:r w:rsidRPr="00897C68">
        <w:rPr>
          <w:rFonts w:ascii="Arial" w:hAnsi="Arial" w:cs="Arial"/>
          <w:sz w:val="20"/>
        </w:rPr>
        <w:t>Porušení rozpočtové kázně může být důvodem, pro který nebude poskytovatel sociální služby pověřen k poskytování služeb obecného hospodářského zájmu v následujícím období.</w:t>
      </w:r>
    </w:p>
    <w:p w14:paraId="16BCFF38"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6B97C070"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2168E9D3" w14:textId="66D18C3A" w:rsidR="00B03E0E" w:rsidRDefault="00FD0500" w:rsidP="00B81349">
      <w:pPr>
        <w:spacing w:before="60" w:line="276" w:lineRule="auto"/>
        <w:ind w:left="425" w:hanging="425"/>
        <w:jc w:val="center"/>
        <w:rPr>
          <w:rFonts w:ascii="Arial" w:hAnsi="Arial" w:cs="Arial"/>
          <w:b/>
          <w:sz w:val="20"/>
          <w:szCs w:val="20"/>
        </w:rPr>
      </w:pPr>
      <w:r>
        <w:rPr>
          <w:rFonts w:ascii="Arial" w:hAnsi="Arial" w:cs="Arial"/>
          <w:b/>
          <w:sz w:val="20"/>
          <w:szCs w:val="20"/>
        </w:rPr>
        <w:t>V.</w:t>
      </w:r>
    </w:p>
    <w:p w14:paraId="50DF16F9" w14:textId="77777777" w:rsidR="00B03E0E" w:rsidRDefault="00FD0500">
      <w:pPr>
        <w:pStyle w:val="Zkladntext"/>
        <w:tabs>
          <w:tab w:val="left" w:pos="426"/>
        </w:tabs>
        <w:spacing w:before="60" w:after="60" w:line="276" w:lineRule="auto"/>
        <w:ind w:left="426" w:hanging="425"/>
        <w:jc w:val="center"/>
        <w:rPr>
          <w:rFonts w:ascii="Arial" w:hAnsi="Arial" w:cs="Arial"/>
          <w:b/>
          <w:sz w:val="20"/>
        </w:rPr>
      </w:pPr>
      <w:r>
        <w:rPr>
          <w:rFonts w:ascii="Arial" w:hAnsi="Arial" w:cs="Arial"/>
          <w:b/>
          <w:sz w:val="20"/>
        </w:rPr>
        <w:t>Ukončení smlouvy</w:t>
      </w:r>
    </w:p>
    <w:p w14:paraId="198127B3"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Smlouvu lze ukončit na základě písemné dohody obou smluvních stran nebo písemnou výpovědí smlouvy, a to za podmínek dále stanovených. </w:t>
      </w:r>
    </w:p>
    <w:p w14:paraId="0ADCBE52"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jc w:val="both"/>
        <w:rPr>
          <w:rFonts w:ascii="Arial" w:hAnsi="Arial" w:cs="Arial"/>
          <w:b w:val="0"/>
          <w:sz w:val="20"/>
        </w:rPr>
      </w:pPr>
      <w:r>
        <w:rPr>
          <w:rFonts w:ascii="Arial" w:hAnsi="Arial" w:cs="Arial"/>
          <w:b w:val="0"/>
          <w:sz w:val="20"/>
        </w:rPr>
        <w:t>Poskytovatel může smlouvu vypovědět jak před proplacením, tak i po proplacení peněžních prostředků.</w:t>
      </w:r>
    </w:p>
    <w:p w14:paraId="517DFD6B" w14:textId="77777777" w:rsidR="00B03E0E" w:rsidRDefault="00FD0500">
      <w:pPr>
        <w:pStyle w:val="Odstavecseseznamem"/>
        <w:widowControl w:val="0"/>
        <w:numPr>
          <w:ilvl w:val="1"/>
          <w:numId w:val="47"/>
        </w:numPr>
        <w:tabs>
          <w:tab w:val="left" w:pos="8928"/>
        </w:tabs>
        <w:spacing w:before="100" w:after="60"/>
        <w:jc w:val="both"/>
        <w:rPr>
          <w:rFonts w:ascii="Arial" w:hAnsi="Arial" w:cs="Arial"/>
          <w:sz w:val="20"/>
          <w:szCs w:val="20"/>
        </w:rPr>
      </w:pPr>
      <w:r>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696FE376" w14:textId="33ABEDC8" w:rsidR="00B03E0E" w:rsidRDefault="00FD0500">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 xml:space="preserve">svým jednáním </w:t>
      </w:r>
      <w:proofErr w:type="gramStart"/>
      <w:r>
        <w:rPr>
          <w:rFonts w:ascii="Arial" w:hAnsi="Arial" w:cs="Arial"/>
          <w:sz w:val="20"/>
          <w:szCs w:val="20"/>
        </w:rPr>
        <w:t>poruší</w:t>
      </w:r>
      <w:proofErr w:type="gramEnd"/>
      <w:r>
        <w:rPr>
          <w:rFonts w:ascii="Arial" w:hAnsi="Arial" w:cs="Arial"/>
          <w:sz w:val="20"/>
          <w:szCs w:val="20"/>
        </w:rPr>
        <w:t xml:space="preserve"> rozpočtovou kázeň dle zákona o rozpočt</w:t>
      </w:r>
      <w:r w:rsidR="00B81349">
        <w:rPr>
          <w:rFonts w:ascii="Arial" w:hAnsi="Arial" w:cs="Arial"/>
          <w:sz w:val="20"/>
          <w:szCs w:val="20"/>
        </w:rPr>
        <w:t>ových pravidlech,</w:t>
      </w:r>
      <w:r>
        <w:rPr>
          <w:rFonts w:ascii="Arial" w:hAnsi="Arial" w:cs="Arial"/>
          <w:sz w:val="20"/>
          <w:szCs w:val="20"/>
        </w:rPr>
        <w:t xml:space="preserve"> </w:t>
      </w:r>
    </w:p>
    <w:p w14:paraId="0BAA7015" w14:textId="5646593C" w:rsidR="003F5973" w:rsidRDefault="003F5973">
      <w:pPr>
        <w:numPr>
          <w:ilvl w:val="0"/>
          <w:numId w:val="42"/>
        </w:numPr>
        <w:tabs>
          <w:tab w:val="left" w:pos="8928"/>
        </w:tabs>
        <w:spacing w:line="276" w:lineRule="auto"/>
        <w:jc w:val="both"/>
        <w:rPr>
          <w:rFonts w:ascii="Arial" w:hAnsi="Arial" w:cs="Arial"/>
          <w:sz w:val="20"/>
          <w:szCs w:val="20"/>
        </w:rPr>
      </w:pPr>
      <w:proofErr w:type="gramStart"/>
      <w:r>
        <w:rPr>
          <w:rFonts w:ascii="Arial" w:hAnsi="Arial" w:cs="Arial"/>
          <w:sz w:val="20"/>
          <w:szCs w:val="20"/>
        </w:rPr>
        <w:t>p</w:t>
      </w:r>
      <w:r w:rsidR="00B81349">
        <w:rPr>
          <w:rFonts w:ascii="Arial" w:hAnsi="Arial" w:cs="Arial"/>
          <w:sz w:val="20"/>
          <w:szCs w:val="20"/>
        </w:rPr>
        <w:t>oruší</w:t>
      </w:r>
      <w:proofErr w:type="gramEnd"/>
      <w:r w:rsidR="00B81349">
        <w:rPr>
          <w:rFonts w:ascii="Arial" w:hAnsi="Arial" w:cs="Arial"/>
          <w:sz w:val="20"/>
          <w:szCs w:val="20"/>
        </w:rPr>
        <w:t xml:space="preserve"> pravidla veřejné podpory,</w:t>
      </w:r>
    </w:p>
    <w:p w14:paraId="3FFBFC1D" w14:textId="15322711"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je on sám, případně jako právnická osoba či některá osoba tvořící statutární orgán příjemce odsouzen/a za trestný čin, jehož skutková podstat</w:t>
      </w:r>
      <w:r w:rsidR="005D495A">
        <w:rPr>
          <w:rFonts w:ascii="Arial" w:hAnsi="Arial" w:cs="Arial"/>
          <w:sz w:val="20"/>
          <w:szCs w:val="20"/>
        </w:rPr>
        <w:t>a</w:t>
      </w:r>
      <w:r>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103B66F"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467A8841"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65CA0DD6"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je v likvidaci, </w:t>
      </w:r>
    </w:p>
    <w:p w14:paraId="1381BDFC"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14:paraId="73622DF5" w14:textId="37C98148"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opakovaně neplní povinnosti stanovené smlouvou, i když byl k jejich</w:t>
      </w:r>
      <w:r w:rsidR="00B81349">
        <w:rPr>
          <w:rFonts w:ascii="Arial" w:hAnsi="Arial" w:cs="Arial"/>
          <w:sz w:val="20"/>
          <w:szCs w:val="20"/>
        </w:rPr>
        <w:t xml:space="preserve"> nápravě vyzván poskytovatelem,</w:t>
      </w:r>
    </w:p>
    <w:p w14:paraId="35F5CA09" w14:textId="4DC722A7" w:rsidR="003F5973" w:rsidRDefault="003F5973" w:rsidP="003F5973">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r</w:t>
      </w:r>
      <w:r w:rsidRPr="003F5973">
        <w:rPr>
          <w:rFonts w:ascii="Arial" w:hAnsi="Arial" w:cs="Arial"/>
          <w:sz w:val="20"/>
          <w:szCs w:val="20"/>
        </w:rPr>
        <w:t>ozhodnutí o zrušení registrace ve smyslu zákona o sociáln</w:t>
      </w:r>
      <w:r w:rsidR="00B81349">
        <w:rPr>
          <w:rFonts w:ascii="Arial" w:hAnsi="Arial" w:cs="Arial"/>
          <w:sz w:val="20"/>
          <w:szCs w:val="20"/>
        </w:rPr>
        <w:t>ích službách nabylo právní moci,</w:t>
      </w:r>
    </w:p>
    <w:p w14:paraId="2C413A2C" w14:textId="03B9AEDA" w:rsid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ukončil poskytování sociální služby zapsané v Registru </w:t>
      </w:r>
      <w:r w:rsidR="00B81349">
        <w:rPr>
          <w:rFonts w:ascii="Arial" w:hAnsi="Arial" w:cs="Arial"/>
          <w:sz w:val="20"/>
          <w:szCs w:val="20"/>
        </w:rPr>
        <w:t>poskytovatelů sociálních služeb,</w:t>
      </w:r>
    </w:p>
    <w:p w14:paraId="5E48C011" w14:textId="1FE71311" w:rsidR="003F5973" w:rsidRP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zanikl.</w:t>
      </w:r>
      <w:r w:rsidR="003F5973" w:rsidRPr="007B0115">
        <w:rPr>
          <w:rFonts w:ascii="Arial" w:hAnsi="Arial" w:cs="Arial"/>
          <w:sz w:val="20"/>
          <w:szCs w:val="20"/>
        </w:rPr>
        <w:cr/>
      </w:r>
    </w:p>
    <w:p w14:paraId="1889FFCD"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že došlo k některé ze skutečností uvedené v předchozích ustanoveních tohoto článku, je poskytovatel oprávněn pozastavit proplacení peněžních prostředků. Stejně tak je poskytovatel oprávněn postupovat i v případě pouhého podezření, že došlo k některé ze skutečností uvedené v předchozích ustanoveních tohoto článku.</w:t>
      </w:r>
    </w:p>
    <w:p w14:paraId="01270F41"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výpovědi této smlouvy před proplacením peněžních prostředků, nárok na vyplacení prostředků nevzniká a nelze se jej platně domáhat. V případě výpovědi smlouvy po proplacení prostředků, se příjemce zavazuje poskytnuté peněžní prostředky vrátit bezhotovostním převodem na účet poskytovatele bez zbytečného odkladu, nejpozději však do 15 dnů od doručení výpovědi.</w:t>
      </w:r>
    </w:p>
    <w:p w14:paraId="5280D16E"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Výpověď smlouvy musí být učiněna písemně a musí v ní být uvedeny důvody jejího udělení. </w:t>
      </w:r>
    </w:p>
    <w:p w14:paraId="32EF583B" w14:textId="71C28E5F"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Výpovědní doba činí jeden měsíc a začne běžet od prvního dne měsíce následujícího po měsíci, v němž byla výpověď doručena příjemci. Účinky doručení pro účely této smlouvy však nastávají i</w:t>
      </w:r>
      <w:r w:rsidR="00A73735">
        <w:rPr>
          <w:rFonts w:ascii="Arial" w:hAnsi="Arial" w:cs="Arial"/>
          <w:b w:val="0"/>
          <w:sz w:val="20"/>
        </w:rPr>
        <w:t> </w:t>
      </w:r>
      <w:r>
        <w:rPr>
          <w:rFonts w:ascii="Arial" w:hAnsi="Arial" w:cs="Arial"/>
          <w:b w:val="0"/>
          <w:sz w:val="20"/>
        </w:rPr>
        <w:t xml:space="preserve">tehdy, pokud příjemce svým jednáním nebo opomenutím doručení zmařil. </w:t>
      </w:r>
    </w:p>
    <w:p w14:paraId="2318AAA0"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045671C7"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poskytnuté peněžní prostředky poskytovateli do 15 dnů ode dne </w:t>
      </w:r>
      <w:r>
        <w:rPr>
          <w:rFonts w:ascii="Arial" w:hAnsi="Arial" w:cs="Arial"/>
          <w:b w:val="0"/>
          <w:sz w:val="20"/>
        </w:rPr>
        <w:lastRenderedPageBreak/>
        <w:t xml:space="preserve">účinnosti výpovědi.  </w:t>
      </w:r>
    </w:p>
    <w:p w14:paraId="035794DF"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Při ukončení smlouvy dohodou je příjemce povinen vrátit bezhotovostním převodem na účet poskytovatele poskytnuté peněžní prostředky, které mu již byly vyplaceny, a to bez zbytečného odkladu, nejpozději do 30 dnů ode dne doručení dohody podepsané oběma smluvními stranami, nedohodnou-li se smluvní strany jinak. </w:t>
      </w:r>
    </w:p>
    <w:p w14:paraId="51F6DD9E"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Dohoda o ukončení smlouvy nabývá účinnosti dnem připsání vrácených peněžních prostředků na účet poskytovatele, nedohodnou-li se smluvní strany jinak.</w:t>
      </w:r>
    </w:p>
    <w:p w14:paraId="06A0CF7E" w14:textId="57836945"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A73735">
        <w:rPr>
          <w:rFonts w:ascii="Arial" w:hAnsi="Arial" w:cs="Arial"/>
          <w:b w:val="0"/>
          <w:sz w:val="20"/>
        </w:rPr>
        <w:t> </w:t>
      </w:r>
      <w:r>
        <w:rPr>
          <w:rFonts w:ascii="Arial" w:hAnsi="Arial" w:cs="Arial"/>
          <w:b w:val="0"/>
          <w:sz w:val="20"/>
        </w:rPr>
        <w:t>musí v něm být uvedeny důvody, které vedou k zániku smlouvy.</w:t>
      </w:r>
    </w:p>
    <w:p w14:paraId="6244C720" w14:textId="32C82AA8"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Pokud příjemce ve stanovené lhůtě poskytnuté prostředky nevrátí v souladu s tímto článkem poskytovateli, považují se tyto prostředky za zadržené ve smyslu zákona o rozpočtových pravidlech</w:t>
      </w:r>
      <w:r w:rsidR="006D417E">
        <w:rPr>
          <w:rFonts w:ascii="Arial" w:hAnsi="Arial" w:cs="Arial"/>
          <w:b w:val="0"/>
          <w:sz w:val="20"/>
        </w:rPr>
        <w:t>.</w:t>
      </w:r>
      <w:r>
        <w:rPr>
          <w:rFonts w:ascii="Arial" w:hAnsi="Arial" w:cs="Arial"/>
          <w:b w:val="0"/>
          <w:sz w:val="20"/>
        </w:rPr>
        <w:t xml:space="preserve"> </w:t>
      </w:r>
    </w:p>
    <w:p w14:paraId="085ECB9D"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37B605CD"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774CD2C3" w14:textId="77777777" w:rsidR="00B03E0E" w:rsidRDefault="00FD0500">
      <w:pPr>
        <w:spacing w:before="120" w:line="276" w:lineRule="auto"/>
        <w:ind w:left="425" w:hanging="425"/>
        <w:jc w:val="center"/>
        <w:rPr>
          <w:rFonts w:ascii="Arial" w:hAnsi="Arial" w:cs="Arial"/>
          <w:b/>
          <w:sz w:val="20"/>
          <w:szCs w:val="20"/>
        </w:rPr>
      </w:pPr>
      <w:r>
        <w:rPr>
          <w:rFonts w:ascii="Arial" w:hAnsi="Arial" w:cs="Arial"/>
          <w:b/>
          <w:sz w:val="20"/>
          <w:szCs w:val="20"/>
        </w:rPr>
        <w:t>VI.</w:t>
      </w:r>
    </w:p>
    <w:p w14:paraId="593E71CF" w14:textId="77777777" w:rsidR="00B03E0E" w:rsidRDefault="00FD0500">
      <w:pPr>
        <w:widowControl w:val="0"/>
        <w:tabs>
          <w:tab w:val="left" w:pos="708"/>
          <w:tab w:val="left" w:pos="8928"/>
        </w:tabs>
        <w:spacing w:before="60" w:line="276" w:lineRule="auto"/>
        <w:jc w:val="center"/>
        <w:rPr>
          <w:rFonts w:ascii="Arial" w:hAnsi="Arial" w:cs="Arial"/>
          <w:b/>
          <w:snapToGrid w:val="0"/>
          <w:sz w:val="20"/>
          <w:szCs w:val="20"/>
        </w:rPr>
      </w:pPr>
      <w:r>
        <w:rPr>
          <w:rFonts w:ascii="Arial" w:hAnsi="Arial" w:cs="Arial"/>
          <w:b/>
          <w:snapToGrid w:val="0"/>
          <w:sz w:val="20"/>
          <w:szCs w:val="20"/>
        </w:rPr>
        <w:t>Závěrečná ustanovení</w:t>
      </w:r>
    </w:p>
    <w:p w14:paraId="4BA0EC7D" w14:textId="208E501F" w:rsidR="00B03E0E" w:rsidRDefault="00FD0500" w:rsidP="00E351C5">
      <w:pPr>
        <w:pStyle w:val="Nadpis"/>
        <w:widowControl w:val="0"/>
        <w:numPr>
          <w:ilvl w:val="1"/>
          <w:numId w:val="48"/>
        </w:numPr>
        <w:tabs>
          <w:tab w:val="left" w:pos="42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napToGrid w:val="0"/>
          <w:color w:val="7030A0"/>
          <w:sz w:val="20"/>
        </w:rPr>
      </w:pPr>
      <w:r>
        <w:rPr>
          <w:rFonts w:ascii="Arial" w:hAnsi="Arial" w:cs="Arial"/>
          <w:b w:val="0"/>
          <w:sz w:val="20"/>
        </w:rPr>
        <w:t xml:space="preserve">Jako kontaktní místo poskytovatele se pro účely této smlouvy stanovuje: Krajský úřad Zlínského kraje, odbor sociálních věcí, </w:t>
      </w:r>
      <w:r w:rsidR="006D417E">
        <w:rPr>
          <w:rFonts w:ascii="Arial" w:hAnsi="Arial" w:cs="Arial"/>
          <w:b w:val="0"/>
          <w:sz w:val="20"/>
        </w:rPr>
        <w:t>Mgr. Ing. Kateřina Lukášová</w:t>
      </w:r>
      <w:r>
        <w:rPr>
          <w:rFonts w:ascii="Arial" w:hAnsi="Arial" w:cs="Arial"/>
          <w:b w:val="0"/>
          <w:sz w:val="20"/>
        </w:rPr>
        <w:t>, tel.: 577 043 3</w:t>
      </w:r>
      <w:r w:rsidR="006D417E">
        <w:rPr>
          <w:rFonts w:ascii="Arial" w:hAnsi="Arial" w:cs="Arial"/>
          <w:b w:val="0"/>
          <w:sz w:val="20"/>
        </w:rPr>
        <w:t>07</w:t>
      </w:r>
      <w:r>
        <w:rPr>
          <w:rFonts w:ascii="Arial" w:hAnsi="Arial" w:cs="Arial"/>
          <w:b w:val="0"/>
          <w:sz w:val="20"/>
        </w:rPr>
        <w:t>, e-mail:</w:t>
      </w:r>
      <w:r w:rsidR="00A348B1">
        <w:rPr>
          <w:rFonts w:ascii="Arial" w:hAnsi="Arial" w:cs="Arial"/>
          <w:b w:val="0"/>
          <w:sz w:val="20"/>
        </w:rPr>
        <w:t xml:space="preserve"> </w:t>
      </w:r>
      <w:r w:rsidR="006D417E" w:rsidRPr="00E351C5">
        <w:rPr>
          <w:rStyle w:val="Hypertextovodkaz"/>
          <w:rFonts w:ascii="Arial" w:hAnsi="Arial" w:cs="Arial"/>
          <w:b w:val="0"/>
          <w:sz w:val="20"/>
          <w:u w:val="none"/>
        </w:rPr>
        <w:t>katerina.lukasova</w:t>
      </w:r>
      <w:r w:rsidRPr="00E351C5">
        <w:rPr>
          <w:rStyle w:val="Hypertextovodkaz"/>
          <w:rFonts w:ascii="Arial" w:hAnsi="Arial" w:cs="Arial"/>
          <w:b w:val="0"/>
          <w:sz w:val="20"/>
          <w:u w:val="none"/>
        </w:rPr>
        <w:t>@zlinsky</w:t>
      </w:r>
      <w:r w:rsidR="00E7557E">
        <w:rPr>
          <w:rStyle w:val="Hypertextovodkaz"/>
          <w:rFonts w:ascii="Arial" w:hAnsi="Arial" w:cs="Arial"/>
          <w:b w:val="0"/>
          <w:sz w:val="20"/>
          <w:u w:val="none"/>
        </w:rPr>
        <w:t>kraj</w:t>
      </w:r>
      <w:r w:rsidRPr="00E351C5">
        <w:rPr>
          <w:rStyle w:val="Hypertextovodkaz"/>
          <w:rFonts w:ascii="Arial" w:hAnsi="Arial" w:cs="Arial"/>
          <w:b w:val="0"/>
          <w:sz w:val="20"/>
          <w:u w:val="none"/>
        </w:rPr>
        <w:t>.cz</w:t>
      </w:r>
      <w:r>
        <w:rPr>
          <w:rFonts w:ascii="Arial" w:hAnsi="Arial" w:cs="Arial"/>
          <w:b w:val="0"/>
          <w:sz w:val="20"/>
        </w:rPr>
        <w:t xml:space="preserve">. </w:t>
      </w:r>
    </w:p>
    <w:p w14:paraId="779D4C87"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sz w:val="20"/>
        </w:rPr>
      </w:pPr>
      <w:r>
        <w:rPr>
          <w:rFonts w:ascii="Arial" w:hAnsi="Arial" w:cs="Arial"/>
          <w:b w:val="0"/>
          <w:sz w:val="20"/>
        </w:rPr>
        <w:t>Právní vztahy, které nejsou přímo upraveny touto smlouvou, se řídí příslušnými ustanoveními zákona č. 500/2004 Sb., správní řád, ve znění pozdějších předpisů, zákona o rozpočtových pravidlech a dalšími obecně závaznými předpisy.</w:t>
      </w:r>
    </w:p>
    <w:p w14:paraId="688DBE11"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z w:val="20"/>
        </w:rPr>
        <w:t xml:space="preserve">Smlouva může být měněna či doplňována pouze písemnými, vzestupně číslovanými dodatky podepsanými oprávněnými zástupci obou smluvních stran. Dodatek se neuzavírá v případě změny názvu příjemce, statutárního orgánu, sídla či bankovního účtu kterékoli ze smluvních stran. V takovém případě </w:t>
      </w:r>
      <w:proofErr w:type="gramStart"/>
      <w:r>
        <w:rPr>
          <w:rFonts w:ascii="Arial" w:hAnsi="Arial" w:cs="Arial"/>
          <w:b w:val="0"/>
          <w:sz w:val="20"/>
        </w:rPr>
        <w:t>postačí</w:t>
      </w:r>
      <w:proofErr w:type="gramEnd"/>
      <w:r>
        <w:rPr>
          <w:rFonts w:ascii="Arial" w:hAnsi="Arial" w:cs="Arial"/>
          <w:b w:val="0"/>
          <w:sz w:val="20"/>
        </w:rPr>
        <w:t xml:space="preserve"> písemné oznámení o změně, které v případě změny bankovního účtu příjemce musí být doloženo kopií smlouvy o zřízení účtu.</w:t>
      </w:r>
    </w:p>
    <w:p w14:paraId="20C18917"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napToGrid w:val="0"/>
          <w:sz w:val="20"/>
        </w:rPr>
        <w:t>Tato smlouva byla uzavřena na základě svobodné vůle, nebyla uzavřena v tísni za nápadně nevýhodných podmínek.</w:t>
      </w:r>
    </w:p>
    <w:p w14:paraId="1C860441" w14:textId="44761F46" w:rsidR="0043466C" w:rsidRPr="0043466C" w:rsidRDefault="00FD0500" w:rsidP="002470F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Nedílnou součástí této smlouvy je příloha č. 1</w:t>
      </w:r>
    </w:p>
    <w:p w14:paraId="051CEDA2" w14:textId="6F7F995E" w:rsidR="00E7557E" w:rsidRPr="0043466C" w:rsidRDefault="00E7557E" w:rsidP="00EA3C8C">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Smlouva je vyhotovena elektronicky</w:t>
      </w:r>
      <w:r w:rsidR="00EA3C8C">
        <w:rPr>
          <w:rFonts w:ascii="Arial" w:hAnsi="Arial" w:cs="Arial"/>
          <w:b w:val="0"/>
          <w:snapToGrid w:val="0"/>
          <w:sz w:val="20"/>
        </w:rPr>
        <w:t>.</w:t>
      </w:r>
    </w:p>
    <w:p w14:paraId="4D4D065A" w14:textId="4BDB2A5F" w:rsidR="00B03E0E" w:rsidRPr="001A30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line="276" w:lineRule="auto"/>
        <w:jc w:val="both"/>
        <w:rPr>
          <w:rFonts w:ascii="Arial" w:eastAsiaTheme="minorHAnsi" w:hAnsi="Arial" w:cs="Arial"/>
          <w:b w:val="0"/>
          <w:color w:val="0070C0"/>
          <w:sz w:val="20"/>
          <w:lang w:eastAsia="en-US"/>
        </w:rPr>
      </w:pPr>
      <w:r>
        <w:rPr>
          <w:rFonts w:ascii="Arial" w:hAnsi="Arial" w:cs="Arial"/>
          <w:b w:val="0"/>
          <w:snapToGrid w:val="0"/>
          <w:sz w:val="20"/>
        </w:rPr>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14:paraId="1EF98523" w14:textId="6B2E0ED1"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napToGrid w:val="0"/>
          <w:sz w:val="20"/>
        </w:rPr>
        <w:t xml:space="preserve">Tato smlouva nabývá </w:t>
      </w:r>
      <w:r w:rsidR="00401513">
        <w:rPr>
          <w:rFonts w:ascii="Arial" w:hAnsi="Arial" w:cs="Arial"/>
          <w:b w:val="0"/>
          <w:snapToGrid w:val="0"/>
          <w:sz w:val="20"/>
        </w:rPr>
        <w:t xml:space="preserve">platnosti dnem jejího podpisu zástupci obou smluvních stran a </w:t>
      </w:r>
      <w:r>
        <w:rPr>
          <w:rFonts w:ascii="Arial" w:hAnsi="Arial" w:cs="Arial"/>
          <w:b w:val="0"/>
          <w:snapToGrid w:val="0"/>
          <w:sz w:val="20"/>
        </w:rPr>
        <w:t>účinnosti dnem zveřejnění v registru smluv eventuálně na úřední desce Poskytovatele způsobem umožňujícím dálkový přístup dle ustanovení § 10d zákona o rozpočtových pravidlech.</w:t>
      </w:r>
      <w:r>
        <w:rPr>
          <w:rFonts w:ascii="Arial" w:hAnsi="Arial" w:cs="Arial"/>
          <w:b w:val="0"/>
          <w:snapToGrid w:val="0"/>
          <w:color w:val="FF0000"/>
          <w:sz w:val="20"/>
        </w:rPr>
        <w:t xml:space="preserve"> </w:t>
      </w:r>
    </w:p>
    <w:p w14:paraId="65754C68" w14:textId="5C2449B1" w:rsidR="00B03E0E" w:rsidRPr="001509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z w:val="20"/>
        </w:rPr>
        <w:t>Příjemce bere na vědomí, že osobní údaje uvedené v této smlouvě Poskytovatel zpracovává jako správce za účelem uzavření, plnění a zveřejnění smlouvy v souladu se zákonem č. 110/2019 Sb., o zpracování osobních údajů, ve znění pozdějších předpisů, a nařízením Evropského parlamentu a</w:t>
      </w:r>
      <w:r w:rsidR="00A73735">
        <w:rPr>
          <w:rFonts w:ascii="Arial" w:hAnsi="Arial" w:cs="Arial"/>
          <w:b w:val="0"/>
          <w:sz w:val="20"/>
        </w:rPr>
        <w:t> </w:t>
      </w:r>
      <w:r>
        <w:rPr>
          <w:rFonts w:ascii="Arial" w:hAnsi="Arial" w:cs="Arial"/>
          <w:b w:val="0"/>
          <w:sz w:val="20"/>
        </w:rPr>
        <w:t xml:space="preserve">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Pr>
          <w:rFonts w:ascii="Arial" w:hAnsi="Arial" w:cs="Arial"/>
          <w:b w:val="0"/>
          <w:sz w:val="20"/>
        </w:rPr>
        <w:lastRenderedPageBreak/>
        <w:t xml:space="preserve">správce, pověřence pro ochranu osobních údajů, informace o právech subjektu údajů a další informace ke zpracování osobních údajů jsou dostupné na webových stránkách Zlínského kraje </w:t>
      </w:r>
      <w:hyperlink r:id="rId12" w:history="1">
        <w:r w:rsidR="00E7557E" w:rsidRPr="00E7557E">
          <w:rPr>
            <w:rStyle w:val="Hypertextovodkaz"/>
            <w:rFonts w:ascii="Arial" w:hAnsi="Arial" w:cs="Arial"/>
            <w:b w:val="0"/>
            <w:sz w:val="20"/>
          </w:rPr>
          <w:t>www.zlinskykraj.cz</w:t>
        </w:r>
      </w:hyperlink>
      <w:r>
        <w:rPr>
          <w:rFonts w:ascii="Arial" w:hAnsi="Arial" w:cs="Arial"/>
          <w:b w:val="0"/>
          <w:sz w:val="20"/>
        </w:rPr>
        <w:t>, v sekci Krajský úřad, Zpracování a ochrana osobních údajů (GDPR).</w:t>
      </w:r>
    </w:p>
    <w:p w14:paraId="45F2511D" w14:textId="1CA0C1FB" w:rsidR="001509EF" w:rsidRDefault="001509EF" w:rsidP="001509EF">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60011090"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p>
    <w:p w14:paraId="23E55BE6"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31035C80"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69005B16"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snapToGrid w:val="0"/>
          <w:color w:val="FF0000"/>
          <w:sz w:val="20"/>
        </w:rPr>
      </w:pPr>
    </w:p>
    <w:p w14:paraId="4DB34ADC"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724BBB07"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Schváleno orgánem kraje: Zastupitelstvo Zlínského kraje </w:t>
      </w:r>
    </w:p>
    <w:p w14:paraId="5E52E4F7" w14:textId="3BFCF26E"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Datum jednání a číslo usnesení: </w:t>
      </w:r>
      <w:r w:rsidR="00EA3C8C">
        <w:rPr>
          <w:rFonts w:ascii="Arial" w:hAnsi="Arial" w:cs="Arial"/>
          <w:sz w:val="20"/>
          <w:szCs w:val="20"/>
        </w:rPr>
        <w:t xml:space="preserve">11. 12. 2023, </w:t>
      </w:r>
      <w:r w:rsidR="00EA3C8C" w:rsidRPr="008157DC">
        <w:rPr>
          <w:rFonts w:ascii="Arial" w:hAnsi="Arial" w:cs="Arial"/>
          <w:sz w:val="20"/>
          <w:szCs w:val="20"/>
        </w:rPr>
        <w:t>0657/Z21/23</w:t>
      </w:r>
    </w:p>
    <w:p w14:paraId="2D26C773"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43BE59F3"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788D8A94"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2CEE9E15" w14:textId="77777777" w:rsidR="00B03E0E" w:rsidRDefault="00B03E0E">
      <w:pPr>
        <w:pStyle w:val="odrkyChar"/>
        <w:tabs>
          <w:tab w:val="left" w:pos="8928"/>
        </w:tabs>
        <w:spacing w:beforeLines="150" w:before="360" w:after="0" w:line="276" w:lineRule="auto"/>
        <w:rPr>
          <w:sz w:val="20"/>
          <w:szCs w:val="20"/>
        </w:rPr>
      </w:pPr>
    </w:p>
    <w:p w14:paraId="791B14BB" w14:textId="77777777" w:rsidR="00B03E0E" w:rsidRDefault="00B03E0E">
      <w:pPr>
        <w:pStyle w:val="odrkyChar"/>
        <w:tabs>
          <w:tab w:val="left" w:pos="8928"/>
        </w:tabs>
        <w:spacing w:before="0" w:after="0"/>
        <w:jc w:val="left"/>
        <w:rPr>
          <w:sz w:val="20"/>
          <w:szCs w:val="20"/>
        </w:rPr>
      </w:pPr>
    </w:p>
    <w:p w14:paraId="1EF750E2" w14:textId="4CBF5339" w:rsidR="00B03E0E" w:rsidRDefault="00FD0500">
      <w:pPr>
        <w:pStyle w:val="odrkyChar"/>
        <w:tabs>
          <w:tab w:val="left" w:pos="8928"/>
        </w:tabs>
        <w:spacing w:beforeLines="60" w:before="144" w:after="0"/>
        <w:jc w:val="left"/>
        <w:rPr>
          <w:sz w:val="20"/>
          <w:szCs w:val="20"/>
        </w:rPr>
      </w:pPr>
      <w:r>
        <w:rPr>
          <w:sz w:val="20"/>
          <w:szCs w:val="20"/>
        </w:rPr>
        <w:t>za Poskytovatele                                                                 za Příjemce</w:t>
      </w:r>
    </w:p>
    <w:p w14:paraId="10E6A6D3" w14:textId="77777777" w:rsidR="00B03E0E" w:rsidRDefault="00B03E0E">
      <w:pPr>
        <w:pStyle w:val="odrkyChar"/>
        <w:tabs>
          <w:tab w:val="left" w:pos="8928"/>
        </w:tabs>
        <w:spacing w:beforeLines="60" w:before="144" w:after="0"/>
        <w:ind w:left="360" w:hanging="360"/>
        <w:jc w:val="center"/>
        <w:rPr>
          <w:sz w:val="20"/>
          <w:szCs w:val="20"/>
        </w:rPr>
      </w:pPr>
    </w:p>
    <w:p w14:paraId="7B9AB362" w14:textId="77777777" w:rsidR="00B03E0E" w:rsidRDefault="00B03E0E">
      <w:pPr>
        <w:pStyle w:val="odrkyChar"/>
        <w:tabs>
          <w:tab w:val="left" w:pos="8928"/>
        </w:tabs>
        <w:spacing w:before="0" w:after="0"/>
        <w:ind w:left="360" w:hanging="360"/>
        <w:jc w:val="left"/>
        <w:rPr>
          <w:sz w:val="20"/>
          <w:szCs w:val="20"/>
        </w:rPr>
      </w:pPr>
    </w:p>
    <w:p w14:paraId="606935D2" w14:textId="77777777" w:rsidR="00EA3C8C" w:rsidRDefault="00EA3C8C" w:rsidP="00EA3C8C">
      <w:pPr>
        <w:spacing w:after="120" w:line="276" w:lineRule="auto"/>
        <w:jc w:val="both"/>
        <w:rPr>
          <w:rFonts w:ascii="Arial" w:hAnsi="Arial" w:cs="Arial"/>
          <w:color w:val="FFFFFF" w:themeColor="background1"/>
          <w:sz w:val="20"/>
          <w:szCs w:val="20"/>
        </w:rPr>
      </w:pPr>
    </w:p>
    <w:p w14:paraId="306EFF6E" w14:textId="77777777" w:rsidR="00184373" w:rsidRDefault="00184373" w:rsidP="00EA3C8C">
      <w:pPr>
        <w:spacing w:after="120" w:line="276" w:lineRule="auto"/>
        <w:jc w:val="both"/>
        <w:rPr>
          <w:rFonts w:ascii="Arial" w:hAnsi="Arial" w:cs="Arial"/>
          <w:color w:val="FFFFFF" w:themeColor="background1"/>
          <w:sz w:val="20"/>
          <w:szCs w:val="20"/>
        </w:rPr>
      </w:pPr>
    </w:p>
    <w:p w14:paraId="06094E1F" w14:textId="77777777" w:rsidR="00184373" w:rsidRDefault="00184373" w:rsidP="00EA3C8C">
      <w:pPr>
        <w:spacing w:after="120" w:line="276" w:lineRule="auto"/>
        <w:jc w:val="both"/>
        <w:rPr>
          <w:rFonts w:ascii="Arial" w:hAnsi="Arial" w:cs="Arial"/>
          <w:color w:val="FFFFFF" w:themeColor="background1"/>
          <w:sz w:val="20"/>
          <w:szCs w:val="20"/>
        </w:rPr>
      </w:pPr>
    </w:p>
    <w:p w14:paraId="3F429214" w14:textId="77777777" w:rsidR="00EA3C8C" w:rsidRDefault="00EA3C8C" w:rsidP="00EA3C8C">
      <w:pPr>
        <w:spacing w:after="120" w:line="276" w:lineRule="auto"/>
        <w:ind w:left="5103" w:hanging="5103"/>
        <w:rPr>
          <w:rFonts w:ascii="Arial" w:hAnsi="Arial" w:cs="Arial"/>
          <w:color w:val="FFFFFF" w:themeColor="background1"/>
          <w:sz w:val="20"/>
          <w:szCs w:val="20"/>
        </w:rPr>
      </w:pPr>
      <w:r>
        <w:rPr>
          <w:rFonts w:ascii="Arial" w:hAnsi="Arial" w:cs="Arial"/>
          <w:color w:val="FFFFFF" w:themeColor="background1"/>
          <w:sz w:val="20"/>
          <w:szCs w:val="20"/>
        </w:rPr>
        <w:tab/>
        <w:t>{{PODPIS_POSKYTOVATEL}}</w:t>
      </w:r>
    </w:p>
    <w:p w14:paraId="77EAEC78" w14:textId="77777777" w:rsidR="00EA3C8C" w:rsidRDefault="00EA3C8C" w:rsidP="00EA3C8C">
      <w:pPr>
        <w:pStyle w:val="odrkyChar"/>
        <w:tabs>
          <w:tab w:val="left" w:pos="8928"/>
        </w:tabs>
        <w:spacing w:beforeLines="60" w:before="144" w:after="0"/>
        <w:ind w:left="360" w:hanging="360"/>
        <w:jc w:val="center"/>
        <w:rPr>
          <w:color w:val="FFFFFF" w:themeColor="background1"/>
          <w:sz w:val="20"/>
          <w:szCs w:val="20"/>
        </w:rPr>
      </w:pPr>
    </w:p>
    <w:p w14:paraId="0A7EA451" w14:textId="77777777" w:rsidR="00EA3C8C" w:rsidRDefault="00EA3C8C" w:rsidP="00EA3C8C">
      <w:pPr>
        <w:spacing w:after="120" w:line="276" w:lineRule="auto"/>
        <w:jc w:val="both"/>
        <w:rPr>
          <w:rFonts w:ascii="Arial" w:hAnsi="Arial" w:cs="Arial"/>
          <w:color w:val="FFFFFF" w:themeColor="background1"/>
          <w:sz w:val="20"/>
          <w:szCs w:val="20"/>
        </w:rPr>
      </w:pPr>
    </w:p>
    <w:p w14:paraId="3EB7CC58" w14:textId="2E069C02" w:rsidR="00EA3C8C" w:rsidRDefault="00EA3C8C" w:rsidP="00EA3C8C">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2C2727C2" w14:textId="35284257" w:rsidR="00EA3C8C" w:rsidRDefault="00EA3C8C" w:rsidP="00EA3C8C">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proofErr w:type="spellStart"/>
      <w:r w:rsidR="00105DC9">
        <w:rPr>
          <w:rFonts w:ascii="Arial" w:hAnsi="Arial" w:cs="Arial"/>
          <w:sz w:val="20"/>
          <w:szCs w:val="20"/>
        </w:rPr>
        <w:t>xxxxx</w:t>
      </w:r>
      <w:proofErr w:type="spellEnd"/>
    </w:p>
    <w:p w14:paraId="752D0481" w14:textId="6485C398" w:rsidR="00EA3C8C" w:rsidRDefault="00EA3C8C" w:rsidP="00EA3C8C">
      <w:pPr>
        <w:spacing w:line="276" w:lineRule="auto"/>
        <w:ind w:left="5103" w:hanging="5103"/>
        <w:rPr>
          <w:rFonts w:ascii="Arial" w:hAnsi="Arial" w:cs="Arial"/>
          <w:color w:val="000000" w:themeColor="text1"/>
          <w:sz w:val="20"/>
          <w:szCs w:val="20"/>
        </w:rPr>
      </w:pPr>
      <w:r>
        <w:rPr>
          <w:rFonts w:ascii="Arial" w:hAnsi="Arial" w:cs="Arial"/>
          <w:color w:val="000000" w:themeColor="text1"/>
          <w:spacing w:val="-2"/>
          <w:sz w:val="20"/>
          <w:szCs w:val="20"/>
        </w:rPr>
        <w:t>statutární náměstkyně hejtmana Zlínského kraje</w:t>
      </w:r>
      <w:r>
        <w:rPr>
          <w:rFonts w:ascii="Arial" w:hAnsi="Arial" w:cs="Arial"/>
          <w:color w:val="000000" w:themeColor="text1"/>
          <w:sz w:val="20"/>
          <w:szCs w:val="20"/>
        </w:rPr>
        <w:tab/>
      </w:r>
    </w:p>
    <w:p w14:paraId="4C3A0971" w14:textId="77777777" w:rsidR="00EC1FB5" w:rsidRDefault="00EC1FB5" w:rsidP="00EC1FB5">
      <w:pPr>
        <w:pStyle w:val="odrkyChar"/>
        <w:tabs>
          <w:tab w:val="left" w:pos="8928"/>
        </w:tabs>
        <w:spacing w:beforeLines="60" w:before="144" w:after="0"/>
        <w:jc w:val="left"/>
        <w:rPr>
          <w:sz w:val="20"/>
          <w:szCs w:val="20"/>
        </w:rPr>
      </w:pPr>
    </w:p>
    <w:p w14:paraId="76EE8ABC" w14:textId="225905A3" w:rsidR="00B03E0E" w:rsidRPr="00EC1FB5" w:rsidRDefault="00EC1FB5" w:rsidP="00EC1FB5">
      <w:pPr>
        <w:pStyle w:val="odrkyChar"/>
        <w:tabs>
          <w:tab w:val="left" w:pos="8928"/>
        </w:tabs>
        <w:spacing w:beforeLines="60" w:before="144" w:after="0"/>
        <w:jc w:val="left"/>
        <w:rPr>
          <w:sz w:val="20"/>
          <w:szCs w:val="20"/>
        </w:rPr>
      </w:pPr>
      <w:r w:rsidRPr="00EC1FB5">
        <w:rPr>
          <w:sz w:val="20"/>
          <w:szCs w:val="20"/>
        </w:rPr>
        <w:t>Zkontroloval/a:</w:t>
      </w:r>
    </w:p>
    <w:p w14:paraId="384D49A1" w14:textId="77777777" w:rsidR="00B03E0E" w:rsidRDefault="00B03E0E">
      <w:pPr>
        <w:tabs>
          <w:tab w:val="left" w:pos="3600"/>
        </w:tabs>
        <w:ind w:left="357"/>
        <w:jc w:val="both"/>
        <w:rPr>
          <w:rFonts w:ascii="Arial" w:hAnsi="Arial" w:cs="Arial"/>
        </w:rPr>
      </w:pPr>
    </w:p>
    <w:p w14:paraId="080E7EBB" w14:textId="77777777" w:rsidR="00B03E0E" w:rsidRDefault="00B03E0E">
      <w:pPr>
        <w:tabs>
          <w:tab w:val="left" w:pos="3600"/>
        </w:tabs>
        <w:ind w:left="357"/>
        <w:jc w:val="both"/>
        <w:rPr>
          <w:rFonts w:ascii="Arial" w:hAnsi="Arial" w:cs="Arial"/>
        </w:rPr>
      </w:pPr>
    </w:p>
    <w:p w14:paraId="2F208C39" w14:textId="77777777" w:rsidR="00B03E0E" w:rsidRDefault="00B03E0E">
      <w:pPr>
        <w:tabs>
          <w:tab w:val="left" w:pos="3600"/>
        </w:tabs>
        <w:ind w:left="357"/>
        <w:jc w:val="both"/>
        <w:rPr>
          <w:rFonts w:ascii="Arial" w:hAnsi="Arial" w:cs="Arial"/>
        </w:rPr>
      </w:pPr>
    </w:p>
    <w:p w14:paraId="0EB03AB4" w14:textId="77777777" w:rsidR="00B03E0E" w:rsidRDefault="00B03E0E">
      <w:pPr>
        <w:tabs>
          <w:tab w:val="left" w:pos="3600"/>
        </w:tabs>
        <w:ind w:left="357"/>
        <w:jc w:val="both"/>
        <w:rPr>
          <w:rFonts w:ascii="Arial" w:hAnsi="Arial" w:cs="Arial"/>
        </w:rPr>
      </w:pPr>
    </w:p>
    <w:p w14:paraId="19C8D69F" w14:textId="77777777" w:rsidR="00B03E0E" w:rsidRDefault="00B03E0E">
      <w:pPr>
        <w:tabs>
          <w:tab w:val="left" w:pos="5103"/>
        </w:tabs>
        <w:spacing w:line="276" w:lineRule="auto"/>
        <w:rPr>
          <w:rFonts w:ascii="Arial" w:hAnsi="Arial" w:cs="Arial"/>
          <w:color w:val="000000" w:themeColor="text1"/>
          <w:sz w:val="20"/>
          <w:szCs w:val="20"/>
        </w:rPr>
        <w:sectPr w:rsidR="00B03E0E">
          <w:headerReference w:type="default" r:id="rId13"/>
          <w:footerReference w:type="even" r:id="rId14"/>
          <w:footerReference w:type="default" r:id="rId15"/>
          <w:footerReference w:type="first" r:id="rId16"/>
          <w:pgSz w:w="11906" w:h="16838" w:code="9"/>
          <w:pgMar w:top="1418" w:right="1418" w:bottom="1418" w:left="1418" w:header="709" w:footer="709" w:gutter="0"/>
          <w:cols w:space="708"/>
          <w:docGrid w:linePitch="360"/>
        </w:sectPr>
      </w:pPr>
    </w:p>
    <w:p w14:paraId="48DE5353" w14:textId="77777777" w:rsidR="00B03E0E" w:rsidRDefault="00FD0500">
      <w:pPr>
        <w:jc w:val="center"/>
        <w:rPr>
          <w:rFonts w:ascii="Arial" w:hAnsi="Arial" w:cs="Arial"/>
          <w:b/>
          <w:noProof/>
          <w:sz w:val="22"/>
          <w:u w:val="single"/>
        </w:rPr>
      </w:pPr>
      <w:r>
        <w:rPr>
          <w:rFonts w:ascii="Arial" w:hAnsi="Arial" w:cs="Arial"/>
          <w:b/>
          <w:noProof/>
          <w:sz w:val="22"/>
          <w:u w:val="single"/>
        </w:rPr>
        <w:lastRenderedPageBreak/>
        <w:t>Příloha č. 1</w:t>
      </w:r>
    </w:p>
    <w:p w14:paraId="142F6E86" w14:textId="77777777" w:rsidR="00B03E0E" w:rsidRDefault="00B03E0E">
      <w:pPr>
        <w:jc w:val="both"/>
        <w:rPr>
          <w:rFonts w:ascii="Arial" w:hAnsi="Arial" w:cs="Arial"/>
          <w:sz w:val="20"/>
          <w:szCs w:val="20"/>
        </w:rPr>
      </w:pPr>
    </w:p>
    <w:p w14:paraId="4AAD9423" w14:textId="77777777" w:rsidR="00EA3C8C" w:rsidRDefault="00EA3C8C" w:rsidP="00EA3C8C">
      <w:pPr>
        <w:jc w:val="both"/>
        <w:rPr>
          <w:rFonts w:ascii="Arial" w:hAnsi="Arial" w:cs="Arial"/>
          <w:sz w:val="20"/>
          <w:szCs w:val="20"/>
        </w:rPr>
      </w:pPr>
      <w:r>
        <w:rPr>
          <w:rFonts w:ascii="Arial" w:hAnsi="Arial" w:cs="Arial"/>
          <w:b/>
          <w:sz w:val="20"/>
          <w:szCs w:val="20"/>
        </w:rPr>
        <w:t>Název poskytovatele sociální služby:</w:t>
      </w:r>
      <w:r>
        <w:rPr>
          <w:rFonts w:ascii="Arial" w:hAnsi="Arial" w:cs="Arial"/>
          <w:sz w:val="20"/>
          <w:szCs w:val="20"/>
        </w:rPr>
        <w:t xml:space="preserve"> NADĚJE</w:t>
      </w:r>
    </w:p>
    <w:p w14:paraId="0018D331" w14:textId="77777777" w:rsidR="00EA3C8C" w:rsidRDefault="00EA3C8C" w:rsidP="00EA3C8C">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K Brance 11/19e, Stodůlky, 155 00 Praha 5</w:t>
      </w:r>
    </w:p>
    <w:p w14:paraId="536AB56C" w14:textId="77777777" w:rsidR="00EA3C8C" w:rsidRDefault="00EA3C8C" w:rsidP="00EA3C8C">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00570931</w:t>
      </w:r>
    </w:p>
    <w:p w14:paraId="4589FCE3" w14:textId="77777777" w:rsidR="00B03E0E" w:rsidRDefault="00B03E0E">
      <w:pPr>
        <w:jc w:val="both"/>
        <w:rPr>
          <w:rFonts w:ascii="Arial" w:hAnsi="Arial" w:cs="Arial"/>
          <w:sz w:val="20"/>
          <w:szCs w:val="20"/>
        </w:rPr>
      </w:pPr>
    </w:p>
    <w:tbl>
      <w:tblPr>
        <w:tblW w:w="5108" w:type="pct"/>
        <w:jc w:val="center"/>
        <w:tblBorders>
          <w:top w:val="single" w:sz="4" w:space="0" w:color="auto"/>
          <w:left w:val="single" w:sz="4" w:space="0" w:color="auto"/>
          <w:bottom w:val="single" w:sz="4" w:space="0" w:color="auto"/>
          <w:right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710"/>
        <w:gridCol w:w="1275"/>
        <w:gridCol w:w="1276"/>
        <w:gridCol w:w="1985"/>
        <w:gridCol w:w="1842"/>
        <w:gridCol w:w="1959"/>
        <w:gridCol w:w="2006"/>
        <w:gridCol w:w="1576"/>
        <w:gridCol w:w="1264"/>
        <w:gridCol w:w="1560"/>
      </w:tblGrid>
      <w:tr w:rsidR="00CF3F63" w14:paraId="7F19A8C7" w14:textId="77777777" w:rsidTr="006F11BC">
        <w:trPr>
          <w:cantSplit/>
          <w:trHeight w:val="2268"/>
          <w:tblHeader/>
          <w:jc w:val="center"/>
        </w:trPr>
        <w:tc>
          <w:tcPr>
            <w:tcW w:w="709" w:type="dxa"/>
            <w:tcBorders>
              <w:top w:val="single" w:sz="4" w:space="0" w:color="auto"/>
              <w:bottom w:val="single" w:sz="4" w:space="0" w:color="auto"/>
              <w:right w:val="single" w:sz="4" w:space="0" w:color="auto"/>
            </w:tcBorders>
            <w:shd w:val="clear" w:color="auto" w:fill="BFBFBF"/>
            <w:vAlign w:val="center"/>
          </w:tcPr>
          <w:p w14:paraId="59B7783D" w14:textId="77777777" w:rsidR="00CF3F63" w:rsidRPr="006F11BC" w:rsidRDefault="00CF3F63">
            <w:pPr>
              <w:jc w:val="center"/>
              <w:rPr>
                <w:rFonts w:ascii="Arial" w:hAnsi="Arial" w:cs="Arial"/>
                <w:sz w:val="16"/>
                <w:szCs w:val="16"/>
              </w:rPr>
            </w:pPr>
            <w:proofErr w:type="spellStart"/>
            <w:r w:rsidRPr="006F11BC">
              <w:rPr>
                <w:rFonts w:ascii="Arial" w:hAnsi="Arial" w:cs="Arial"/>
                <w:b/>
                <w:sz w:val="16"/>
                <w:szCs w:val="16"/>
              </w:rPr>
              <w:t>Poř</w:t>
            </w:r>
            <w:proofErr w:type="spellEnd"/>
            <w:r w:rsidRPr="006F11BC">
              <w:rPr>
                <w:rFonts w:ascii="Arial" w:hAnsi="Arial" w:cs="Arial"/>
                <w:b/>
                <w:sz w:val="16"/>
                <w:szCs w:val="16"/>
              </w:rPr>
              <w:t>. č.</w:t>
            </w:r>
          </w:p>
        </w:tc>
        <w:tc>
          <w:tcPr>
            <w:tcW w:w="1275" w:type="dxa"/>
            <w:tcBorders>
              <w:top w:val="single" w:sz="4" w:space="0" w:color="auto"/>
              <w:bottom w:val="single" w:sz="4" w:space="0" w:color="auto"/>
              <w:right w:val="single" w:sz="4" w:space="0" w:color="auto"/>
            </w:tcBorders>
            <w:shd w:val="clear" w:color="auto" w:fill="BFBFBF"/>
            <w:vAlign w:val="center"/>
          </w:tcPr>
          <w:p w14:paraId="6E8CABF3" w14:textId="77777777" w:rsidR="00CF3F63" w:rsidRPr="006F11BC" w:rsidRDefault="00CF3F63">
            <w:pPr>
              <w:jc w:val="center"/>
              <w:rPr>
                <w:rFonts w:ascii="Arial" w:hAnsi="Arial" w:cs="Arial"/>
                <w:sz w:val="16"/>
                <w:szCs w:val="16"/>
              </w:rPr>
            </w:pPr>
            <w:r w:rsidRPr="006F11BC">
              <w:rPr>
                <w:rFonts w:ascii="Arial" w:hAnsi="Arial" w:cs="Arial"/>
                <w:b/>
                <w:sz w:val="16"/>
                <w:szCs w:val="16"/>
              </w:rPr>
              <w:t>Druh sociální služby</w:t>
            </w:r>
          </w:p>
        </w:tc>
        <w:tc>
          <w:tcPr>
            <w:tcW w:w="1276" w:type="dxa"/>
            <w:tcBorders>
              <w:top w:val="single" w:sz="4" w:space="0" w:color="auto"/>
              <w:bottom w:val="single" w:sz="4" w:space="0" w:color="auto"/>
              <w:right w:val="single" w:sz="4" w:space="0" w:color="auto"/>
            </w:tcBorders>
            <w:shd w:val="clear" w:color="auto" w:fill="BFBFBF"/>
            <w:vAlign w:val="center"/>
          </w:tcPr>
          <w:p w14:paraId="25AD89C8" w14:textId="77777777" w:rsidR="00CF3F63" w:rsidRPr="006F11BC" w:rsidRDefault="00CF3F63">
            <w:pPr>
              <w:jc w:val="center"/>
              <w:rPr>
                <w:rFonts w:ascii="Arial" w:hAnsi="Arial" w:cs="Arial"/>
                <w:sz w:val="16"/>
                <w:szCs w:val="16"/>
              </w:rPr>
            </w:pPr>
            <w:r w:rsidRPr="006F11BC">
              <w:rPr>
                <w:rFonts w:ascii="Arial" w:hAnsi="Arial" w:cs="Arial"/>
                <w:b/>
                <w:sz w:val="16"/>
                <w:szCs w:val="16"/>
              </w:rPr>
              <w:t>Identifikátor sociální služby</w:t>
            </w:r>
          </w:p>
        </w:tc>
        <w:tc>
          <w:tcPr>
            <w:tcW w:w="1985" w:type="dxa"/>
            <w:tcBorders>
              <w:top w:val="single" w:sz="4" w:space="0" w:color="auto"/>
              <w:bottom w:val="single" w:sz="4" w:space="0" w:color="auto"/>
              <w:right w:val="single" w:sz="4" w:space="0" w:color="auto"/>
            </w:tcBorders>
            <w:shd w:val="clear" w:color="auto" w:fill="BFBFBF"/>
            <w:vAlign w:val="center"/>
          </w:tcPr>
          <w:p w14:paraId="0D8B84EB" w14:textId="77777777" w:rsidR="00CF3F63" w:rsidRPr="006F11BC" w:rsidRDefault="00CF3F63">
            <w:pPr>
              <w:jc w:val="center"/>
              <w:rPr>
                <w:rFonts w:ascii="Arial" w:hAnsi="Arial" w:cs="Arial"/>
                <w:sz w:val="16"/>
                <w:szCs w:val="16"/>
              </w:rPr>
            </w:pPr>
            <w:r w:rsidRPr="006F11BC">
              <w:rPr>
                <w:rFonts w:ascii="Arial" w:hAnsi="Arial" w:cs="Arial"/>
                <w:b/>
                <w:sz w:val="16"/>
                <w:szCs w:val="16"/>
              </w:rPr>
              <w:t>Název sociální služby</w:t>
            </w:r>
          </w:p>
        </w:tc>
        <w:tc>
          <w:tcPr>
            <w:tcW w:w="1842" w:type="dxa"/>
            <w:tcBorders>
              <w:top w:val="single" w:sz="4" w:space="0" w:color="auto"/>
              <w:bottom w:val="single" w:sz="4" w:space="0" w:color="auto"/>
              <w:right w:val="single" w:sz="4" w:space="0" w:color="auto"/>
            </w:tcBorders>
            <w:shd w:val="clear" w:color="auto" w:fill="BFBFBF"/>
            <w:vAlign w:val="center"/>
          </w:tcPr>
          <w:p w14:paraId="3C76D4E2" w14:textId="2C34B51E" w:rsidR="00CF3F63" w:rsidRPr="006F11BC" w:rsidRDefault="00CF3F63">
            <w:pPr>
              <w:jc w:val="center"/>
              <w:rPr>
                <w:rFonts w:ascii="Arial" w:hAnsi="Arial" w:cs="Arial"/>
                <w:sz w:val="16"/>
                <w:szCs w:val="16"/>
              </w:rPr>
            </w:pPr>
            <w:r w:rsidRPr="006F11BC">
              <w:rPr>
                <w:rFonts w:ascii="Arial" w:hAnsi="Arial" w:cs="Arial"/>
                <w:b/>
                <w:sz w:val="16"/>
                <w:szCs w:val="16"/>
              </w:rPr>
              <w:t>Forma poskytování, popř. převažující forma poskytování (dle AP 202</w:t>
            </w:r>
            <w:r w:rsidR="00E7557E" w:rsidRPr="006F11BC">
              <w:rPr>
                <w:rFonts w:ascii="Arial" w:hAnsi="Arial" w:cs="Arial"/>
                <w:b/>
                <w:sz w:val="16"/>
                <w:szCs w:val="16"/>
              </w:rPr>
              <w:t>4</w:t>
            </w:r>
            <w:r w:rsidRPr="006F11BC">
              <w:rPr>
                <w:rFonts w:ascii="Arial" w:hAnsi="Arial" w:cs="Arial"/>
                <w:b/>
                <w:sz w:val="16"/>
                <w:szCs w:val="16"/>
              </w:rPr>
              <w:t>)</w:t>
            </w:r>
          </w:p>
        </w:tc>
        <w:tc>
          <w:tcPr>
            <w:tcW w:w="1959" w:type="dxa"/>
            <w:tcBorders>
              <w:top w:val="single" w:sz="4" w:space="0" w:color="auto"/>
              <w:bottom w:val="single" w:sz="4" w:space="0" w:color="auto"/>
              <w:right w:val="single" w:sz="4" w:space="0" w:color="auto"/>
            </w:tcBorders>
            <w:shd w:val="clear" w:color="auto" w:fill="BFBFBF"/>
            <w:vAlign w:val="center"/>
          </w:tcPr>
          <w:p w14:paraId="35D1ADB5" w14:textId="42CE4E27" w:rsidR="00CF3F63" w:rsidRPr="006F11BC" w:rsidRDefault="00CF3F63">
            <w:pPr>
              <w:jc w:val="center"/>
              <w:rPr>
                <w:rFonts w:ascii="Arial" w:hAnsi="Arial" w:cs="Arial"/>
                <w:sz w:val="16"/>
                <w:szCs w:val="16"/>
              </w:rPr>
            </w:pPr>
            <w:r w:rsidRPr="006F11BC">
              <w:rPr>
                <w:rFonts w:ascii="Arial" w:hAnsi="Arial" w:cs="Arial"/>
                <w:b/>
                <w:sz w:val="16"/>
                <w:szCs w:val="16"/>
              </w:rPr>
              <w:t>Cílová skupina, popř. převažující cílová skupina (dle AP 202</w:t>
            </w:r>
            <w:r w:rsidR="00E7557E" w:rsidRPr="006F11BC">
              <w:rPr>
                <w:rFonts w:ascii="Arial" w:hAnsi="Arial" w:cs="Arial"/>
                <w:b/>
                <w:sz w:val="16"/>
                <w:szCs w:val="16"/>
              </w:rPr>
              <w:t>4</w:t>
            </w:r>
            <w:r w:rsidRPr="006F11BC">
              <w:rPr>
                <w:rFonts w:ascii="Arial" w:hAnsi="Arial" w:cs="Arial"/>
                <w:b/>
                <w:sz w:val="16"/>
                <w:szCs w:val="16"/>
              </w:rPr>
              <w:t>)</w:t>
            </w:r>
          </w:p>
        </w:tc>
        <w:tc>
          <w:tcPr>
            <w:tcW w:w="2006" w:type="dxa"/>
            <w:tcBorders>
              <w:top w:val="single" w:sz="4" w:space="0" w:color="auto"/>
              <w:bottom w:val="single" w:sz="4" w:space="0" w:color="auto"/>
              <w:right w:val="single" w:sz="4" w:space="0" w:color="auto"/>
            </w:tcBorders>
            <w:shd w:val="clear" w:color="auto" w:fill="BFBFBF"/>
            <w:vAlign w:val="center"/>
          </w:tcPr>
          <w:p w14:paraId="4801B6CB" w14:textId="77777777" w:rsidR="00CF3F63" w:rsidRPr="006F11BC" w:rsidRDefault="00CF3F63">
            <w:pPr>
              <w:jc w:val="center"/>
              <w:rPr>
                <w:rFonts w:ascii="Arial" w:hAnsi="Arial" w:cs="Arial"/>
                <w:sz w:val="16"/>
                <w:szCs w:val="16"/>
              </w:rPr>
            </w:pPr>
            <w:r w:rsidRPr="006F11BC">
              <w:rPr>
                <w:rFonts w:ascii="Arial" w:hAnsi="Arial" w:cs="Arial"/>
                <w:b/>
                <w:sz w:val="16"/>
                <w:szCs w:val="16"/>
              </w:rPr>
              <w:t>Území (SO ORP/Zlínský kraj)</w:t>
            </w:r>
          </w:p>
        </w:tc>
        <w:tc>
          <w:tcPr>
            <w:tcW w:w="1576" w:type="dxa"/>
            <w:tcBorders>
              <w:top w:val="single" w:sz="4" w:space="0" w:color="auto"/>
              <w:bottom w:val="single" w:sz="4" w:space="0" w:color="auto"/>
              <w:right w:val="single" w:sz="4" w:space="0" w:color="auto"/>
            </w:tcBorders>
            <w:shd w:val="clear" w:color="auto" w:fill="BFBFBF"/>
            <w:vAlign w:val="center"/>
          </w:tcPr>
          <w:p w14:paraId="43D90089" w14:textId="15276FBD" w:rsidR="00CF3F63" w:rsidRPr="006F11BC" w:rsidRDefault="00CF3F63">
            <w:pPr>
              <w:jc w:val="center"/>
              <w:rPr>
                <w:rFonts w:ascii="Arial" w:hAnsi="Arial" w:cs="Arial"/>
                <w:b/>
                <w:sz w:val="16"/>
                <w:szCs w:val="16"/>
              </w:rPr>
            </w:pPr>
            <w:r w:rsidRPr="006F11BC">
              <w:rPr>
                <w:rFonts w:ascii="Arial" w:hAnsi="Arial" w:cs="Arial"/>
                <w:b/>
                <w:sz w:val="16"/>
                <w:szCs w:val="16"/>
              </w:rPr>
              <w:t>Jednotka sociální služby</w:t>
            </w:r>
          </w:p>
        </w:tc>
        <w:tc>
          <w:tcPr>
            <w:tcW w:w="1264" w:type="dxa"/>
            <w:tcBorders>
              <w:top w:val="single" w:sz="4" w:space="0" w:color="auto"/>
              <w:left w:val="single" w:sz="4" w:space="0" w:color="auto"/>
              <w:bottom w:val="single" w:sz="4" w:space="0" w:color="auto"/>
              <w:right w:val="single" w:sz="4" w:space="0" w:color="auto"/>
            </w:tcBorders>
            <w:shd w:val="clear" w:color="auto" w:fill="BFBFBF"/>
            <w:vAlign w:val="center"/>
          </w:tcPr>
          <w:p w14:paraId="40E5D92B" w14:textId="410B6AD2" w:rsidR="00CF3F63" w:rsidRPr="006F11BC" w:rsidRDefault="00CF3F63">
            <w:pPr>
              <w:jc w:val="center"/>
              <w:rPr>
                <w:rFonts w:ascii="Arial" w:hAnsi="Arial" w:cs="Arial"/>
                <w:b/>
                <w:sz w:val="16"/>
                <w:szCs w:val="16"/>
              </w:rPr>
            </w:pPr>
            <w:r w:rsidRPr="006F11BC">
              <w:rPr>
                <w:rFonts w:ascii="Arial" w:hAnsi="Arial" w:cs="Arial"/>
                <w:b/>
                <w:sz w:val="16"/>
                <w:szCs w:val="16"/>
              </w:rPr>
              <w:t>Výše jednotky</w:t>
            </w:r>
          </w:p>
        </w:tc>
        <w:tc>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p w14:paraId="04CE72E0" w14:textId="6BAF5892" w:rsidR="00CF3F63" w:rsidRPr="006F11BC" w:rsidRDefault="00CF3F63">
            <w:pPr>
              <w:jc w:val="center"/>
              <w:rPr>
                <w:rFonts w:ascii="Arial" w:hAnsi="Arial" w:cs="Arial"/>
                <w:b/>
                <w:sz w:val="16"/>
                <w:szCs w:val="16"/>
              </w:rPr>
            </w:pPr>
            <w:r w:rsidRPr="006F11BC">
              <w:rPr>
                <w:rFonts w:ascii="Arial" w:hAnsi="Arial" w:cs="Arial"/>
                <w:b/>
                <w:sz w:val="16"/>
                <w:szCs w:val="16"/>
              </w:rPr>
              <w:t>Návratná finanční výpomoc v Kč</w:t>
            </w:r>
          </w:p>
        </w:tc>
      </w:tr>
      <w:tr w:rsidR="006F11BC" w14:paraId="20DC1F8A" w14:textId="77777777" w:rsidTr="006F11BC">
        <w:trPr>
          <w:cantSplit/>
          <w:trHeight w:val="190"/>
          <w:jc w:val="center"/>
        </w:trPr>
        <w:tc>
          <w:tcPr>
            <w:tcW w:w="709" w:type="dxa"/>
            <w:tcBorders>
              <w:top w:val="single" w:sz="4" w:space="0" w:color="auto"/>
              <w:bottom w:val="single" w:sz="4" w:space="0" w:color="auto"/>
              <w:right w:val="single" w:sz="4" w:space="0" w:color="auto"/>
            </w:tcBorders>
            <w:vAlign w:val="center"/>
          </w:tcPr>
          <w:p w14:paraId="166CDD58" w14:textId="4BCED8A7" w:rsidR="006F11BC" w:rsidRPr="006F11BC" w:rsidRDefault="006F11BC" w:rsidP="006F11BC">
            <w:pPr>
              <w:jc w:val="center"/>
              <w:rPr>
                <w:rFonts w:ascii="Arial" w:hAnsi="Arial" w:cs="Arial"/>
                <w:b/>
                <w:sz w:val="16"/>
                <w:szCs w:val="16"/>
              </w:rPr>
            </w:pPr>
            <w:r w:rsidRPr="006F11BC">
              <w:rPr>
                <w:rFonts w:ascii="Arial" w:hAnsi="Arial" w:cs="Arial"/>
                <w:b/>
                <w:sz w:val="16"/>
                <w:szCs w:val="16"/>
              </w:rPr>
              <w:t>1</w:t>
            </w:r>
          </w:p>
        </w:tc>
        <w:tc>
          <w:tcPr>
            <w:tcW w:w="1275" w:type="dxa"/>
            <w:tcBorders>
              <w:top w:val="single" w:sz="4" w:space="0" w:color="auto"/>
              <w:bottom w:val="single" w:sz="4" w:space="0" w:color="auto"/>
              <w:right w:val="single" w:sz="4" w:space="0" w:color="auto"/>
            </w:tcBorders>
            <w:vAlign w:val="center"/>
          </w:tcPr>
          <w:p w14:paraId="697446F8" w14:textId="41E51F9D" w:rsidR="006F11BC" w:rsidRPr="006F11BC" w:rsidRDefault="006F11BC" w:rsidP="006F11BC">
            <w:pPr>
              <w:rPr>
                <w:rFonts w:ascii="Arial" w:hAnsi="Arial" w:cs="Arial"/>
                <w:sz w:val="16"/>
                <w:szCs w:val="16"/>
              </w:rPr>
            </w:pPr>
            <w:r w:rsidRPr="006F11BC">
              <w:rPr>
                <w:rFonts w:ascii="Arial" w:hAnsi="Arial" w:cs="Arial"/>
                <w:sz w:val="16"/>
                <w:szCs w:val="16"/>
              </w:rPr>
              <w:t>Domovy pro osoby se zdravotním postižením</w:t>
            </w:r>
          </w:p>
        </w:tc>
        <w:tc>
          <w:tcPr>
            <w:tcW w:w="1276" w:type="dxa"/>
            <w:tcBorders>
              <w:top w:val="single" w:sz="4" w:space="0" w:color="auto"/>
              <w:bottom w:val="single" w:sz="4" w:space="0" w:color="auto"/>
              <w:right w:val="single" w:sz="4" w:space="0" w:color="auto"/>
            </w:tcBorders>
            <w:vAlign w:val="center"/>
          </w:tcPr>
          <w:p w14:paraId="2CD3754E" w14:textId="0DFAAB25" w:rsidR="006F11BC" w:rsidRPr="006F11BC" w:rsidRDefault="006F11BC" w:rsidP="006F11BC">
            <w:pPr>
              <w:rPr>
                <w:rFonts w:ascii="Arial" w:hAnsi="Arial" w:cs="Arial"/>
                <w:sz w:val="16"/>
                <w:szCs w:val="16"/>
              </w:rPr>
            </w:pPr>
            <w:r w:rsidRPr="006F11BC">
              <w:rPr>
                <w:rFonts w:ascii="Arial" w:hAnsi="Arial" w:cs="Arial"/>
                <w:sz w:val="16"/>
                <w:szCs w:val="16"/>
              </w:rPr>
              <w:t>1056682</w:t>
            </w:r>
          </w:p>
        </w:tc>
        <w:tc>
          <w:tcPr>
            <w:tcW w:w="1985" w:type="dxa"/>
            <w:tcBorders>
              <w:top w:val="single" w:sz="4" w:space="0" w:color="auto"/>
              <w:bottom w:val="single" w:sz="4" w:space="0" w:color="auto"/>
              <w:right w:val="single" w:sz="4" w:space="0" w:color="auto"/>
            </w:tcBorders>
            <w:vAlign w:val="center"/>
          </w:tcPr>
          <w:p w14:paraId="474809AD" w14:textId="64846D80" w:rsidR="006F11BC" w:rsidRPr="006F11BC" w:rsidRDefault="006F11BC" w:rsidP="006F11BC">
            <w:pPr>
              <w:rPr>
                <w:rFonts w:ascii="Arial" w:hAnsi="Arial" w:cs="Arial"/>
                <w:sz w:val="16"/>
                <w:szCs w:val="16"/>
              </w:rPr>
            </w:pPr>
            <w:r w:rsidRPr="006F11BC">
              <w:rPr>
                <w:rFonts w:ascii="Arial" w:hAnsi="Arial" w:cs="Arial"/>
                <w:sz w:val="16"/>
                <w:szCs w:val="16"/>
              </w:rPr>
              <w:t>Dům Naděje Otrokovice</w:t>
            </w:r>
          </w:p>
        </w:tc>
        <w:tc>
          <w:tcPr>
            <w:tcW w:w="1842" w:type="dxa"/>
            <w:tcBorders>
              <w:top w:val="single" w:sz="4" w:space="0" w:color="auto"/>
              <w:bottom w:val="single" w:sz="4" w:space="0" w:color="auto"/>
              <w:right w:val="single" w:sz="4" w:space="0" w:color="auto"/>
            </w:tcBorders>
            <w:vAlign w:val="center"/>
          </w:tcPr>
          <w:p w14:paraId="31A8119B" w14:textId="4769B725" w:rsidR="006F11BC" w:rsidRPr="006F11BC" w:rsidRDefault="006F11BC" w:rsidP="006F11BC">
            <w:pPr>
              <w:rPr>
                <w:rFonts w:ascii="Arial" w:hAnsi="Arial" w:cs="Arial"/>
                <w:sz w:val="16"/>
                <w:szCs w:val="16"/>
              </w:rPr>
            </w:pPr>
            <w:r w:rsidRPr="006F11BC">
              <w:rPr>
                <w:rFonts w:ascii="Arial" w:hAnsi="Arial" w:cs="Arial"/>
                <w:sz w:val="16"/>
                <w:szCs w:val="16"/>
              </w:rPr>
              <w:t>Pobytová</w:t>
            </w:r>
          </w:p>
        </w:tc>
        <w:tc>
          <w:tcPr>
            <w:tcW w:w="1959" w:type="dxa"/>
            <w:tcBorders>
              <w:top w:val="single" w:sz="4" w:space="0" w:color="auto"/>
              <w:bottom w:val="single" w:sz="4" w:space="0" w:color="auto"/>
              <w:right w:val="single" w:sz="4" w:space="0" w:color="auto"/>
            </w:tcBorders>
            <w:vAlign w:val="center"/>
          </w:tcPr>
          <w:p w14:paraId="17B84665" w14:textId="3DA3D2A5" w:rsidR="006F11BC" w:rsidRPr="006F11BC" w:rsidRDefault="006F11BC" w:rsidP="006F11BC">
            <w:pPr>
              <w:rPr>
                <w:rFonts w:ascii="Arial" w:hAnsi="Arial" w:cs="Arial"/>
                <w:sz w:val="16"/>
                <w:szCs w:val="16"/>
              </w:rPr>
            </w:pPr>
            <w:r w:rsidRPr="006F11BC">
              <w:rPr>
                <w:rFonts w:ascii="Arial" w:hAnsi="Arial" w:cs="Arial"/>
                <w:sz w:val="16"/>
                <w:szCs w:val="16"/>
              </w:rPr>
              <w:t>Osoby se zdravotním postižením</w:t>
            </w:r>
          </w:p>
        </w:tc>
        <w:tc>
          <w:tcPr>
            <w:tcW w:w="2006" w:type="dxa"/>
            <w:tcBorders>
              <w:top w:val="single" w:sz="4" w:space="0" w:color="auto"/>
              <w:bottom w:val="single" w:sz="4" w:space="0" w:color="auto"/>
              <w:right w:val="single" w:sz="4" w:space="0" w:color="auto"/>
            </w:tcBorders>
            <w:vAlign w:val="center"/>
          </w:tcPr>
          <w:p w14:paraId="1371576D" w14:textId="50D4D35D" w:rsidR="006F11BC" w:rsidRPr="006F11BC" w:rsidRDefault="006F11BC" w:rsidP="006F11BC">
            <w:pPr>
              <w:rPr>
                <w:rFonts w:ascii="Arial" w:hAnsi="Arial" w:cs="Arial"/>
                <w:sz w:val="16"/>
                <w:szCs w:val="16"/>
              </w:rPr>
            </w:pPr>
            <w:r w:rsidRPr="006F11BC">
              <w:rPr>
                <w:rFonts w:ascii="Arial" w:hAnsi="Arial" w:cs="Arial"/>
                <w:sz w:val="16"/>
                <w:szCs w:val="16"/>
              </w:rPr>
              <w:t>Otrokovice</w:t>
            </w:r>
          </w:p>
        </w:tc>
        <w:tc>
          <w:tcPr>
            <w:tcW w:w="1576" w:type="dxa"/>
            <w:tcBorders>
              <w:top w:val="single" w:sz="4" w:space="0" w:color="auto"/>
              <w:bottom w:val="single" w:sz="4" w:space="0" w:color="auto"/>
              <w:right w:val="single" w:sz="4" w:space="0" w:color="auto"/>
            </w:tcBorders>
            <w:vAlign w:val="center"/>
          </w:tcPr>
          <w:p w14:paraId="6BB01458" w14:textId="0FBD854F" w:rsidR="006F11BC" w:rsidRPr="006F11BC" w:rsidRDefault="006F11BC" w:rsidP="006F11BC">
            <w:pPr>
              <w:ind w:right="141"/>
              <w:rPr>
                <w:rFonts w:ascii="Arial" w:hAnsi="Arial" w:cs="Arial"/>
                <w:sz w:val="16"/>
                <w:szCs w:val="16"/>
              </w:rPr>
            </w:pPr>
            <w:r w:rsidRPr="006F11BC">
              <w:rPr>
                <w:rFonts w:ascii="Arial" w:hAnsi="Arial" w:cs="Arial"/>
                <w:sz w:val="16"/>
                <w:szCs w:val="16"/>
              </w:rPr>
              <w:t>Lůžko</w:t>
            </w:r>
          </w:p>
        </w:tc>
        <w:tc>
          <w:tcPr>
            <w:tcW w:w="1264" w:type="dxa"/>
            <w:tcBorders>
              <w:top w:val="single" w:sz="4" w:space="0" w:color="auto"/>
              <w:left w:val="single" w:sz="4" w:space="0" w:color="auto"/>
              <w:bottom w:val="single" w:sz="4" w:space="0" w:color="auto"/>
              <w:right w:val="single" w:sz="4" w:space="0" w:color="auto"/>
            </w:tcBorders>
            <w:vAlign w:val="center"/>
          </w:tcPr>
          <w:p w14:paraId="2D1A655A" w14:textId="74AFD81A"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35</w:t>
            </w:r>
          </w:p>
        </w:tc>
        <w:tc>
          <w:tcPr>
            <w:tcW w:w="1560" w:type="dxa"/>
            <w:tcBorders>
              <w:top w:val="single" w:sz="4" w:space="0" w:color="auto"/>
              <w:left w:val="single" w:sz="4" w:space="0" w:color="auto"/>
              <w:bottom w:val="single" w:sz="4" w:space="0" w:color="auto"/>
              <w:right w:val="single" w:sz="4" w:space="0" w:color="auto"/>
            </w:tcBorders>
            <w:vAlign w:val="center"/>
          </w:tcPr>
          <w:p w14:paraId="7E33B60D" w14:textId="0265A955"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5 314</w:t>
            </w:r>
            <w:r>
              <w:rPr>
                <w:rFonts w:ascii="Arial" w:hAnsi="Arial" w:cs="Arial"/>
                <w:sz w:val="16"/>
                <w:szCs w:val="16"/>
              </w:rPr>
              <w:t> </w:t>
            </w:r>
            <w:r w:rsidRPr="006F11BC">
              <w:rPr>
                <w:rFonts w:ascii="Arial" w:hAnsi="Arial" w:cs="Arial"/>
                <w:sz w:val="16"/>
                <w:szCs w:val="16"/>
              </w:rPr>
              <w:t>700</w:t>
            </w:r>
            <w:r>
              <w:rPr>
                <w:rFonts w:ascii="Arial" w:hAnsi="Arial" w:cs="Arial"/>
                <w:sz w:val="16"/>
                <w:szCs w:val="16"/>
              </w:rPr>
              <w:t>,00</w:t>
            </w:r>
          </w:p>
        </w:tc>
      </w:tr>
      <w:tr w:rsidR="006F11BC" w14:paraId="15B4DCB4"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37B2ACB4" w14:textId="595A4CD1" w:rsidR="006F11BC" w:rsidRPr="006F11BC" w:rsidRDefault="006F11BC" w:rsidP="006F11BC">
            <w:pPr>
              <w:jc w:val="center"/>
              <w:rPr>
                <w:rFonts w:ascii="Arial" w:hAnsi="Arial" w:cs="Arial"/>
                <w:b/>
                <w:sz w:val="16"/>
                <w:szCs w:val="16"/>
              </w:rPr>
            </w:pPr>
            <w:r w:rsidRPr="006F11BC">
              <w:rPr>
                <w:rFonts w:ascii="Arial" w:hAnsi="Arial" w:cs="Arial"/>
                <w:b/>
                <w:sz w:val="16"/>
                <w:szCs w:val="16"/>
              </w:rPr>
              <w:t>2</w:t>
            </w:r>
          </w:p>
        </w:tc>
        <w:tc>
          <w:tcPr>
            <w:tcW w:w="1275" w:type="dxa"/>
            <w:tcBorders>
              <w:top w:val="single" w:sz="4" w:space="0" w:color="auto"/>
              <w:bottom w:val="single" w:sz="4" w:space="0" w:color="auto"/>
              <w:right w:val="single" w:sz="4" w:space="0" w:color="auto"/>
            </w:tcBorders>
            <w:vAlign w:val="center"/>
          </w:tcPr>
          <w:p w14:paraId="5C983860" w14:textId="0703E6C4" w:rsidR="006F11BC" w:rsidRPr="006F11BC" w:rsidRDefault="006F11BC" w:rsidP="006F11BC">
            <w:pPr>
              <w:rPr>
                <w:rFonts w:ascii="Arial" w:hAnsi="Arial" w:cs="Arial"/>
                <w:sz w:val="16"/>
                <w:szCs w:val="16"/>
              </w:rPr>
            </w:pPr>
            <w:r w:rsidRPr="006F11BC">
              <w:rPr>
                <w:rFonts w:ascii="Arial" w:hAnsi="Arial" w:cs="Arial"/>
                <w:sz w:val="16"/>
                <w:szCs w:val="16"/>
              </w:rPr>
              <w:t>Nízkoprahová zařízení pro děti a mládež</w:t>
            </w:r>
          </w:p>
        </w:tc>
        <w:tc>
          <w:tcPr>
            <w:tcW w:w="1276" w:type="dxa"/>
            <w:tcBorders>
              <w:top w:val="single" w:sz="4" w:space="0" w:color="auto"/>
              <w:bottom w:val="single" w:sz="4" w:space="0" w:color="auto"/>
              <w:right w:val="single" w:sz="4" w:space="0" w:color="auto"/>
            </w:tcBorders>
            <w:vAlign w:val="center"/>
          </w:tcPr>
          <w:p w14:paraId="56B7A38C" w14:textId="3BB8B309" w:rsidR="006F11BC" w:rsidRPr="006F11BC" w:rsidRDefault="006F11BC" w:rsidP="006F11BC">
            <w:pPr>
              <w:rPr>
                <w:rFonts w:ascii="Arial" w:hAnsi="Arial" w:cs="Arial"/>
                <w:sz w:val="16"/>
                <w:szCs w:val="16"/>
              </w:rPr>
            </w:pPr>
            <w:r w:rsidRPr="006F11BC">
              <w:rPr>
                <w:rFonts w:ascii="Arial" w:hAnsi="Arial" w:cs="Arial"/>
                <w:sz w:val="16"/>
                <w:szCs w:val="16"/>
              </w:rPr>
              <w:t>1146538</w:t>
            </w:r>
          </w:p>
        </w:tc>
        <w:tc>
          <w:tcPr>
            <w:tcW w:w="1985" w:type="dxa"/>
            <w:tcBorders>
              <w:top w:val="single" w:sz="4" w:space="0" w:color="auto"/>
              <w:bottom w:val="single" w:sz="4" w:space="0" w:color="auto"/>
              <w:right w:val="single" w:sz="4" w:space="0" w:color="auto"/>
            </w:tcBorders>
            <w:vAlign w:val="center"/>
          </w:tcPr>
          <w:p w14:paraId="5E0A288B" w14:textId="37B94533" w:rsidR="006F11BC" w:rsidRPr="006F11BC" w:rsidRDefault="006F11BC" w:rsidP="006F11BC">
            <w:pPr>
              <w:rPr>
                <w:rFonts w:ascii="Arial" w:hAnsi="Arial" w:cs="Arial"/>
                <w:sz w:val="16"/>
                <w:szCs w:val="16"/>
              </w:rPr>
            </w:pPr>
            <w:r w:rsidRPr="006F11BC">
              <w:rPr>
                <w:rFonts w:ascii="Arial" w:hAnsi="Arial" w:cs="Arial"/>
                <w:sz w:val="16"/>
                <w:szCs w:val="16"/>
              </w:rPr>
              <w:t>Středisko Naděje Vizovice</w:t>
            </w:r>
          </w:p>
        </w:tc>
        <w:tc>
          <w:tcPr>
            <w:tcW w:w="1842" w:type="dxa"/>
            <w:tcBorders>
              <w:top w:val="single" w:sz="4" w:space="0" w:color="auto"/>
              <w:bottom w:val="single" w:sz="4" w:space="0" w:color="auto"/>
              <w:right w:val="single" w:sz="4" w:space="0" w:color="auto"/>
            </w:tcBorders>
            <w:vAlign w:val="center"/>
          </w:tcPr>
          <w:p w14:paraId="46C251E9" w14:textId="59A082B4" w:rsidR="006F11BC" w:rsidRPr="006F11BC" w:rsidRDefault="006F11BC" w:rsidP="006F11BC">
            <w:pPr>
              <w:rPr>
                <w:rFonts w:ascii="Arial" w:hAnsi="Arial" w:cs="Arial"/>
                <w:sz w:val="16"/>
                <w:szCs w:val="16"/>
              </w:rPr>
            </w:pPr>
            <w:r w:rsidRPr="006F11BC">
              <w:rPr>
                <w:rFonts w:ascii="Arial" w:hAnsi="Arial" w:cs="Arial"/>
                <w:sz w:val="16"/>
                <w:szCs w:val="16"/>
              </w:rPr>
              <w:t>Ambulantní</w:t>
            </w:r>
          </w:p>
        </w:tc>
        <w:tc>
          <w:tcPr>
            <w:tcW w:w="1959" w:type="dxa"/>
            <w:tcBorders>
              <w:top w:val="single" w:sz="4" w:space="0" w:color="auto"/>
              <w:bottom w:val="single" w:sz="4" w:space="0" w:color="auto"/>
              <w:right w:val="single" w:sz="4" w:space="0" w:color="auto"/>
            </w:tcBorders>
            <w:vAlign w:val="center"/>
          </w:tcPr>
          <w:p w14:paraId="27CD2353" w14:textId="7DC310AC" w:rsidR="006F11BC" w:rsidRPr="006F11BC" w:rsidRDefault="006F11BC" w:rsidP="006F11BC">
            <w:pPr>
              <w:rPr>
                <w:rFonts w:ascii="Arial" w:hAnsi="Arial" w:cs="Arial"/>
                <w:sz w:val="16"/>
                <w:szCs w:val="16"/>
              </w:rPr>
            </w:pPr>
            <w:r w:rsidRPr="006F11BC">
              <w:rPr>
                <w:rFonts w:ascii="Arial" w:hAnsi="Arial" w:cs="Arial"/>
                <w:sz w:val="16"/>
                <w:szCs w:val="16"/>
              </w:rPr>
              <w:t>Rodiny s dětmi</w:t>
            </w:r>
          </w:p>
        </w:tc>
        <w:tc>
          <w:tcPr>
            <w:tcW w:w="2006" w:type="dxa"/>
            <w:tcBorders>
              <w:top w:val="single" w:sz="4" w:space="0" w:color="auto"/>
              <w:bottom w:val="single" w:sz="4" w:space="0" w:color="auto"/>
              <w:right w:val="single" w:sz="4" w:space="0" w:color="auto"/>
            </w:tcBorders>
            <w:vAlign w:val="center"/>
          </w:tcPr>
          <w:p w14:paraId="03D0EC2A" w14:textId="3F639C28" w:rsidR="006F11BC" w:rsidRPr="006F11BC" w:rsidRDefault="006F11BC" w:rsidP="006F11BC">
            <w:pPr>
              <w:rPr>
                <w:rFonts w:ascii="Arial" w:hAnsi="Arial" w:cs="Arial"/>
                <w:sz w:val="16"/>
                <w:szCs w:val="16"/>
              </w:rPr>
            </w:pPr>
            <w:r w:rsidRPr="006F11BC">
              <w:rPr>
                <w:rFonts w:ascii="Arial" w:hAnsi="Arial" w:cs="Arial"/>
                <w:sz w:val="16"/>
                <w:szCs w:val="16"/>
              </w:rPr>
              <w:t>Vizovice</w:t>
            </w:r>
          </w:p>
        </w:tc>
        <w:tc>
          <w:tcPr>
            <w:tcW w:w="1576" w:type="dxa"/>
            <w:tcBorders>
              <w:top w:val="single" w:sz="4" w:space="0" w:color="auto"/>
              <w:bottom w:val="single" w:sz="4" w:space="0" w:color="auto"/>
              <w:right w:val="single" w:sz="4" w:space="0" w:color="auto"/>
            </w:tcBorders>
            <w:vAlign w:val="center"/>
          </w:tcPr>
          <w:p w14:paraId="67238CBF" w14:textId="6B6A862B" w:rsidR="006F11BC" w:rsidRPr="006F11BC" w:rsidRDefault="006F11BC" w:rsidP="006F11BC">
            <w:pPr>
              <w:ind w:right="141"/>
              <w:rPr>
                <w:rFonts w:ascii="Arial" w:hAnsi="Arial" w:cs="Arial"/>
                <w:sz w:val="16"/>
                <w:szCs w:val="16"/>
              </w:rPr>
            </w:pPr>
            <w:r w:rsidRPr="006F11BC">
              <w:rPr>
                <w:rFonts w:ascii="Arial" w:hAnsi="Arial" w:cs="Arial"/>
                <w:sz w:val="16"/>
                <w:szCs w:val="16"/>
              </w:rPr>
              <w:t>Průměrný přepočtený úvazek PP</w:t>
            </w:r>
          </w:p>
        </w:tc>
        <w:tc>
          <w:tcPr>
            <w:tcW w:w="1264" w:type="dxa"/>
            <w:tcBorders>
              <w:top w:val="single" w:sz="4" w:space="0" w:color="auto"/>
              <w:left w:val="single" w:sz="4" w:space="0" w:color="auto"/>
              <w:bottom w:val="single" w:sz="4" w:space="0" w:color="auto"/>
              <w:right w:val="single" w:sz="4" w:space="0" w:color="auto"/>
            </w:tcBorders>
            <w:vAlign w:val="center"/>
          </w:tcPr>
          <w:p w14:paraId="34352877" w14:textId="70A9FF14"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2,03</w:t>
            </w:r>
          </w:p>
        </w:tc>
        <w:tc>
          <w:tcPr>
            <w:tcW w:w="1560" w:type="dxa"/>
            <w:tcBorders>
              <w:top w:val="single" w:sz="4" w:space="0" w:color="auto"/>
              <w:left w:val="single" w:sz="4" w:space="0" w:color="auto"/>
              <w:bottom w:val="single" w:sz="4" w:space="0" w:color="auto"/>
              <w:right w:val="single" w:sz="4" w:space="0" w:color="auto"/>
            </w:tcBorders>
            <w:vAlign w:val="center"/>
          </w:tcPr>
          <w:p w14:paraId="0100C5E7" w14:textId="7D72E351"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358</w:t>
            </w:r>
            <w:r>
              <w:rPr>
                <w:rFonts w:ascii="Arial" w:hAnsi="Arial" w:cs="Arial"/>
                <w:sz w:val="16"/>
                <w:szCs w:val="16"/>
              </w:rPr>
              <w:t> </w:t>
            </w:r>
            <w:r w:rsidRPr="006F11BC">
              <w:rPr>
                <w:rFonts w:ascii="Arial" w:hAnsi="Arial" w:cs="Arial"/>
                <w:sz w:val="16"/>
                <w:szCs w:val="16"/>
              </w:rPr>
              <w:t>700</w:t>
            </w:r>
            <w:r>
              <w:rPr>
                <w:rFonts w:ascii="Arial" w:hAnsi="Arial" w:cs="Arial"/>
                <w:sz w:val="16"/>
                <w:szCs w:val="16"/>
              </w:rPr>
              <w:t>,00</w:t>
            </w:r>
          </w:p>
        </w:tc>
      </w:tr>
      <w:tr w:rsidR="006F11BC" w14:paraId="6F954040"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5F3E0E4B" w14:textId="7841D912" w:rsidR="006F11BC" w:rsidRPr="006F11BC" w:rsidRDefault="006F11BC" w:rsidP="006F11BC">
            <w:pPr>
              <w:jc w:val="center"/>
              <w:rPr>
                <w:rFonts w:ascii="Arial" w:hAnsi="Arial" w:cs="Arial"/>
                <w:b/>
                <w:sz w:val="16"/>
                <w:szCs w:val="16"/>
              </w:rPr>
            </w:pPr>
            <w:r w:rsidRPr="006F11BC">
              <w:rPr>
                <w:rFonts w:ascii="Arial" w:hAnsi="Arial" w:cs="Arial"/>
                <w:b/>
                <w:sz w:val="16"/>
                <w:szCs w:val="16"/>
              </w:rPr>
              <w:t>3</w:t>
            </w:r>
          </w:p>
        </w:tc>
        <w:tc>
          <w:tcPr>
            <w:tcW w:w="1275" w:type="dxa"/>
            <w:tcBorders>
              <w:top w:val="single" w:sz="4" w:space="0" w:color="auto"/>
              <w:bottom w:val="single" w:sz="4" w:space="0" w:color="auto"/>
              <w:right w:val="single" w:sz="4" w:space="0" w:color="auto"/>
            </w:tcBorders>
            <w:vAlign w:val="center"/>
          </w:tcPr>
          <w:p w14:paraId="6AB72A89" w14:textId="04264E24" w:rsidR="006F11BC" w:rsidRPr="006F11BC" w:rsidRDefault="006F11BC" w:rsidP="006F11BC">
            <w:pPr>
              <w:rPr>
                <w:rFonts w:ascii="Arial" w:hAnsi="Arial" w:cs="Arial"/>
                <w:sz w:val="16"/>
                <w:szCs w:val="16"/>
              </w:rPr>
            </w:pPr>
            <w:r w:rsidRPr="006F11BC">
              <w:rPr>
                <w:rFonts w:ascii="Arial" w:hAnsi="Arial" w:cs="Arial"/>
                <w:sz w:val="16"/>
                <w:szCs w:val="16"/>
              </w:rPr>
              <w:t>Chráněné bydlení</w:t>
            </w:r>
          </w:p>
        </w:tc>
        <w:tc>
          <w:tcPr>
            <w:tcW w:w="1276" w:type="dxa"/>
            <w:tcBorders>
              <w:top w:val="single" w:sz="4" w:space="0" w:color="auto"/>
              <w:bottom w:val="single" w:sz="4" w:space="0" w:color="auto"/>
              <w:right w:val="single" w:sz="4" w:space="0" w:color="auto"/>
            </w:tcBorders>
            <w:vAlign w:val="center"/>
          </w:tcPr>
          <w:p w14:paraId="0FE7BB10" w14:textId="4C907DC4" w:rsidR="006F11BC" w:rsidRPr="006F11BC" w:rsidRDefault="006F11BC" w:rsidP="006F11BC">
            <w:pPr>
              <w:rPr>
                <w:rFonts w:ascii="Arial" w:hAnsi="Arial" w:cs="Arial"/>
                <w:sz w:val="16"/>
                <w:szCs w:val="16"/>
              </w:rPr>
            </w:pPr>
            <w:r w:rsidRPr="006F11BC">
              <w:rPr>
                <w:rFonts w:ascii="Arial" w:hAnsi="Arial" w:cs="Arial"/>
                <w:sz w:val="16"/>
                <w:szCs w:val="16"/>
              </w:rPr>
              <w:t>1179545</w:t>
            </w:r>
          </w:p>
        </w:tc>
        <w:tc>
          <w:tcPr>
            <w:tcW w:w="1985" w:type="dxa"/>
            <w:tcBorders>
              <w:top w:val="single" w:sz="4" w:space="0" w:color="auto"/>
              <w:bottom w:val="single" w:sz="4" w:space="0" w:color="auto"/>
              <w:right w:val="single" w:sz="4" w:space="0" w:color="auto"/>
            </w:tcBorders>
            <w:vAlign w:val="center"/>
          </w:tcPr>
          <w:p w14:paraId="480020DD" w14:textId="5E359501" w:rsidR="006F11BC" w:rsidRPr="006F11BC" w:rsidRDefault="006F11BC" w:rsidP="006F11BC">
            <w:pPr>
              <w:rPr>
                <w:rFonts w:ascii="Arial" w:hAnsi="Arial" w:cs="Arial"/>
                <w:sz w:val="16"/>
                <w:szCs w:val="16"/>
              </w:rPr>
            </w:pPr>
            <w:r w:rsidRPr="006F11BC">
              <w:rPr>
                <w:rFonts w:ascii="Arial" w:hAnsi="Arial" w:cs="Arial"/>
                <w:sz w:val="16"/>
                <w:szCs w:val="16"/>
              </w:rPr>
              <w:t>Dům Naděje Zlín</w:t>
            </w:r>
          </w:p>
        </w:tc>
        <w:tc>
          <w:tcPr>
            <w:tcW w:w="1842" w:type="dxa"/>
            <w:tcBorders>
              <w:top w:val="single" w:sz="4" w:space="0" w:color="auto"/>
              <w:bottom w:val="single" w:sz="4" w:space="0" w:color="auto"/>
              <w:right w:val="single" w:sz="4" w:space="0" w:color="auto"/>
            </w:tcBorders>
            <w:vAlign w:val="center"/>
          </w:tcPr>
          <w:p w14:paraId="47F9A623" w14:textId="48A2282C" w:rsidR="006F11BC" w:rsidRPr="006F11BC" w:rsidRDefault="006F11BC" w:rsidP="006F11BC">
            <w:pPr>
              <w:rPr>
                <w:rFonts w:ascii="Arial" w:hAnsi="Arial" w:cs="Arial"/>
                <w:sz w:val="16"/>
                <w:szCs w:val="16"/>
              </w:rPr>
            </w:pPr>
            <w:r w:rsidRPr="006F11BC">
              <w:rPr>
                <w:rFonts w:ascii="Arial" w:hAnsi="Arial" w:cs="Arial"/>
                <w:sz w:val="16"/>
                <w:szCs w:val="16"/>
              </w:rPr>
              <w:t>Pobytová</w:t>
            </w:r>
          </w:p>
        </w:tc>
        <w:tc>
          <w:tcPr>
            <w:tcW w:w="1959" w:type="dxa"/>
            <w:tcBorders>
              <w:top w:val="single" w:sz="4" w:space="0" w:color="auto"/>
              <w:bottom w:val="single" w:sz="4" w:space="0" w:color="auto"/>
              <w:right w:val="single" w:sz="4" w:space="0" w:color="auto"/>
            </w:tcBorders>
            <w:vAlign w:val="center"/>
          </w:tcPr>
          <w:p w14:paraId="4F675D1D" w14:textId="0FEBED8A" w:rsidR="006F11BC" w:rsidRPr="006F11BC" w:rsidRDefault="006F11BC" w:rsidP="006F11BC">
            <w:pPr>
              <w:rPr>
                <w:rFonts w:ascii="Arial" w:hAnsi="Arial" w:cs="Arial"/>
                <w:sz w:val="16"/>
                <w:szCs w:val="16"/>
              </w:rPr>
            </w:pPr>
            <w:r w:rsidRPr="006F11BC">
              <w:rPr>
                <w:rFonts w:ascii="Arial" w:hAnsi="Arial" w:cs="Arial"/>
                <w:sz w:val="16"/>
                <w:szCs w:val="16"/>
              </w:rPr>
              <w:t>Osoby se zdravotním postižením</w:t>
            </w:r>
          </w:p>
        </w:tc>
        <w:tc>
          <w:tcPr>
            <w:tcW w:w="2006" w:type="dxa"/>
            <w:tcBorders>
              <w:top w:val="single" w:sz="4" w:space="0" w:color="auto"/>
              <w:bottom w:val="single" w:sz="4" w:space="0" w:color="auto"/>
              <w:right w:val="single" w:sz="4" w:space="0" w:color="auto"/>
            </w:tcBorders>
            <w:vAlign w:val="center"/>
          </w:tcPr>
          <w:p w14:paraId="4B6BF78D" w14:textId="69047A88" w:rsidR="006F11BC" w:rsidRPr="006F11BC" w:rsidRDefault="006F11BC" w:rsidP="006F11BC">
            <w:pPr>
              <w:rPr>
                <w:rFonts w:ascii="Arial" w:hAnsi="Arial" w:cs="Arial"/>
                <w:sz w:val="16"/>
                <w:szCs w:val="16"/>
              </w:rPr>
            </w:pPr>
            <w:r w:rsidRPr="006F11BC">
              <w:rPr>
                <w:rFonts w:ascii="Arial" w:hAnsi="Arial" w:cs="Arial"/>
                <w:sz w:val="16"/>
                <w:szCs w:val="16"/>
              </w:rPr>
              <w:t>Zlín</w:t>
            </w:r>
          </w:p>
        </w:tc>
        <w:tc>
          <w:tcPr>
            <w:tcW w:w="1576" w:type="dxa"/>
            <w:tcBorders>
              <w:top w:val="single" w:sz="4" w:space="0" w:color="auto"/>
              <w:bottom w:val="single" w:sz="4" w:space="0" w:color="auto"/>
              <w:right w:val="single" w:sz="4" w:space="0" w:color="auto"/>
            </w:tcBorders>
            <w:vAlign w:val="center"/>
          </w:tcPr>
          <w:p w14:paraId="0804CA25" w14:textId="6BDDA478" w:rsidR="006F11BC" w:rsidRPr="006F11BC" w:rsidRDefault="006F11BC" w:rsidP="006F11BC">
            <w:pPr>
              <w:ind w:right="141"/>
              <w:rPr>
                <w:rFonts w:ascii="Arial" w:hAnsi="Arial" w:cs="Arial"/>
                <w:sz w:val="16"/>
                <w:szCs w:val="16"/>
              </w:rPr>
            </w:pPr>
            <w:r w:rsidRPr="006F11BC">
              <w:rPr>
                <w:rFonts w:ascii="Arial" w:hAnsi="Arial" w:cs="Arial"/>
                <w:sz w:val="16"/>
                <w:szCs w:val="16"/>
              </w:rPr>
              <w:t>Lůžko</w:t>
            </w:r>
          </w:p>
        </w:tc>
        <w:tc>
          <w:tcPr>
            <w:tcW w:w="1264" w:type="dxa"/>
            <w:tcBorders>
              <w:top w:val="single" w:sz="4" w:space="0" w:color="auto"/>
              <w:left w:val="single" w:sz="4" w:space="0" w:color="auto"/>
              <w:bottom w:val="single" w:sz="4" w:space="0" w:color="auto"/>
              <w:right w:val="single" w:sz="4" w:space="0" w:color="auto"/>
            </w:tcBorders>
            <w:vAlign w:val="center"/>
          </w:tcPr>
          <w:p w14:paraId="3ACBB2D3" w14:textId="30FB9378"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25</w:t>
            </w:r>
          </w:p>
        </w:tc>
        <w:tc>
          <w:tcPr>
            <w:tcW w:w="1560" w:type="dxa"/>
            <w:tcBorders>
              <w:top w:val="single" w:sz="4" w:space="0" w:color="auto"/>
              <w:left w:val="single" w:sz="4" w:space="0" w:color="auto"/>
              <w:bottom w:val="single" w:sz="4" w:space="0" w:color="auto"/>
              <w:right w:val="single" w:sz="4" w:space="0" w:color="auto"/>
            </w:tcBorders>
            <w:vAlign w:val="center"/>
          </w:tcPr>
          <w:p w14:paraId="33982A23" w14:textId="6BF7260B"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2 645</w:t>
            </w:r>
            <w:r>
              <w:rPr>
                <w:rFonts w:ascii="Arial" w:hAnsi="Arial" w:cs="Arial"/>
                <w:sz w:val="16"/>
                <w:szCs w:val="16"/>
              </w:rPr>
              <w:t> </w:t>
            </w:r>
            <w:r w:rsidRPr="006F11BC">
              <w:rPr>
                <w:rFonts w:ascii="Arial" w:hAnsi="Arial" w:cs="Arial"/>
                <w:sz w:val="16"/>
                <w:szCs w:val="16"/>
              </w:rPr>
              <w:t>000</w:t>
            </w:r>
            <w:r>
              <w:rPr>
                <w:rFonts w:ascii="Arial" w:hAnsi="Arial" w:cs="Arial"/>
                <w:sz w:val="16"/>
                <w:szCs w:val="16"/>
              </w:rPr>
              <w:t>,00</w:t>
            </w:r>
          </w:p>
        </w:tc>
      </w:tr>
      <w:tr w:rsidR="006F11BC" w14:paraId="041BAD59"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63E25C9D" w14:textId="11317E01" w:rsidR="006F11BC" w:rsidRPr="006F11BC" w:rsidRDefault="006F11BC" w:rsidP="006F11BC">
            <w:pPr>
              <w:jc w:val="center"/>
              <w:rPr>
                <w:rFonts w:ascii="Arial" w:hAnsi="Arial" w:cs="Arial"/>
                <w:b/>
                <w:sz w:val="16"/>
                <w:szCs w:val="16"/>
              </w:rPr>
            </w:pPr>
            <w:r w:rsidRPr="006F11BC">
              <w:rPr>
                <w:rFonts w:ascii="Arial" w:hAnsi="Arial" w:cs="Arial"/>
                <w:b/>
                <w:sz w:val="16"/>
                <w:szCs w:val="16"/>
              </w:rPr>
              <w:t>4</w:t>
            </w:r>
          </w:p>
        </w:tc>
        <w:tc>
          <w:tcPr>
            <w:tcW w:w="1275" w:type="dxa"/>
            <w:tcBorders>
              <w:top w:val="single" w:sz="4" w:space="0" w:color="auto"/>
              <w:bottom w:val="single" w:sz="4" w:space="0" w:color="auto"/>
              <w:right w:val="single" w:sz="4" w:space="0" w:color="auto"/>
            </w:tcBorders>
            <w:vAlign w:val="center"/>
          </w:tcPr>
          <w:p w14:paraId="7E07E6F2" w14:textId="653054B0" w:rsidR="006F11BC" w:rsidRPr="006F11BC" w:rsidRDefault="006F11BC" w:rsidP="006F11BC">
            <w:pPr>
              <w:rPr>
                <w:rFonts w:ascii="Arial" w:hAnsi="Arial" w:cs="Arial"/>
                <w:sz w:val="16"/>
                <w:szCs w:val="16"/>
              </w:rPr>
            </w:pPr>
            <w:r w:rsidRPr="006F11BC">
              <w:rPr>
                <w:rFonts w:ascii="Arial" w:hAnsi="Arial" w:cs="Arial"/>
                <w:sz w:val="16"/>
                <w:szCs w:val="16"/>
              </w:rPr>
              <w:t>Denní stacionáře</w:t>
            </w:r>
          </w:p>
        </w:tc>
        <w:tc>
          <w:tcPr>
            <w:tcW w:w="1276" w:type="dxa"/>
            <w:tcBorders>
              <w:top w:val="single" w:sz="4" w:space="0" w:color="auto"/>
              <w:bottom w:val="single" w:sz="4" w:space="0" w:color="auto"/>
              <w:right w:val="single" w:sz="4" w:space="0" w:color="auto"/>
            </w:tcBorders>
            <w:vAlign w:val="center"/>
          </w:tcPr>
          <w:p w14:paraId="1033D20B" w14:textId="0A2DC486" w:rsidR="006F11BC" w:rsidRPr="006F11BC" w:rsidRDefault="006F11BC" w:rsidP="006F11BC">
            <w:pPr>
              <w:rPr>
                <w:rFonts w:ascii="Arial" w:hAnsi="Arial" w:cs="Arial"/>
                <w:sz w:val="16"/>
                <w:szCs w:val="16"/>
              </w:rPr>
            </w:pPr>
            <w:r w:rsidRPr="006F11BC">
              <w:rPr>
                <w:rFonts w:ascii="Arial" w:hAnsi="Arial" w:cs="Arial"/>
                <w:sz w:val="16"/>
                <w:szCs w:val="16"/>
              </w:rPr>
              <w:t>1499287</w:t>
            </w:r>
          </w:p>
        </w:tc>
        <w:tc>
          <w:tcPr>
            <w:tcW w:w="1985" w:type="dxa"/>
            <w:tcBorders>
              <w:top w:val="single" w:sz="4" w:space="0" w:color="auto"/>
              <w:bottom w:val="single" w:sz="4" w:space="0" w:color="auto"/>
              <w:right w:val="single" w:sz="4" w:space="0" w:color="auto"/>
            </w:tcBorders>
            <w:vAlign w:val="center"/>
          </w:tcPr>
          <w:p w14:paraId="2F0DBADA" w14:textId="18D90154" w:rsidR="006F11BC" w:rsidRPr="006F11BC" w:rsidRDefault="006F11BC" w:rsidP="006F11BC">
            <w:pPr>
              <w:rPr>
                <w:rFonts w:ascii="Arial" w:hAnsi="Arial" w:cs="Arial"/>
                <w:sz w:val="16"/>
                <w:szCs w:val="16"/>
              </w:rPr>
            </w:pPr>
            <w:r w:rsidRPr="006F11BC">
              <w:rPr>
                <w:rFonts w:ascii="Arial" w:hAnsi="Arial" w:cs="Arial"/>
                <w:sz w:val="16"/>
                <w:szCs w:val="16"/>
              </w:rPr>
              <w:t>Dům Naděje Otrokovice</w:t>
            </w:r>
          </w:p>
        </w:tc>
        <w:tc>
          <w:tcPr>
            <w:tcW w:w="1842" w:type="dxa"/>
            <w:tcBorders>
              <w:top w:val="single" w:sz="4" w:space="0" w:color="auto"/>
              <w:bottom w:val="single" w:sz="4" w:space="0" w:color="auto"/>
              <w:right w:val="single" w:sz="4" w:space="0" w:color="auto"/>
            </w:tcBorders>
            <w:vAlign w:val="center"/>
          </w:tcPr>
          <w:p w14:paraId="3CC60248" w14:textId="5814B347" w:rsidR="006F11BC" w:rsidRPr="006F11BC" w:rsidRDefault="006F11BC" w:rsidP="006F11BC">
            <w:pPr>
              <w:rPr>
                <w:rFonts w:ascii="Arial" w:hAnsi="Arial" w:cs="Arial"/>
                <w:sz w:val="16"/>
                <w:szCs w:val="16"/>
              </w:rPr>
            </w:pPr>
            <w:r w:rsidRPr="006F11BC">
              <w:rPr>
                <w:rFonts w:ascii="Arial" w:hAnsi="Arial" w:cs="Arial"/>
                <w:sz w:val="16"/>
                <w:szCs w:val="16"/>
              </w:rPr>
              <w:t>Ambulantní</w:t>
            </w:r>
          </w:p>
        </w:tc>
        <w:tc>
          <w:tcPr>
            <w:tcW w:w="1959" w:type="dxa"/>
            <w:tcBorders>
              <w:top w:val="single" w:sz="4" w:space="0" w:color="auto"/>
              <w:bottom w:val="single" w:sz="4" w:space="0" w:color="auto"/>
              <w:right w:val="single" w:sz="4" w:space="0" w:color="auto"/>
            </w:tcBorders>
            <w:vAlign w:val="center"/>
          </w:tcPr>
          <w:p w14:paraId="135249C5" w14:textId="2D2E9ABD" w:rsidR="006F11BC" w:rsidRPr="006F11BC" w:rsidRDefault="006F11BC" w:rsidP="006F11BC">
            <w:pPr>
              <w:rPr>
                <w:rFonts w:ascii="Arial" w:hAnsi="Arial" w:cs="Arial"/>
                <w:sz w:val="16"/>
                <w:szCs w:val="16"/>
              </w:rPr>
            </w:pPr>
            <w:r w:rsidRPr="006F11BC">
              <w:rPr>
                <w:rFonts w:ascii="Arial" w:hAnsi="Arial" w:cs="Arial"/>
                <w:sz w:val="16"/>
                <w:szCs w:val="16"/>
              </w:rPr>
              <w:t>Osoby se zdravotním postižením</w:t>
            </w:r>
          </w:p>
        </w:tc>
        <w:tc>
          <w:tcPr>
            <w:tcW w:w="2006" w:type="dxa"/>
            <w:tcBorders>
              <w:top w:val="single" w:sz="4" w:space="0" w:color="auto"/>
              <w:bottom w:val="single" w:sz="4" w:space="0" w:color="auto"/>
              <w:right w:val="single" w:sz="4" w:space="0" w:color="auto"/>
            </w:tcBorders>
            <w:vAlign w:val="center"/>
          </w:tcPr>
          <w:p w14:paraId="56E4B43A" w14:textId="6FF3065F" w:rsidR="006F11BC" w:rsidRPr="006F11BC" w:rsidRDefault="006F11BC" w:rsidP="006F11BC">
            <w:pPr>
              <w:rPr>
                <w:rFonts w:ascii="Arial" w:hAnsi="Arial" w:cs="Arial"/>
                <w:sz w:val="16"/>
                <w:szCs w:val="16"/>
              </w:rPr>
            </w:pPr>
            <w:r w:rsidRPr="006F11BC">
              <w:rPr>
                <w:rFonts w:ascii="Arial" w:hAnsi="Arial" w:cs="Arial"/>
                <w:sz w:val="16"/>
                <w:szCs w:val="16"/>
              </w:rPr>
              <w:t>Otrokovice</w:t>
            </w:r>
          </w:p>
        </w:tc>
        <w:tc>
          <w:tcPr>
            <w:tcW w:w="1576" w:type="dxa"/>
            <w:tcBorders>
              <w:top w:val="single" w:sz="4" w:space="0" w:color="auto"/>
              <w:bottom w:val="single" w:sz="4" w:space="0" w:color="auto"/>
              <w:right w:val="single" w:sz="4" w:space="0" w:color="auto"/>
            </w:tcBorders>
            <w:vAlign w:val="center"/>
          </w:tcPr>
          <w:p w14:paraId="1EE2EE9D" w14:textId="59484FD0" w:rsidR="006F11BC" w:rsidRPr="006F11BC" w:rsidRDefault="006F11BC" w:rsidP="006F11BC">
            <w:pPr>
              <w:ind w:right="141"/>
              <w:rPr>
                <w:rFonts w:ascii="Arial" w:hAnsi="Arial" w:cs="Arial"/>
                <w:sz w:val="16"/>
                <w:szCs w:val="16"/>
              </w:rPr>
            </w:pPr>
            <w:r w:rsidRPr="006F11BC">
              <w:rPr>
                <w:rFonts w:ascii="Arial" w:hAnsi="Arial" w:cs="Arial"/>
                <w:sz w:val="16"/>
                <w:szCs w:val="16"/>
              </w:rPr>
              <w:t>Průměrný přepočtený úvazek PP</w:t>
            </w:r>
          </w:p>
        </w:tc>
        <w:tc>
          <w:tcPr>
            <w:tcW w:w="1264" w:type="dxa"/>
            <w:tcBorders>
              <w:top w:val="single" w:sz="4" w:space="0" w:color="auto"/>
              <w:left w:val="single" w:sz="4" w:space="0" w:color="auto"/>
              <w:bottom w:val="single" w:sz="4" w:space="0" w:color="auto"/>
              <w:right w:val="single" w:sz="4" w:space="0" w:color="auto"/>
            </w:tcBorders>
            <w:vAlign w:val="center"/>
          </w:tcPr>
          <w:p w14:paraId="02E8B2D6" w14:textId="462ACE95"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3,50</w:t>
            </w:r>
          </w:p>
        </w:tc>
        <w:tc>
          <w:tcPr>
            <w:tcW w:w="1560" w:type="dxa"/>
            <w:tcBorders>
              <w:top w:val="single" w:sz="4" w:space="0" w:color="auto"/>
              <w:left w:val="single" w:sz="4" w:space="0" w:color="auto"/>
              <w:bottom w:val="single" w:sz="4" w:space="0" w:color="auto"/>
              <w:right w:val="single" w:sz="4" w:space="0" w:color="auto"/>
            </w:tcBorders>
            <w:vAlign w:val="center"/>
          </w:tcPr>
          <w:p w14:paraId="34217F41" w14:textId="323F3A5F"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510</w:t>
            </w:r>
            <w:r>
              <w:rPr>
                <w:rFonts w:ascii="Arial" w:hAnsi="Arial" w:cs="Arial"/>
                <w:sz w:val="16"/>
                <w:szCs w:val="16"/>
              </w:rPr>
              <w:t> </w:t>
            </w:r>
            <w:r w:rsidRPr="006F11BC">
              <w:rPr>
                <w:rFonts w:ascii="Arial" w:hAnsi="Arial" w:cs="Arial"/>
                <w:sz w:val="16"/>
                <w:szCs w:val="16"/>
              </w:rPr>
              <w:t>400</w:t>
            </w:r>
            <w:r>
              <w:rPr>
                <w:rFonts w:ascii="Arial" w:hAnsi="Arial" w:cs="Arial"/>
                <w:sz w:val="16"/>
                <w:szCs w:val="16"/>
              </w:rPr>
              <w:t>,00</w:t>
            </w:r>
          </w:p>
        </w:tc>
      </w:tr>
      <w:tr w:rsidR="006F11BC" w14:paraId="136BE9E4"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5A54DF23" w14:textId="32BBA695" w:rsidR="006F11BC" w:rsidRPr="006F11BC" w:rsidRDefault="006F11BC" w:rsidP="006F11BC">
            <w:pPr>
              <w:jc w:val="center"/>
              <w:rPr>
                <w:rFonts w:ascii="Arial" w:hAnsi="Arial" w:cs="Arial"/>
                <w:b/>
                <w:sz w:val="16"/>
                <w:szCs w:val="16"/>
              </w:rPr>
            </w:pPr>
            <w:r w:rsidRPr="006F11BC">
              <w:rPr>
                <w:rFonts w:ascii="Arial" w:hAnsi="Arial" w:cs="Arial"/>
                <w:b/>
                <w:sz w:val="16"/>
                <w:szCs w:val="16"/>
              </w:rPr>
              <w:t>5</w:t>
            </w:r>
          </w:p>
        </w:tc>
        <w:tc>
          <w:tcPr>
            <w:tcW w:w="1275" w:type="dxa"/>
            <w:tcBorders>
              <w:top w:val="single" w:sz="4" w:space="0" w:color="auto"/>
              <w:bottom w:val="single" w:sz="4" w:space="0" w:color="auto"/>
              <w:right w:val="single" w:sz="4" w:space="0" w:color="auto"/>
            </w:tcBorders>
            <w:vAlign w:val="center"/>
          </w:tcPr>
          <w:p w14:paraId="05011D0E" w14:textId="10C6D062" w:rsidR="006F11BC" w:rsidRPr="006F11BC" w:rsidRDefault="006F11BC" w:rsidP="006F11BC">
            <w:pPr>
              <w:rPr>
                <w:rFonts w:ascii="Arial" w:hAnsi="Arial" w:cs="Arial"/>
                <w:sz w:val="16"/>
                <w:szCs w:val="16"/>
              </w:rPr>
            </w:pPr>
            <w:r w:rsidRPr="006F11BC">
              <w:rPr>
                <w:rFonts w:ascii="Arial" w:hAnsi="Arial" w:cs="Arial"/>
                <w:sz w:val="16"/>
                <w:szCs w:val="16"/>
              </w:rPr>
              <w:t>Domovy pro osoby se zdravotním postižením</w:t>
            </w:r>
          </w:p>
        </w:tc>
        <w:tc>
          <w:tcPr>
            <w:tcW w:w="1276" w:type="dxa"/>
            <w:tcBorders>
              <w:top w:val="single" w:sz="4" w:space="0" w:color="auto"/>
              <w:bottom w:val="single" w:sz="4" w:space="0" w:color="auto"/>
              <w:right w:val="single" w:sz="4" w:space="0" w:color="auto"/>
            </w:tcBorders>
            <w:vAlign w:val="center"/>
          </w:tcPr>
          <w:p w14:paraId="16C465AD" w14:textId="363509B5" w:rsidR="006F11BC" w:rsidRPr="006F11BC" w:rsidRDefault="006F11BC" w:rsidP="006F11BC">
            <w:pPr>
              <w:rPr>
                <w:rFonts w:ascii="Arial" w:hAnsi="Arial" w:cs="Arial"/>
                <w:sz w:val="16"/>
                <w:szCs w:val="16"/>
              </w:rPr>
            </w:pPr>
            <w:r w:rsidRPr="006F11BC">
              <w:rPr>
                <w:rFonts w:ascii="Arial" w:hAnsi="Arial" w:cs="Arial"/>
                <w:sz w:val="16"/>
                <w:szCs w:val="16"/>
              </w:rPr>
              <w:t>2044545</w:t>
            </w:r>
          </w:p>
        </w:tc>
        <w:tc>
          <w:tcPr>
            <w:tcW w:w="1985" w:type="dxa"/>
            <w:tcBorders>
              <w:top w:val="single" w:sz="4" w:space="0" w:color="auto"/>
              <w:bottom w:val="single" w:sz="4" w:space="0" w:color="auto"/>
              <w:right w:val="single" w:sz="4" w:space="0" w:color="auto"/>
            </w:tcBorders>
            <w:vAlign w:val="center"/>
          </w:tcPr>
          <w:p w14:paraId="077D4B2F" w14:textId="2BC230E2" w:rsidR="006F11BC" w:rsidRPr="006F11BC" w:rsidRDefault="006F11BC" w:rsidP="006F11BC">
            <w:pPr>
              <w:rPr>
                <w:rFonts w:ascii="Arial" w:hAnsi="Arial" w:cs="Arial"/>
                <w:sz w:val="16"/>
                <w:szCs w:val="16"/>
              </w:rPr>
            </w:pPr>
            <w:r w:rsidRPr="006F11BC">
              <w:rPr>
                <w:rFonts w:ascii="Arial" w:hAnsi="Arial" w:cs="Arial"/>
                <w:sz w:val="16"/>
                <w:szCs w:val="16"/>
              </w:rPr>
              <w:t>Dům pokojného stáří Naděje Nedašov</w:t>
            </w:r>
          </w:p>
        </w:tc>
        <w:tc>
          <w:tcPr>
            <w:tcW w:w="1842" w:type="dxa"/>
            <w:tcBorders>
              <w:top w:val="single" w:sz="4" w:space="0" w:color="auto"/>
              <w:bottom w:val="single" w:sz="4" w:space="0" w:color="auto"/>
              <w:right w:val="single" w:sz="4" w:space="0" w:color="auto"/>
            </w:tcBorders>
            <w:vAlign w:val="center"/>
          </w:tcPr>
          <w:p w14:paraId="6CB9F96D" w14:textId="53DA168E" w:rsidR="006F11BC" w:rsidRPr="006F11BC" w:rsidRDefault="006F11BC" w:rsidP="006F11BC">
            <w:pPr>
              <w:rPr>
                <w:rFonts w:ascii="Arial" w:hAnsi="Arial" w:cs="Arial"/>
                <w:sz w:val="16"/>
                <w:szCs w:val="16"/>
              </w:rPr>
            </w:pPr>
            <w:r w:rsidRPr="006F11BC">
              <w:rPr>
                <w:rFonts w:ascii="Arial" w:hAnsi="Arial" w:cs="Arial"/>
                <w:sz w:val="16"/>
                <w:szCs w:val="16"/>
              </w:rPr>
              <w:t>Pobytová</w:t>
            </w:r>
          </w:p>
        </w:tc>
        <w:tc>
          <w:tcPr>
            <w:tcW w:w="1959" w:type="dxa"/>
            <w:tcBorders>
              <w:top w:val="single" w:sz="4" w:space="0" w:color="auto"/>
              <w:bottom w:val="single" w:sz="4" w:space="0" w:color="auto"/>
              <w:right w:val="single" w:sz="4" w:space="0" w:color="auto"/>
            </w:tcBorders>
            <w:vAlign w:val="center"/>
          </w:tcPr>
          <w:p w14:paraId="35A2C302" w14:textId="70A03839" w:rsidR="006F11BC" w:rsidRPr="006F11BC" w:rsidRDefault="006F11BC" w:rsidP="006F11BC">
            <w:pPr>
              <w:rPr>
                <w:rFonts w:ascii="Arial" w:hAnsi="Arial" w:cs="Arial"/>
                <w:sz w:val="16"/>
                <w:szCs w:val="16"/>
              </w:rPr>
            </w:pPr>
            <w:r w:rsidRPr="006F11BC">
              <w:rPr>
                <w:rFonts w:ascii="Arial" w:hAnsi="Arial" w:cs="Arial"/>
                <w:sz w:val="16"/>
                <w:szCs w:val="16"/>
              </w:rPr>
              <w:t>Osoby se zdravotním postižením</w:t>
            </w:r>
          </w:p>
        </w:tc>
        <w:tc>
          <w:tcPr>
            <w:tcW w:w="2006" w:type="dxa"/>
            <w:tcBorders>
              <w:top w:val="single" w:sz="4" w:space="0" w:color="auto"/>
              <w:bottom w:val="single" w:sz="4" w:space="0" w:color="auto"/>
              <w:right w:val="single" w:sz="4" w:space="0" w:color="auto"/>
            </w:tcBorders>
            <w:vAlign w:val="center"/>
          </w:tcPr>
          <w:p w14:paraId="401FF9AB" w14:textId="4D99DF76" w:rsidR="006F11BC" w:rsidRPr="006F11BC" w:rsidRDefault="006F11BC" w:rsidP="006F11BC">
            <w:pPr>
              <w:rPr>
                <w:rFonts w:ascii="Arial" w:hAnsi="Arial" w:cs="Arial"/>
                <w:sz w:val="16"/>
                <w:szCs w:val="16"/>
              </w:rPr>
            </w:pPr>
            <w:r w:rsidRPr="006F11BC">
              <w:rPr>
                <w:rFonts w:ascii="Arial" w:hAnsi="Arial" w:cs="Arial"/>
                <w:sz w:val="16"/>
                <w:szCs w:val="16"/>
              </w:rPr>
              <w:t>Valašské Klobouky</w:t>
            </w:r>
          </w:p>
        </w:tc>
        <w:tc>
          <w:tcPr>
            <w:tcW w:w="1576" w:type="dxa"/>
            <w:tcBorders>
              <w:top w:val="single" w:sz="4" w:space="0" w:color="auto"/>
              <w:bottom w:val="single" w:sz="4" w:space="0" w:color="auto"/>
              <w:right w:val="single" w:sz="4" w:space="0" w:color="auto"/>
            </w:tcBorders>
            <w:vAlign w:val="center"/>
          </w:tcPr>
          <w:p w14:paraId="25B9FC13" w14:textId="231E9C58" w:rsidR="006F11BC" w:rsidRPr="006F11BC" w:rsidRDefault="006F11BC" w:rsidP="006F11BC">
            <w:pPr>
              <w:ind w:right="141"/>
              <w:rPr>
                <w:rFonts w:ascii="Arial" w:hAnsi="Arial" w:cs="Arial"/>
                <w:sz w:val="16"/>
                <w:szCs w:val="16"/>
              </w:rPr>
            </w:pPr>
            <w:r w:rsidRPr="006F11BC">
              <w:rPr>
                <w:rFonts w:ascii="Arial" w:hAnsi="Arial" w:cs="Arial"/>
                <w:sz w:val="16"/>
                <w:szCs w:val="16"/>
              </w:rPr>
              <w:t>Lůžko</w:t>
            </w:r>
          </w:p>
        </w:tc>
        <w:tc>
          <w:tcPr>
            <w:tcW w:w="1264" w:type="dxa"/>
            <w:tcBorders>
              <w:top w:val="single" w:sz="4" w:space="0" w:color="auto"/>
              <w:left w:val="single" w:sz="4" w:space="0" w:color="auto"/>
              <w:bottom w:val="single" w:sz="4" w:space="0" w:color="auto"/>
              <w:right w:val="single" w:sz="4" w:space="0" w:color="auto"/>
            </w:tcBorders>
            <w:vAlign w:val="center"/>
          </w:tcPr>
          <w:p w14:paraId="6B082E68" w14:textId="686093B7"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15</w:t>
            </w:r>
          </w:p>
        </w:tc>
        <w:tc>
          <w:tcPr>
            <w:tcW w:w="1560" w:type="dxa"/>
            <w:tcBorders>
              <w:top w:val="single" w:sz="4" w:space="0" w:color="auto"/>
              <w:left w:val="single" w:sz="4" w:space="0" w:color="auto"/>
              <w:bottom w:val="single" w:sz="4" w:space="0" w:color="auto"/>
              <w:right w:val="single" w:sz="4" w:space="0" w:color="auto"/>
            </w:tcBorders>
            <w:vAlign w:val="center"/>
          </w:tcPr>
          <w:p w14:paraId="33E92CE4" w14:textId="502D10B8"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1 695</w:t>
            </w:r>
            <w:r>
              <w:rPr>
                <w:rFonts w:ascii="Arial" w:hAnsi="Arial" w:cs="Arial"/>
                <w:sz w:val="16"/>
                <w:szCs w:val="16"/>
              </w:rPr>
              <w:t> </w:t>
            </w:r>
            <w:r w:rsidRPr="006F11BC">
              <w:rPr>
                <w:rFonts w:ascii="Arial" w:hAnsi="Arial" w:cs="Arial"/>
                <w:sz w:val="16"/>
                <w:szCs w:val="16"/>
              </w:rPr>
              <w:t>000</w:t>
            </w:r>
            <w:r>
              <w:rPr>
                <w:rFonts w:ascii="Arial" w:hAnsi="Arial" w:cs="Arial"/>
                <w:sz w:val="16"/>
                <w:szCs w:val="16"/>
              </w:rPr>
              <w:t>,00</w:t>
            </w:r>
          </w:p>
        </w:tc>
      </w:tr>
      <w:tr w:rsidR="006F11BC" w14:paraId="76C36C91"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39C5A21E" w14:textId="63F28123" w:rsidR="006F11BC" w:rsidRPr="006F11BC" w:rsidRDefault="006F11BC" w:rsidP="006F11BC">
            <w:pPr>
              <w:jc w:val="center"/>
              <w:rPr>
                <w:rFonts w:ascii="Arial" w:hAnsi="Arial" w:cs="Arial"/>
                <w:b/>
                <w:sz w:val="16"/>
                <w:szCs w:val="16"/>
              </w:rPr>
            </w:pPr>
            <w:r w:rsidRPr="006F11BC">
              <w:rPr>
                <w:rFonts w:ascii="Arial" w:hAnsi="Arial" w:cs="Arial"/>
                <w:b/>
                <w:sz w:val="16"/>
                <w:szCs w:val="16"/>
              </w:rPr>
              <w:t>6</w:t>
            </w:r>
          </w:p>
        </w:tc>
        <w:tc>
          <w:tcPr>
            <w:tcW w:w="1275" w:type="dxa"/>
            <w:tcBorders>
              <w:top w:val="single" w:sz="4" w:space="0" w:color="auto"/>
              <w:bottom w:val="single" w:sz="4" w:space="0" w:color="auto"/>
              <w:right w:val="single" w:sz="4" w:space="0" w:color="auto"/>
            </w:tcBorders>
            <w:vAlign w:val="center"/>
          </w:tcPr>
          <w:p w14:paraId="6DE924F3" w14:textId="6147EB26" w:rsidR="006F11BC" w:rsidRPr="006F11BC" w:rsidRDefault="006F11BC" w:rsidP="006F11BC">
            <w:pPr>
              <w:rPr>
                <w:rFonts w:ascii="Arial" w:hAnsi="Arial" w:cs="Arial"/>
                <w:sz w:val="16"/>
                <w:szCs w:val="16"/>
              </w:rPr>
            </w:pPr>
            <w:r w:rsidRPr="006F11BC">
              <w:rPr>
                <w:rFonts w:ascii="Arial" w:hAnsi="Arial" w:cs="Arial"/>
                <w:sz w:val="16"/>
                <w:szCs w:val="16"/>
              </w:rPr>
              <w:t>Sociálně terapeutické dílny</w:t>
            </w:r>
          </w:p>
        </w:tc>
        <w:tc>
          <w:tcPr>
            <w:tcW w:w="1276" w:type="dxa"/>
            <w:tcBorders>
              <w:top w:val="single" w:sz="4" w:space="0" w:color="auto"/>
              <w:bottom w:val="single" w:sz="4" w:space="0" w:color="auto"/>
              <w:right w:val="single" w:sz="4" w:space="0" w:color="auto"/>
            </w:tcBorders>
            <w:vAlign w:val="center"/>
          </w:tcPr>
          <w:p w14:paraId="243B6621" w14:textId="1F14F463" w:rsidR="006F11BC" w:rsidRPr="006F11BC" w:rsidRDefault="006F11BC" w:rsidP="006F11BC">
            <w:pPr>
              <w:rPr>
                <w:rFonts w:ascii="Arial" w:hAnsi="Arial" w:cs="Arial"/>
                <w:sz w:val="16"/>
                <w:szCs w:val="16"/>
              </w:rPr>
            </w:pPr>
            <w:r w:rsidRPr="006F11BC">
              <w:rPr>
                <w:rFonts w:ascii="Arial" w:hAnsi="Arial" w:cs="Arial"/>
                <w:sz w:val="16"/>
                <w:szCs w:val="16"/>
              </w:rPr>
              <w:t>3376388</w:t>
            </w:r>
          </w:p>
        </w:tc>
        <w:tc>
          <w:tcPr>
            <w:tcW w:w="1985" w:type="dxa"/>
            <w:tcBorders>
              <w:top w:val="single" w:sz="4" w:space="0" w:color="auto"/>
              <w:bottom w:val="single" w:sz="4" w:space="0" w:color="auto"/>
              <w:right w:val="single" w:sz="4" w:space="0" w:color="auto"/>
            </w:tcBorders>
            <w:vAlign w:val="center"/>
          </w:tcPr>
          <w:p w14:paraId="15C9D08A" w14:textId="01F03CCE" w:rsidR="006F11BC" w:rsidRPr="006F11BC" w:rsidRDefault="006F11BC" w:rsidP="006F11BC">
            <w:pPr>
              <w:rPr>
                <w:rFonts w:ascii="Arial" w:hAnsi="Arial" w:cs="Arial"/>
                <w:sz w:val="16"/>
                <w:szCs w:val="16"/>
              </w:rPr>
            </w:pPr>
            <w:r w:rsidRPr="006F11BC">
              <w:rPr>
                <w:rFonts w:ascii="Arial" w:hAnsi="Arial" w:cs="Arial"/>
                <w:sz w:val="16"/>
                <w:szCs w:val="16"/>
              </w:rPr>
              <w:t>Středisko Naděje Zlín</w:t>
            </w:r>
          </w:p>
        </w:tc>
        <w:tc>
          <w:tcPr>
            <w:tcW w:w="1842" w:type="dxa"/>
            <w:tcBorders>
              <w:top w:val="single" w:sz="4" w:space="0" w:color="auto"/>
              <w:bottom w:val="single" w:sz="4" w:space="0" w:color="auto"/>
              <w:right w:val="single" w:sz="4" w:space="0" w:color="auto"/>
            </w:tcBorders>
            <w:vAlign w:val="center"/>
          </w:tcPr>
          <w:p w14:paraId="7A51FBB8" w14:textId="78595F35" w:rsidR="006F11BC" w:rsidRPr="006F11BC" w:rsidRDefault="006F11BC" w:rsidP="006F11BC">
            <w:pPr>
              <w:rPr>
                <w:rFonts w:ascii="Arial" w:hAnsi="Arial" w:cs="Arial"/>
                <w:sz w:val="16"/>
                <w:szCs w:val="16"/>
              </w:rPr>
            </w:pPr>
            <w:r w:rsidRPr="006F11BC">
              <w:rPr>
                <w:rFonts w:ascii="Arial" w:hAnsi="Arial" w:cs="Arial"/>
                <w:sz w:val="16"/>
                <w:szCs w:val="16"/>
              </w:rPr>
              <w:t>Ambulantní</w:t>
            </w:r>
          </w:p>
        </w:tc>
        <w:tc>
          <w:tcPr>
            <w:tcW w:w="1959" w:type="dxa"/>
            <w:tcBorders>
              <w:top w:val="single" w:sz="4" w:space="0" w:color="auto"/>
              <w:bottom w:val="single" w:sz="4" w:space="0" w:color="auto"/>
              <w:right w:val="single" w:sz="4" w:space="0" w:color="auto"/>
            </w:tcBorders>
            <w:vAlign w:val="center"/>
          </w:tcPr>
          <w:p w14:paraId="3632CDE3" w14:textId="17A67330" w:rsidR="006F11BC" w:rsidRPr="006F11BC" w:rsidRDefault="006F11BC" w:rsidP="006F11BC">
            <w:pPr>
              <w:rPr>
                <w:rFonts w:ascii="Arial" w:hAnsi="Arial" w:cs="Arial"/>
                <w:sz w:val="16"/>
                <w:szCs w:val="16"/>
              </w:rPr>
            </w:pPr>
            <w:r w:rsidRPr="006F11BC">
              <w:rPr>
                <w:rFonts w:ascii="Arial" w:hAnsi="Arial" w:cs="Arial"/>
                <w:sz w:val="16"/>
                <w:szCs w:val="16"/>
              </w:rPr>
              <w:t>Osoby se zdravotním postižením</w:t>
            </w:r>
          </w:p>
        </w:tc>
        <w:tc>
          <w:tcPr>
            <w:tcW w:w="2006" w:type="dxa"/>
            <w:tcBorders>
              <w:top w:val="single" w:sz="4" w:space="0" w:color="auto"/>
              <w:bottom w:val="single" w:sz="4" w:space="0" w:color="auto"/>
              <w:right w:val="single" w:sz="4" w:space="0" w:color="auto"/>
            </w:tcBorders>
            <w:vAlign w:val="center"/>
          </w:tcPr>
          <w:p w14:paraId="561143AC" w14:textId="679DB773" w:rsidR="006F11BC" w:rsidRPr="006F11BC" w:rsidRDefault="006F11BC" w:rsidP="006F11BC">
            <w:pPr>
              <w:rPr>
                <w:rFonts w:ascii="Arial" w:hAnsi="Arial" w:cs="Arial"/>
                <w:sz w:val="16"/>
                <w:szCs w:val="16"/>
              </w:rPr>
            </w:pPr>
            <w:r w:rsidRPr="006F11BC">
              <w:rPr>
                <w:rFonts w:ascii="Arial" w:hAnsi="Arial" w:cs="Arial"/>
                <w:sz w:val="16"/>
                <w:szCs w:val="16"/>
              </w:rPr>
              <w:t>Zlín</w:t>
            </w:r>
          </w:p>
        </w:tc>
        <w:tc>
          <w:tcPr>
            <w:tcW w:w="1576" w:type="dxa"/>
            <w:tcBorders>
              <w:top w:val="single" w:sz="4" w:space="0" w:color="auto"/>
              <w:bottom w:val="single" w:sz="4" w:space="0" w:color="auto"/>
              <w:right w:val="single" w:sz="4" w:space="0" w:color="auto"/>
            </w:tcBorders>
            <w:vAlign w:val="center"/>
          </w:tcPr>
          <w:p w14:paraId="6F5DFEE3" w14:textId="2893ADC4" w:rsidR="006F11BC" w:rsidRPr="006F11BC" w:rsidRDefault="006F11BC" w:rsidP="006F11BC">
            <w:pPr>
              <w:ind w:right="141"/>
              <w:rPr>
                <w:rFonts w:ascii="Arial" w:hAnsi="Arial" w:cs="Arial"/>
                <w:sz w:val="16"/>
                <w:szCs w:val="16"/>
              </w:rPr>
            </w:pPr>
            <w:r w:rsidRPr="006F11BC">
              <w:rPr>
                <w:rFonts w:ascii="Arial" w:hAnsi="Arial" w:cs="Arial"/>
                <w:sz w:val="16"/>
                <w:szCs w:val="16"/>
              </w:rPr>
              <w:t>Průměrný přepočtený úvazek PP</w:t>
            </w:r>
          </w:p>
        </w:tc>
        <w:tc>
          <w:tcPr>
            <w:tcW w:w="1264" w:type="dxa"/>
            <w:tcBorders>
              <w:top w:val="single" w:sz="4" w:space="0" w:color="auto"/>
              <w:left w:val="single" w:sz="4" w:space="0" w:color="auto"/>
              <w:bottom w:val="single" w:sz="4" w:space="0" w:color="auto"/>
              <w:right w:val="single" w:sz="4" w:space="0" w:color="auto"/>
            </w:tcBorders>
            <w:vAlign w:val="center"/>
          </w:tcPr>
          <w:p w14:paraId="04084FC4" w14:textId="447DFCC3"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11,62</w:t>
            </w:r>
          </w:p>
        </w:tc>
        <w:tc>
          <w:tcPr>
            <w:tcW w:w="1560" w:type="dxa"/>
            <w:tcBorders>
              <w:top w:val="single" w:sz="4" w:space="0" w:color="auto"/>
              <w:left w:val="single" w:sz="4" w:space="0" w:color="auto"/>
              <w:bottom w:val="single" w:sz="4" w:space="0" w:color="auto"/>
              <w:right w:val="single" w:sz="4" w:space="0" w:color="auto"/>
            </w:tcBorders>
            <w:vAlign w:val="center"/>
          </w:tcPr>
          <w:p w14:paraId="4DE8CB13" w14:textId="04700AAE"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2 100</w:t>
            </w:r>
            <w:r>
              <w:rPr>
                <w:rFonts w:ascii="Arial" w:hAnsi="Arial" w:cs="Arial"/>
                <w:sz w:val="16"/>
                <w:szCs w:val="16"/>
              </w:rPr>
              <w:t> </w:t>
            </w:r>
            <w:r w:rsidRPr="006F11BC">
              <w:rPr>
                <w:rFonts w:ascii="Arial" w:hAnsi="Arial" w:cs="Arial"/>
                <w:sz w:val="16"/>
                <w:szCs w:val="16"/>
              </w:rPr>
              <w:t>000</w:t>
            </w:r>
            <w:r>
              <w:rPr>
                <w:rFonts w:ascii="Arial" w:hAnsi="Arial" w:cs="Arial"/>
                <w:sz w:val="16"/>
                <w:szCs w:val="16"/>
              </w:rPr>
              <w:t>,00</w:t>
            </w:r>
          </w:p>
        </w:tc>
      </w:tr>
      <w:tr w:rsidR="006F11BC" w14:paraId="73DCB254"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29E0C6DB" w14:textId="695101D7" w:rsidR="006F11BC" w:rsidRPr="006F11BC" w:rsidRDefault="006F11BC" w:rsidP="006F11BC">
            <w:pPr>
              <w:jc w:val="center"/>
              <w:rPr>
                <w:rFonts w:ascii="Arial" w:hAnsi="Arial" w:cs="Arial"/>
                <w:b/>
                <w:sz w:val="16"/>
                <w:szCs w:val="16"/>
              </w:rPr>
            </w:pPr>
            <w:r w:rsidRPr="006F11BC">
              <w:rPr>
                <w:rFonts w:ascii="Arial" w:hAnsi="Arial" w:cs="Arial"/>
                <w:b/>
                <w:sz w:val="16"/>
                <w:szCs w:val="16"/>
              </w:rPr>
              <w:t>7</w:t>
            </w:r>
          </w:p>
        </w:tc>
        <w:tc>
          <w:tcPr>
            <w:tcW w:w="1275" w:type="dxa"/>
            <w:tcBorders>
              <w:top w:val="single" w:sz="4" w:space="0" w:color="auto"/>
              <w:bottom w:val="single" w:sz="4" w:space="0" w:color="auto"/>
              <w:right w:val="single" w:sz="4" w:space="0" w:color="auto"/>
            </w:tcBorders>
            <w:vAlign w:val="center"/>
          </w:tcPr>
          <w:p w14:paraId="2F398791" w14:textId="073A5D91" w:rsidR="006F11BC" w:rsidRPr="006F11BC" w:rsidRDefault="006F11BC" w:rsidP="006F11BC">
            <w:pPr>
              <w:rPr>
                <w:rFonts w:ascii="Arial" w:hAnsi="Arial" w:cs="Arial"/>
                <w:sz w:val="16"/>
                <w:szCs w:val="16"/>
              </w:rPr>
            </w:pPr>
            <w:r w:rsidRPr="006F11BC">
              <w:rPr>
                <w:rFonts w:ascii="Arial" w:hAnsi="Arial" w:cs="Arial"/>
                <w:sz w:val="16"/>
                <w:szCs w:val="16"/>
              </w:rPr>
              <w:t>Chráněné bydlení</w:t>
            </w:r>
          </w:p>
        </w:tc>
        <w:tc>
          <w:tcPr>
            <w:tcW w:w="1276" w:type="dxa"/>
            <w:tcBorders>
              <w:top w:val="single" w:sz="4" w:space="0" w:color="auto"/>
              <w:bottom w:val="single" w:sz="4" w:space="0" w:color="auto"/>
              <w:right w:val="single" w:sz="4" w:space="0" w:color="auto"/>
            </w:tcBorders>
            <w:vAlign w:val="center"/>
          </w:tcPr>
          <w:p w14:paraId="4D128E81" w14:textId="6524343A" w:rsidR="006F11BC" w:rsidRPr="006F11BC" w:rsidRDefault="006F11BC" w:rsidP="006F11BC">
            <w:pPr>
              <w:rPr>
                <w:rFonts w:ascii="Arial" w:hAnsi="Arial" w:cs="Arial"/>
                <w:sz w:val="16"/>
                <w:szCs w:val="16"/>
              </w:rPr>
            </w:pPr>
            <w:r w:rsidRPr="006F11BC">
              <w:rPr>
                <w:rFonts w:ascii="Arial" w:hAnsi="Arial" w:cs="Arial"/>
                <w:sz w:val="16"/>
                <w:szCs w:val="16"/>
              </w:rPr>
              <w:t>3675784</w:t>
            </w:r>
          </w:p>
        </w:tc>
        <w:tc>
          <w:tcPr>
            <w:tcW w:w="1985" w:type="dxa"/>
            <w:tcBorders>
              <w:top w:val="single" w:sz="4" w:space="0" w:color="auto"/>
              <w:bottom w:val="single" w:sz="4" w:space="0" w:color="auto"/>
              <w:right w:val="single" w:sz="4" w:space="0" w:color="auto"/>
            </w:tcBorders>
            <w:vAlign w:val="center"/>
          </w:tcPr>
          <w:p w14:paraId="5BF1D9FB" w14:textId="38F489E2" w:rsidR="006F11BC" w:rsidRPr="006F11BC" w:rsidRDefault="006F11BC" w:rsidP="006F11BC">
            <w:pPr>
              <w:rPr>
                <w:rFonts w:ascii="Arial" w:hAnsi="Arial" w:cs="Arial"/>
                <w:sz w:val="16"/>
                <w:szCs w:val="16"/>
              </w:rPr>
            </w:pPr>
            <w:r w:rsidRPr="006F11BC">
              <w:rPr>
                <w:rFonts w:ascii="Arial" w:hAnsi="Arial" w:cs="Arial"/>
                <w:sz w:val="16"/>
                <w:szCs w:val="16"/>
              </w:rPr>
              <w:t>Dům Naděje Otrokovice</w:t>
            </w:r>
          </w:p>
        </w:tc>
        <w:tc>
          <w:tcPr>
            <w:tcW w:w="1842" w:type="dxa"/>
            <w:tcBorders>
              <w:top w:val="single" w:sz="4" w:space="0" w:color="auto"/>
              <w:bottom w:val="single" w:sz="4" w:space="0" w:color="auto"/>
              <w:right w:val="single" w:sz="4" w:space="0" w:color="auto"/>
            </w:tcBorders>
            <w:vAlign w:val="center"/>
          </w:tcPr>
          <w:p w14:paraId="68445A55" w14:textId="185A83C3" w:rsidR="006F11BC" w:rsidRPr="006F11BC" w:rsidRDefault="006F11BC" w:rsidP="006F11BC">
            <w:pPr>
              <w:rPr>
                <w:rFonts w:ascii="Arial" w:hAnsi="Arial" w:cs="Arial"/>
                <w:sz w:val="16"/>
                <w:szCs w:val="16"/>
              </w:rPr>
            </w:pPr>
            <w:r w:rsidRPr="006F11BC">
              <w:rPr>
                <w:rFonts w:ascii="Arial" w:hAnsi="Arial" w:cs="Arial"/>
                <w:sz w:val="16"/>
                <w:szCs w:val="16"/>
              </w:rPr>
              <w:t>Pobytová</w:t>
            </w:r>
          </w:p>
        </w:tc>
        <w:tc>
          <w:tcPr>
            <w:tcW w:w="1959" w:type="dxa"/>
            <w:tcBorders>
              <w:top w:val="single" w:sz="4" w:space="0" w:color="auto"/>
              <w:bottom w:val="single" w:sz="4" w:space="0" w:color="auto"/>
              <w:right w:val="single" w:sz="4" w:space="0" w:color="auto"/>
            </w:tcBorders>
            <w:vAlign w:val="center"/>
          </w:tcPr>
          <w:p w14:paraId="214A5B27" w14:textId="637D8F74" w:rsidR="006F11BC" w:rsidRPr="006F11BC" w:rsidRDefault="006F11BC" w:rsidP="006F11BC">
            <w:pPr>
              <w:rPr>
                <w:rFonts w:ascii="Arial" w:hAnsi="Arial" w:cs="Arial"/>
                <w:sz w:val="16"/>
                <w:szCs w:val="16"/>
              </w:rPr>
            </w:pPr>
            <w:r w:rsidRPr="006F11BC">
              <w:rPr>
                <w:rFonts w:ascii="Arial" w:hAnsi="Arial" w:cs="Arial"/>
                <w:sz w:val="16"/>
                <w:szCs w:val="16"/>
              </w:rPr>
              <w:t>Osoby se zdravotním postižením</w:t>
            </w:r>
          </w:p>
        </w:tc>
        <w:tc>
          <w:tcPr>
            <w:tcW w:w="2006" w:type="dxa"/>
            <w:tcBorders>
              <w:top w:val="single" w:sz="4" w:space="0" w:color="auto"/>
              <w:bottom w:val="single" w:sz="4" w:space="0" w:color="auto"/>
              <w:right w:val="single" w:sz="4" w:space="0" w:color="auto"/>
            </w:tcBorders>
            <w:vAlign w:val="center"/>
          </w:tcPr>
          <w:p w14:paraId="3C97ACB4" w14:textId="62F53725" w:rsidR="006F11BC" w:rsidRPr="006F11BC" w:rsidRDefault="006F11BC" w:rsidP="006F11BC">
            <w:pPr>
              <w:rPr>
                <w:rFonts w:ascii="Arial" w:hAnsi="Arial" w:cs="Arial"/>
                <w:sz w:val="16"/>
                <w:szCs w:val="16"/>
              </w:rPr>
            </w:pPr>
            <w:r w:rsidRPr="006F11BC">
              <w:rPr>
                <w:rFonts w:ascii="Arial" w:hAnsi="Arial" w:cs="Arial"/>
                <w:sz w:val="16"/>
                <w:szCs w:val="16"/>
              </w:rPr>
              <w:t>Otrokovice</w:t>
            </w:r>
          </w:p>
        </w:tc>
        <w:tc>
          <w:tcPr>
            <w:tcW w:w="1576" w:type="dxa"/>
            <w:tcBorders>
              <w:top w:val="single" w:sz="4" w:space="0" w:color="auto"/>
              <w:bottom w:val="single" w:sz="4" w:space="0" w:color="auto"/>
              <w:right w:val="single" w:sz="4" w:space="0" w:color="auto"/>
            </w:tcBorders>
            <w:vAlign w:val="center"/>
          </w:tcPr>
          <w:p w14:paraId="21C93E73" w14:textId="745176C2" w:rsidR="006F11BC" w:rsidRPr="006F11BC" w:rsidRDefault="006F11BC" w:rsidP="006F11BC">
            <w:pPr>
              <w:ind w:right="141"/>
              <w:rPr>
                <w:rFonts w:ascii="Arial" w:hAnsi="Arial" w:cs="Arial"/>
                <w:sz w:val="16"/>
                <w:szCs w:val="16"/>
              </w:rPr>
            </w:pPr>
            <w:r w:rsidRPr="006F11BC">
              <w:rPr>
                <w:rFonts w:ascii="Arial" w:hAnsi="Arial" w:cs="Arial"/>
                <w:sz w:val="16"/>
                <w:szCs w:val="16"/>
              </w:rPr>
              <w:t>Lůžko</w:t>
            </w:r>
          </w:p>
        </w:tc>
        <w:tc>
          <w:tcPr>
            <w:tcW w:w="1264" w:type="dxa"/>
            <w:tcBorders>
              <w:top w:val="single" w:sz="4" w:space="0" w:color="auto"/>
              <w:left w:val="single" w:sz="4" w:space="0" w:color="auto"/>
              <w:bottom w:val="single" w:sz="4" w:space="0" w:color="auto"/>
              <w:right w:val="single" w:sz="4" w:space="0" w:color="auto"/>
            </w:tcBorders>
            <w:vAlign w:val="center"/>
          </w:tcPr>
          <w:p w14:paraId="406D7913" w14:textId="7445D507"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24</w:t>
            </w:r>
          </w:p>
        </w:tc>
        <w:tc>
          <w:tcPr>
            <w:tcW w:w="1560" w:type="dxa"/>
            <w:tcBorders>
              <w:top w:val="single" w:sz="4" w:space="0" w:color="auto"/>
              <w:left w:val="single" w:sz="4" w:space="0" w:color="auto"/>
              <w:bottom w:val="single" w:sz="4" w:space="0" w:color="auto"/>
              <w:right w:val="single" w:sz="4" w:space="0" w:color="auto"/>
            </w:tcBorders>
            <w:vAlign w:val="center"/>
          </w:tcPr>
          <w:p w14:paraId="42CAA9B1" w14:textId="1398B2CE"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2 608</w:t>
            </w:r>
            <w:r>
              <w:rPr>
                <w:rFonts w:ascii="Arial" w:hAnsi="Arial" w:cs="Arial"/>
                <w:sz w:val="16"/>
                <w:szCs w:val="16"/>
              </w:rPr>
              <w:t> </w:t>
            </w:r>
            <w:r w:rsidRPr="006F11BC">
              <w:rPr>
                <w:rFonts w:ascii="Arial" w:hAnsi="Arial" w:cs="Arial"/>
                <w:sz w:val="16"/>
                <w:szCs w:val="16"/>
              </w:rPr>
              <w:t>900</w:t>
            </w:r>
            <w:r>
              <w:rPr>
                <w:rFonts w:ascii="Arial" w:hAnsi="Arial" w:cs="Arial"/>
                <w:sz w:val="16"/>
                <w:szCs w:val="16"/>
              </w:rPr>
              <w:t>,00</w:t>
            </w:r>
          </w:p>
        </w:tc>
      </w:tr>
      <w:tr w:rsidR="006F11BC" w14:paraId="594DD6A3"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155A8C1C" w14:textId="63C0850C" w:rsidR="006F11BC" w:rsidRPr="006F11BC" w:rsidRDefault="006F11BC" w:rsidP="006F11BC">
            <w:pPr>
              <w:jc w:val="center"/>
              <w:rPr>
                <w:rFonts w:ascii="Arial" w:hAnsi="Arial" w:cs="Arial"/>
                <w:b/>
                <w:sz w:val="16"/>
                <w:szCs w:val="16"/>
              </w:rPr>
            </w:pPr>
            <w:r w:rsidRPr="006F11BC">
              <w:rPr>
                <w:rFonts w:ascii="Arial" w:hAnsi="Arial" w:cs="Arial"/>
                <w:b/>
                <w:sz w:val="16"/>
                <w:szCs w:val="16"/>
              </w:rPr>
              <w:lastRenderedPageBreak/>
              <w:t>8</w:t>
            </w:r>
          </w:p>
        </w:tc>
        <w:tc>
          <w:tcPr>
            <w:tcW w:w="1275" w:type="dxa"/>
            <w:tcBorders>
              <w:top w:val="single" w:sz="4" w:space="0" w:color="auto"/>
              <w:bottom w:val="single" w:sz="4" w:space="0" w:color="auto"/>
              <w:right w:val="single" w:sz="4" w:space="0" w:color="auto"/>
            </w:tcBorders>
            <w:vAlign w:val="center"/>
          </w:tcPr>
          <w:p w14:paraId="4DBDC4DE" w14:textId="47C819A7" w:rsidR="006F11BC" w:rsidRPr="006F11BC" w:rsidRDefault="006F11BC" w:rsidP="006F11BC">
            <w:pPr>
              <w:rPr>
                <w:rFonts w:ascii="Arial" w:hAnsi="Arial" w:cs="Arial"/>
                <w:sz w:val="16"/>
                <w:szCs w:val="16"/>
              </w:rPr>
            </w:pPr>
            <w:r w:rsidRPr="006F11BC">
              <w:rPr>
                <w:rFonts w:ascii="Arial" w:hAnsi="Arial" w:cs="Arial"/>
                <w:sz w:val="16"/>
                <w:szCs w:val="16"/>
              </w:rPr>
              <w:t>Domovy se zvláštním režimem</w:t>
            </w:r>
          </w:p>
        </w:tc>
        <w:tc>
          <w:tcPr>
            <w:tcW w:w="1276" w:type="dxa"/>
            <w:tcBorders>
              <w:top w:val="single" w:sz="4" w:space="0" w:color="auto"/>
              <w:bottom w:val="single" w:sz="4" w:space="0" w:color="auto"/>
              <w:right w:val="single" w:sz="4" w:space="0" w:color="auto"/>
            </w:tcBorders>
            <w:vAlign w:val="center"/>
          </w:tcPr>
          <w:p w14:paraId="0436696B" w14:textId="628CF7D4" w:rsidR="006F11BC" w:rsidRPr="006F11BC" w:rsidRDefault="006F11BC" w:rsidP="006F11BC">
            <w:pPr>
              <w:rPr>
                <w:rFonts w:ascii="Arial" w:hAnsi="Arial" w:cs="Arial"/>
                <w:sz w:val="16"/>
                <w:szCs w:val="16"/>
              </w:rPr>
            </w:pPr>
            <w:r w:rsidRPr="006F11BC">
              <w:rPr>
                <w:rFonts w:ascii="Arial" w:hAnsi="Arial" w:cs="Arial"/>
                <w:sz w:val="16"/>
                <w:szCs w:val="16"/>
              </w:rPr>
              <w:t>4417297</w:t>
            </w:r>
          </w:p>
        </w:tc>
        <w:tc>
          <w:tcPr>
            <w:tcW w:w="1985" w:type="dxa"/>
            <w:tcBorders>
              <w:top w:val="single" w:sz="4" w:space="0" w:color="auto"/>
              <w:bottom w:val="single" w:sz="4" w:space="0" w:color="auto"/>
              <w:right w:val="single" w:sz="4" w:space="0" w:color="auto"/>
            </w:tcBorders>
            <w:vAlign w:val="center"/>
          </w:tcPr>
          <w:p w14:paraId="3676EF82" w14:textId="550C69E3" w:rsidR="006F11BC" w:rsidRPr="006F11BC" w:rsidRDefault="006F11BC" w:rsidP="006F11BC">
            <w:pPr>
              <w:rPr>
                <w:rFonts w:ascii="Arial" w:hAnsi="Arial" w:cs="Arial"/>
                <w:sz w:val="16"/>
                <w:szCs w:val="16"/>
              </w:rPr>
            </w:pPr>
            <w:r w:rsidRPr="006F11BC">
              <w:rPr>
                <w:rFonts w:ascii="Arial" w:hAnsi="Arial" w:cs="Arial"/>
                <w:sz w:val="16"/>
                <w:szCs w:val="16"/>
              </w:rPr>
              <w:t>Dům pokojného stáří Naděje Nedašov</w:t>
            </w:r>
          </w:p>
        </w:tc>
        <w:tc>
          <w:tcPr>
            <w:tcW w:w="1842" w:type="dxa"/>
            <w:tcBorders>
              <w:top w:val="single" w:sz="4" w:space="0" w:color="auto"/>
              <w:bottom w:val="single" w:sz="4" w:space="0" w:color="auto"/>
              <w:right w:val="single" w:sz="4" w:space="0" w:color="auto"/>
            </w:tcBorders>
            <w:vAlign w:val="center"/>
          </w:tcPr>
          <w:p w14:paraId="0BCF2C91" w14:textId="58471C8E" w:rsidR="006F11BC" w:rsidRPr="006F11BC" w:rsidRDefault="006F11BC" w:rsidP="006F11BC">
            <w:pPr>
              <w:rPr>
                <w:rFonts w:ascii="Arial" w:hAnsi="Arial" w:cs="Arial"/>
                <w:sz w:val="16"/>
                <w:szCs w:val="16"/>
              </w:rPr>
            </w:pPr>
            <w:r w:rsidRPr="006F11BC">
              <w:rPr>
                <w:rFonts w:ascii="Arial" w:hAnsi="Arial" w:cs="Arial"/>
                <w:sz w:val="16"/>
                <w:szCs w:val="16"/>
              </w:rPr>
              <w:t>Pobytová</w:t>
            </w:r>
          </w:p>
        </w:tc>
        <w:tc>
          <w:tcPr>
            <w:tcW w:w="1959" w:type="dxa"/>
            <w:tcBorders>
              <w:top w:val="single" w:sz="4" w:space="0" w:color="auto"/>
              <w:bottom w:val="single" w:sz="4" w:space="0" w:color="auto"/>
              <w:right w:val="single" w:sz="4" w:space="0" w:color="auto"/>
            </w:tcBorders>
            <w:vAlign w:val="center"/>
          </w:tcPr>
          <w:p w14:paraId="25ED5E17" w14:textId="3B1F4D6D" w:rsidR="006F11BC" w:rsidRPr="006F11BC" w:rsidRDefault="006F11BC" w:rsidP="006F11BC">
            <w:pPr>
              <w:ind w:left="122"/>
              <w:rPr>
                <w:rFonts w:ascii="Arial" w:hAnsi="Arial" w:cs="Arial"/>
                <w:sz w:val="16"/>
                <w:szCs w:val="16"/>
              </w:rPr>
            </w:pPr>
            <w:r w:rsidRPr="006F11BC">
              <w:rPr>
                <w:rFonts w:ascii="Arial" w:hAnsi="Arial" w:cs="Arial"/>
                <w:sz w:val="16"/>
                <w:szCs w:val="16"/>
              </w:rPr>
              <w:t>Senioři</w:t>
            </w:r>
          </w:p>
        </w:tc>
        <w:tc>
          <w:tcPr>
            <w:tcW w:w="2006" w:type="dxa"/>
            <w:tcBorders>
              <w:top w:val="single" w:sz="4" w:space="0" w:color="auto"/>
              <w:bottom w:val="single" w:sz="4" w:space="0" w:color="auto"/>
              <w:right w:val="single" w:sz="4" w:space="0" w:color="auto"/>
            </w:tcBorders>
            <w:vAlign w:val="center"/>
          </w:tcPr>
          <w:p w14:paraId="1E3F60AA" w14:textId="3AEA2045" w:rsidR="006F11BC" w:rsidRPr="006F11BC" w:rsidRDefault="006F11BC" w:rsidP="006F11BC">
            <w:pPr>
              <w:rPr>
                <w:rFonts w:ascii="Arial" w:hAnsi="Arial" w:cs="Arial"/>
                <w:sz w:val="16"/>
                <w:szCs w:val="16"/>
              </w:rPr>
            </w:pPr>
            <w:r w:rsidRPr="006F11BC">
              <w:rPr>
                <w:rFonts w:ascii="Arial" w:hAnsi="Arial" w:cs="Arial"/>
                <w:sz w:val="16"/>
                <w:szCs w:val="16"/>
              </w:rPr>
              <w:t>Valašské Klobouky</w:t>
            </w:r>
          </w:p>
        </w:tc>
        <w:tc>
          <w:tcPr>
            <w:tcW w:w="1576" w:type="dxa"/>
            <w:tcBorders>
              <w:top w:val="single" w:sz="4" w:space="0" w:color="auto"/>
              <w:bottom w:val="single" w:sz="4" w:space="0" w:color="auto"/>
              <w:right w:val="single" w:sz="4" w:space="0" w:color="auto"/>
            </w:tcBorders>
            <w:vAlign w:val="center"/>
          </w:tcPr>
          <w:p w14:paraId="006C181A" w14:textId="42E4D075" w:rsidR="006F11BC" w:rsidRPr="006F11BC" w:rsidRDefault="006F11BC" w:rsidP="006F11BC">
            <w:pPr>
              <w:ind w:right="141"/>
              <w:rPr>
                <w:rFonts w:ascii="Arial" w:hAnsi="Arial" w:cs="Arial"/>
                <w:sz w:val="16"/>
                <w:szCs w:val="16"/>
              </w:rPr>
            </w:pPr>
            <w:r w:rsidRPr="006F11BC">
              <w:rPr>
                <w:rFonts w:ascii="Arial" w:hAnsi="Arial" w:cs="Arial"/>
                <w:sz w:val="16"/>
                <w:szCs w:val="16"/>
              </w:rPr>
              <w:t>Lůžko</w:t>
            </w:r>
          </w:p>
        </w:tc>
        <w:tc>
          <w:tcPr>
            <w:tcW w:w="1264" w:type="dxa"/>
            <w:tcBorders>
              <w:top w:val="single" w:sz="4" w:space="0" w:color="auto"/>
              <w:left w:val="single" w:sz="4" w:space="0" w:color="auto"/>
              <w:bottom w:val="single" w:sz="4" w:space="0" w:color="auto"/>
              <w:right w:val="single" w:sz="4" w:space="0" w:color="auto"/>
            </w:tcBorders>
            <w:vAlign w:val="center"/>
          </w:tcPr>
          <w:p w14:paraId="4DE555B7" w14:textId="5F1DE6BA"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22</w:t>
            </w:r>
          </w:p>
        </w:tc>
        <w:tc>
          <w:tcPr>
            <w:tcW w:w="1560" w:type="dxa"/>
            <w:tcBorders>
              <w:top w:val="single" w:sz="4" w:space="0" w:color="auto"/>
              <w:left w:val="single" w:sz="4" w:space="0" w:color="auto"/>
              <w:bottom w:val="single" w:sz="4" w:space="0" w:color="auto"/>
              <w:right w:val="single" w:sz="4" w:space="0" w:color="auto"/>
            </w:tcBorders>
            <w:vAlign w:val="center"/>
          </w:tcPr>
          <w:p w14:paraId="72163721" w14:textId="54055B49"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1 630</w:t>
            </w:r>
            <w:r>
              <w:rPr>
                <w:rFonts w:ascii="Arial" w:hAnsi="Arial" w:cs="Arial"/>
                <w:sz w:val="16"/>
                <w:szCs w:val="16"/>
              </w:rPr>
              <w:t> </w:t>
            </w:r>
            <w:r w:rsidRPr="006F11BC">
              <w:rPr>
                <w:rFonts w:ascii="Arial" w:hAnsi="Arial" w:cs="Arial"/>
                <w:sz w:val="16"/>
                <w:szCs w:val="16"/>
              </w:rPr>
              <w:t>000</w:t>
            </w:r>
            <w:r>
              <w:rPr>
                <w:rFonts w:ascii="Arial" w:hAnsi="Arial" w:cs="Arial"/>
                <w:sz w:val="16"/>
                <w:szCs w:val="16"/>
              </w:rPr>
              <w:t>,00</w:t>
            </w:r>
          </w:p>
        </w:tc>
      </w:tr>
      <w:tr w:rsidR="006F11BC" w14:paraId="1237CA24"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1E69EA8B" w14:textId="6BBD056F" w:rsidR="006F11BC" w:rsidRPr="006F11BC" w:rsidRDefault="006F11BC" w:rsidP="006F11BC">
            <w:pPr>
              <w:jc w:val="center"/>
              <w:rPr>
                <w:rFonts w:ascii="Arial" w:hAnsi="Arial" w:cs="Arial"/>
                <w:b/>
                <w:sz w:val="16"/>
                <w:szCs w:val="16"/>
              </w:rPr>
            </w:pPr>
            <w:r w:rsidRPr="006F11BC">
              <w:rPr>
                <w:rFonts w:ascii="Arial" w:hAnsi="Arial" w:cs="Arial"/>
                <w:b/>
                <w:sz w:val="16"/>
                <w:szCs w:val="16"/>
              </w:rPr>
              <w:t>9</w:t>
            </w:r>
          </w:p>
        </w:tc>
        <w:tc>
          <w:tcPr>
            <w:tcW w:w="1275" w:type="dxa"/>
            <w:tcBorders>
              <w:top w:val="single" w:sz="4" w:space="0" w:color="auto"/>
              <w:bottom w:val="single" w:sz="4" w:space="0" w:color="auto"/>
              <w:right w:val="single" w:sz="4" w:space="0" w:color="auto"/>
            </w:tcBorders>
            <w:vAlign w:val="center"/>
          </w:tcPr>
          <w:p w14:paraId="6057A086" w14:textId="6348AEEA" w:rsidR="006F11BC" w:rsidRPr="006F11BC" w:rsidRDefault="006F11BC" w:rsidP="006F11BC">
            <w:pPr>
              <w:rPr>
                <w:rFonts w:ascii="Arial" w:hAnsi="Arial" w:cs="Arial"/>
                <w:sz w:val="16"/>
                <w:szCs w:val="16"/>
              </w:rPr>
            </w:pPr>
            <w:r w:rsidRPr="006F11BC">
              <w:rPr>
                <w:rFonts w:ascii="Arial" w:hAnsi="Arial" w:cs="Arial"/>
                <w:sz w:val="16"/>
                <w:szCs w:val="16"/>
              </w:rPr>
              <w:t>Domovy pro seniory</w:t>
            </w:r>
          </w:p>
        </w:tc>
        <w:tc>
          <w:tcPr>
            <w:tcW w:w="1276" w:type="dxa"/>
            <w:tcBorders>
              <w:top w:val="single" w:sz="4" w:space="0" w:color="auto"/>
              <w:bottom w:val="single" w:sz="4" w:space="0" w:color="auto"/>
              <w:right w:val="single" w:sz="4" w:space="0" w:color="auto"/>
            </w:tcBorders>
            <w:vAlign w:val="center"/>
          </w:tcPr>
          <w:p w14:paraId="1CB62034" w14:textId="766B27E3" w:rsidR="006F11BC" w:rsidRPr="006F11BC" w:rsidRDefault="006F11BC" w:rsidP="006F11BC">
            <w:pPr>
              <w:rPr>
                <w:rFonts w:ascii="Arial" w:hAnsi="Arial" w:cs="Arial"/>
                <w:sz w:val="16"/>
                <w:szCs w:val="16"/>
              </w:rPr>
            </w:pPr>
            <w:r w:rsidRPr="006F11BC">
              <w:rPr>
                <w:rFonts w:ascii="Arial" w:hAnsi="Arial" w:cs="Arial"/>
                <w:sz w:val="16"/>
                <w:szCs w:val="16"/>
              </w:rPr>
              <w:t>4961534</w:t>
            </w:r>
          </w:p>
        </w:tc>
        <w:tc>
          <w:tcPr>
            <w:tcW w:w="1985" w:type="dxa"/>
            <w:tcBorders>
              <w:top w:val="single" w:sz="4" w:space="0" w:color="auto"/>
              <w:bottom w:val="single" w:sz="4" w:space="0" w:color="auto"/>
              <w:right w:val="single" w:sz="4" w:space="0" w:color="auto"/>
            </w:tcBorders>
            <w:vAlign w:val="center"/>
          </w:tcPr>
          <w:p w14:paraId="11FE3778" w14:textId="07E62A5A" w:rsidR="006F11BC" w:rsidRPr="006F11BC" w:rsidRDefault="006F11BC" w:rsidP="006F11BC">
            <w:pPr>
              <w:rPr>
                <w:rFonts w:ascii="Arial" w:hAnsi="Arial" w:cs="Arial"/>
                <w:sz w:val="16"/>
                <w:szCs w:val="16"/>
              </w:rPr>
            </w:pPr>
            <w:r w:rsidRPr="006F11BC">
              <w:rPr>
                <w:rFonts w:ascii="Arial" w:hAnsi="Arial" w:cs="Arial"/>
                <w:sz w:val="16"/>
                <w:szCs w:val="16"/>
              </w:rPr>
              <w:t>Dům pokojného stáří Naděje Nedašov</w:t>
            </w:r>
          </w:p>
        </w:tc>
        <w:tc>
          <w:tcPr>
            <w:tcW w:w="1842" w:type="dxa"/>
            <w:tcBorders>
              <w:top w:val="single" w:sz="4" w:space="0" w:color="auto"/>
              <w:bottom w:val="single" w:sz="4" w:space="0" w:color="auto"/>
              <w:right w:val="single" w:sz="4" w:space="0" w:color="auto"/>
            </w:tcBorders>
            <w:vAlign w:val="center"/>
          </w:tcPr>
          <w:p w14:paraId="60A2C27F" w14:textId="23F36DFA" w:rsidR="006F11BC" w:rsidRPr="006F11BC" w:rsidRDefault="006F11BC" w:rsidP="006F11BC">
            <w:pPr>
              <w:rPr>
                <w:rFonts w:ascii="Arial" w:hAnsi="Arial" w:cs="Arial"/>
                <w:sz w:val="16"/>
                <w:szCs w:val="16"/>
              </w:rPr>
            </w:pPr>
            <w:r w:rsidRPr="006F11BC">
              <w:rPr>
                <w:rFonts w:ascii="Arial" w:hAnsi="Arial" w:cs="Arial"/>
                <w:sz w:val="16"/>
                <w:szCs w:val="16"/>
              </w:rPr>
              <w:t>Pobytová</w:t>
            </w:r>
          </w:p>
        </w:tc>
        <w:tc>
          <w:tcPr>
            <w:tcW w:w="1959" w:type="dxa"/>
            <w:tcBorders>
              <w:top w:val="single" w:sz="4" w:space="0" w:color="auto"/>
              <w:bottom w:val="single" w:sz="4" w:space="0" w:color="auto"/>
              <w:right w:val="single" w:sz="4" w:space="0" w:color="auto"/>
            </w:tcBorders>
            <w:vAlign w:val="center"/>
          </w:tcPr>
          <w:p w14:paraId="5F0C5C0D" w14:textId="4CCEDAE6" w:rsidR="006F11BC" w:rsidRPr="006F11BC" w:rsidRDefault="006F11BC" w:rsidP="006F11BC">
            <w:pPr>
              <w:rPr>
                <w:rFonts w:ascii="Arial" w:hAnsi="Arial" w:cs="Arial"/>
                <w:sz w:val="16"/>
                <w:szCs w:val="16"/>
              </w:rPr>
            </w:pPr>
            <w:r w:rsidRPr="006F11BC">
              <w:rPr>
                <w:rFonts w:ascii="Arial" w:hAnsi="Arial" w:cs="Arial"/>
                <w:sz w:val="16"/>
                <w:szCs w:val="16"/>
              </w:rPr>
              <w:t>Senioři</w:t>
            </w:r>
          </w:p>
        </w:tc>
        <w:tc>
          <w:tcPr>
            <w:tcW w:w="2006" w:type="dxa"/>
            <w:tcBorders>
              <w:top w:val="single" w:sz="4" w:space="0" w:color="auto"/>
              <w:bottom w:val="single" w:sz="4" w:space="0" w:color="auto"/>
              <w:right w:val="single" w:sz="4" w:space="0" w:color="auto"/>
            </w:tcBorders>
            <w:vAlign w:val="center"/>
          </w:tcPr>
          <w:p w14:paraId="7834375C" w14:textId="36B0838B" w:rsidR="006F11BC" w:rsidRPr="006F11BC" w:rsidRDefault="006F11BC" w:rsidP="006F11BC">
            <w:pPr>
              <w:rPr>
                <w:rFonts w:ascii="Arial" w:hAnsi="Arial" w:cs="Arial"/>
                <w:sz w:val="16"/>
                <w:szCs w:val="16"/>
              </w:rPr>
            </w:pPr>
            <w:r w:rsidRPr="006F11BC">
              <w:rPr>
                <w:rFonts w:ascii="Arial" w:hAnsi="Arial" w:cs="Arial"/>
                <w:sz w:val="16"/>
                <w:szCs w:val="16"/>
              </w:rPr>
              <w:t>Valašské Klobouky</w:t>
            </w:r>
          </w:p>
        </w:tc>
        <w:tc>
          <w:tcPr>
            <w:tcW w:w="1576" w:type="dxa"/>
            <w:tcBorders>
              <w:top w:val="single" w:sz="4" w:space="0" w:color="auto"/>
              <w:bottom w:val="single" w:sz="4" w:space="0" w:color="auto"/>
              <w:right w:val="single" w:sz="4" w:space="0" w:color="auto"/>
            </w:tcBorders>
            <w:vAlign w:val="center"/>
          </w:tcPr>
          <w:p w14:paraId="063CC00F" w14:textId="2CB34B1B" w:rsidR="006F11BC" w:rsidRPr="006F11BC" w:rsidRDefault="006F11BC" w:rsidP="006F11BC">
            <w:pPr>
              <w:ind w:right="141"/>
              <w:rPr>
                <w:rFonts w:ascii="Arial" w:hAnsi="Arial" w:cs="Arial"/>
                <w:sz w:val="16"/>
                <w:szCs w:val="16"/>
              </w:rPr>
            </w:pPr>
            <w:r w:rsidRPr="006F11BC">
              <w:rPr>
                <w:rFonts w:ascii="Arial" w:hAnsi="Arial" w:cs="Arial"/>
                <w:sz w:val="16"/>
                <w:szCs w:val="16"/>
              </w:rPr>
              <w:t>Lůžko</w:t>
            </w:r>
          </w:p>
        </w:tc>
        <w:tc>
          <w:tcPr>
            <w:tcW w:w="1264" w:type="dxa"/>
            <w:tcBorders>
              <w:top w:val="single" w:sz="4" w:space="0" w:color="auto"/>
              <w:left w:val="single" w:sz="4" w:space="0" w:color="auto"/>
              <w:bottom w:val="single" w:sz="4" w:space="0" w:color="auto"/>
              <w:right w:val="single" w:sz="4" w:space="0" w:color="auto"/>
            </w:tcBorders>
            <w:vAlign w:val="center"/>
          </w:tcPr>
          <w:p w14:paraId="63A0A7D5" w14:textId="75551BF4"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15</w:t>
            </w:r>
          </w:p>
        </w:tc>
        <w:tc>
          <w:tcPr>
            <w:tcW w:w="1560" w:type="dxa"/>
            <w:tcBorders>
              <w:top w:val="single" w:sz="4" w:space="0" w:color="auto"/>
              <w:left w:val="single" w:sz="4" w:space="0" w:color="auto"/>
              <w:bottom w:val="single" w:sz="4" w:space="0" w:color="auto"/>
              <w:right w:val="single" w:sz="4" w:space="0" w:color="auto"/>
            </w:tcBorders>
            <w:vAlign w:val="center"/>
          </w:tcPr>
          <w:p w14:paraId="255392E9" w14:textId="52B8A29D"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897</w:t>
            </w:r>
            <w:r>
              <w:rPr>
                <w:rFonts w:ascii="Arial" w:hAnsi="Arial" w:cs="Arial"/>
                <w:sz w:val="16"/>
                <w:szCs w:val="16"/>
              </w:rPr>
              <w:t> </w:t>
            </w:r>
            <w:r w:rsidRPr="006F11BC">
              <w:rPr>
                <w:rFonts w:ascii="Arial" w:hAnsi="Arial" w:cs="Arial"/>
                <w:sz w:val="16"/>
                <w:szCs w:val="16"/>
              </w:rPr>
              <w:t>400</w:t>
            </w:r>
            <w:r>
              <w:rPr>
                <w:rFonts w:ascii="Arial" w:hAnsi="Arial" w:cs="Arial"/>
                <w:sz w:val="16"/>
                <w:szCs w:val="16"/>
              </w:rPr>
              <w:t>,00</w:t>
            </w:r>
          </w:p>
        </w:tc>
      </w:tr>
      <w:tr w:rsidR="006F11BC" w14:paraId="73E63D37"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64B71743" w14:textId="3602E225" w:rsidR="006F11BC" w:rsidRPr="006F11BC" w:rsidRDefault="006F11BC" w:rsidP="006F11BC">
            <w:pPr>
              <w:jc w:val="center"/>
              <w:rPr>
                <w:rFonts w:ascii="Arial" w:hAnsi="Arial" w:cs="Arial"/>
                <w:b/>
                <w:sz w:val="16"/>
                <w:szCs w:val="16"/>
              </w:rPr>
            </w:pPr>
            <w:r w:rsidRPr="006F11BC">
              <w:rPr>
                <w:rFonts w:ascii="Arial" w:hAnsi="Arial" w:cs="Arial"/>
                <w:b/>
                <w:sz w:val="16"/>
                <w:szCs w:val="16"/>
              </w:rPr>
              <w:t>10</w:t>
            </w:r>
          </w:p>
        </w:tc>
        <w:tc>
          <w:tcPr>
            <w:tcW w:w="1275" w:type="dxa"/>
            <w:tcBorders>
              <w:top w:val="single" w:sz="4" w:space="0" w:color="auto"/>
              <w:bottom w:val="single" w:sz="4" w:space="0" w:color="auto"/>
              <w:right w:val="single" w:sz="4" w:space="0" w:color="auto"/>
            </w:tcBorders>
            <w:vAlign w:val="center"/>
          </w:tcPr>
          <w:p w14:paraId="5F044E2A" w14:textId="6FAEE60A" w:rsidR="006F11BC" w:rsidRPr="006F11BC" w:rsidRDefault="006F11BC" w:rsidP="006F11BC">
            <w:pPr>
              <w:rPr>
                <w:rFonts w:ascii="Arial" w:hAnsi="Arial" w:cs="Arial"/>
                <w:sz w:val="16"/>
                <w:szCs w:val="16"/>
              </w:rPr>
            </w:pPr>
            <w:r w:rsidRPr="006F11BC">
              <w:rPr>
                <w:rFonts w:ascii="Arial" w:hAnsi="Arial" w:cs="Arial"/>
                <w:sz w:val="16"/>
                <w:szCs w:val="16"/>
              </w:rPr>
              <w:t>Denní stacionáře</w:t>
            </w:r>
          </w:p>
        </w:tc>
        <w:tc>
          <w:tcPr>
            <w:tcW w:w="1276" w:type="dxa"/>
            <w:tcBorders>
              <w:top w:val="single" w:sz="4" w:space="0" w:color="auto"/>
              <w:bottom w:val="single" w:sz="4" w:space="0" w:color="auto"/>
              <w:right w:val="single" w:sz="4" w:space="0" w:color="auto"/>
            </w:tcBorders>
            <w:vAlign w:val="center"/>
          </w:tcPr>
          <w:p w14:paraId="43377F85" w14:textId="23BC0B11" w:rsidR="006F11BC" w:rsidRPr="006F11BC" w:rsidRDefault="006F11BC" w:rsidP="006F11BC">
            <w:pPr>
              <w:rPr>
                <w:rFonts w:ascii="Arial" w:hAnsi="Arial" w:cs="Arial"/>
                <w:sz w:val="16"/>
                <w:szCs w:val="16"/>
              </w:rPr>
            </w:pPr>
            <w:r w:rsidRPr="006F11BC">
              <w:rPr>
                <w:rFonts w:ascii="Arial" w:hAnsi="Arial" w:cs="Arial"/>
                <w:sz w:val="16"/>
                <w:szCs w:val="16"/>
              </w:rPr>
              <w:t>5001310</w:t>
            </w:r>
          </w:p>
        </w:tc>
        <w:tc>
          <w:tcPr>
            <w:tcW w:w="1985" w:type="dxa"/>
            <w:tcBorders>
              <w:top w:val="single" w:sz="4" w:space="0" w:color="auto"/>
              <w:bottom w:val="single" w:sz="4" w:space="0" w:color="auto"/>
              <w:right w:val="single" w:sz="4" w:space="0" w:color="auto"/>
            </w:tcBorders>
            <w:vAlign w:val="center"/>
          </w:tcPr>
          <w:p w14:paraId="4323D820" w14:textId="0001415A" w:rsidR="006F11BC" w:rsidRPr="006F11BC" w:rsidRDefault="006F11BC" w:rsidP="006F11BC">
            <w:pPr>
              <w:rPr>
                <w:rFonts w:ascii="Arial" w:hAnsi="Arial" w:cs="Arial"/>
                <w:sz w:val="16"/>
                <w:szCs w:val="16"/>
              </w:rPr>
            </w:pPr>
            <w:r w:rsidRPr="006F11BC">
              <w:rPr>
                <w:rFonts w:ascii="Arial" w:hAnsi="Arial" w:cs="Arial"/>
                <w:sz w:val="16"/>
                <w:szCs w:val="16"/>
              </w:rPr>
              <w:t>Středisko Naděje Rožnov pod Radhoštěm</w:t>
            </w:r>
          </w:p>
        </w:tc>
        <w:tc>
          <w:tcPr>
            <w:tcW w:w="1842" w:type="dxa"/>
            <w:tcBorders>
              <w:top w:val="single" w:sz="4" w:space="0" w:color="auto"/>
              <w:bottom w:val="single" w:sz="4" w:space="0" w:color="auto"/>
              <w:right w:val="single" w:sz="4" w:space="0" w:color="auto"/>
            </w:tcBorders>
            <w:vAlign w:val="center"/>
          </w:tcPr>
          <w:p w14:paraId="5127100D" w14:textId="4B34D9AF" w:rsidR="006F11BC" w:rsidRPr="006F11BC" w:rsidRDefault="006F11BC" w:rsidP="006F11BC">
            <w:pPr>
              <w:rPr>
                <w:rFonts w:ascii="Arial" w:hAnsi="Arial" w:cs="Arial"/>
                <w:sz w:val="16"/>
                <w:szCs w:val="16"/>
              </w:rPr>
            </w:pPr>
            <w:r w:rsidRPr="006F11BC">
              <w:rPr>
                <w:rFonts w:ascii="Arial" w:hAnsi="Arial" w:cs="Arial"/>
                <w:sz w:val="16"/>
                <w:szCs w:val="16"/>
              </w:rPr>
              <w:t>Ambulantní</w:t>
            </w:r>
          </w:p>
        </w:tc>
        <w:tc>
          <w:tcPr>
            <w:tcW w:w="1959" w:type="dxa"/>
            <w:tcBorders>
              <w:top w:val="single" w:sz="4" w:space="0" w:color="auto"/>
              <w:bottom w:val="single" w:sz="4" w:space="0" w:color="auto"/>
              <w:right w:val="single" w:sz="4" w:space="0" w:color="auto"/>
            </w:tcBorders>
            <w:vAlign w:val="center"/>
          </w:tcPr>
          <w:p w14:paraId="629FA70D" w14:textId="458FED0F" w:rsidR="006F11BC" w:rsidRPr="006F11BC" w:rsidRDefault="006F11BC" w:rsidP="006F11BC">
            <w:pPr>
              <w:rPr>
                <w:rFonts w:ascii="Arial" w:hAnsi="Arial" w:cs="Arial"/>
                <w:sz w:val="16"/>
                <w:szCs w:val="16"/>
              </w:rPr>
            </w:pPr>
            <w:r w:rsidRPr="006F11BC">
              <w:rPr>
                <w:rFonts w:ascii="Arial" w:hAnsi="Arial" w:cs="Arial"/>
                <w:sz w:val="16"/>
                <w:szCs w:val="16"/>
              </w:rPr>
              <w:t>Osoby se zdravotním postižením</w:t>
            </w:r>
          </w:p>
        </w:tc>
        <w:tc>
          <w:tcPr>
            <w:tcW w:w="2006" w:type="dxa"/>
            <w:tcBorders>
              <w:top w:val="single" w:sz="4" w:space="0" w:color="auto"/>
              <w:bottom w:val="single" w:sz="4" w:space="0" w:color="auto"/>
              <w:right w:val="single" w:sz="4" w:space="0" w:color="auto"/>
            </w:tcBorders>
            <w:vAlign w:val="center"/>
          </w:tcPr>
          <w:p w14:paraId="21D87FE2" w14:textId="3D864206" w:rsidR="006F11BC" w:rsidRPr="006F11BC" w:rsidRDefault="006F11BC" w:rsidP="006F11BC">
            <w:pPr>
              <w:rPr>
                <w:rFonts w:ascii="Arial" w:hAnsi="Arial" w:cs="Arial"/>
                <w:sz w:val="16"/>
                <w:szCs w:val="16"/>
              </w:rPr>
            </w:pPr>
            <w:r w:rsidRPr="006F11BC">
              <w:rPr>
                <w:rFonts w:ascii="Arial" w:hAnsi="Arial" w:cs="Arial"/>
                <w:sz w:val="16"/>
                <w:szCs w:val="16"/>
              </w:rPr>
              <w:t>Rožnov pod Radhoštěm, Vsetín</w:t>
            </w:r>
          </w:p>
        </w:tc>
        <w:tc>
          <w:tcPr>
            <w:tcW w:w="1576" w:type="dxa"/>
            <w:tcBorders>
              <w:top w:val="single" w:sz="4" w:space="0" w:color="auto"/>
              <w:bottom w:val="single" w:sz="4" w:space="0" w:color="auto"/>
              <w:right w:val="single" w:sz="4" w:space="0" w:color="auto"/>
            </w:tcBorders>
            <w:vAlign w:val="center"/>
          </w:tcPr>
          <w:p w14:paraId="09AEB2A2" w14:textId="629FB765" w:rsidR="006F11BC" w:rsidRPr="006F11BC" w:rsidRDefault="006F11BC" w:rsidP="006F11BC">
            <w:pPr>
              <w:ind w:right="141"/>
              <w:rPr>
                <w:rFonts w:ascii="Arial" w:hAnsi="Arial" w:cs="Arial"/>
                <w:sz w:val="16"/>
                <w:szCs w:val="16"/>
              </w:rPr>
            </w:pPr>
            <w:r w:rsidRPr="006F11BC">
              <w:rPr>
                <w:rFonts w:ascii="Arial" w:hAnsi="Arial" w:cs="Arial"/>
                <w:sz w:val="16"/>
                <w:szCs w:val="16"/>
              </w:rPr>
              <w:t>Průměrný přepočtený úvazek PP</w:t>
            </w:r>
          </w:p>
        </w:tc>
        <w:tc>
          <w:tcPr>
            <w:tcW w:w="1264" w:type="dxa"/>
            <w:tcBorders>
              <w:top w:val="single" w:sz="4" w:space="0" w:color="auto"/>
              <w:left w:val="single" w:sz="4" w:space="0" w:color="auto"/>
              <w:bottom w:val="single" w:sz="4" w:space="0" w:color="auto"/>
              <w:right w:val="single" w:sz="4" w:space="0" w:color="auto"/>
            </w:tcBorders>
            <w:vAlign w:val="center"/>
          </w:tcPr>
          <w:p w14:paraId="0E07A6CE" w14:textId="244B8804"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14,50</w:t>
            </w:r>
          </w:p>
        </w:tc>
        <w:tc>
          <w:tcPr>
            <w:tcW w:w="1560" w:type="dxa"/>
            <w:tcBorders>
              <w:top w:val="single" w:sz="4" w:space="0" w:color="auto"/>
              <w:left w:val="single" w:sz="4" w:space="0" w:color="auto"/>
              <w:bottom w:val="single" w:sz="4" w:space="0" w:color="auto"/>
              <w:right w:val="single" w:sz="4" w:space="0" w:color="auto"/>
            </w:tcBorders>
            <w:vAlign w:val="center"/>
          </w:tcPr>
          <w:p w14:paraId="5696D7EB" w14:textId="4186B829"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2 114</w:t>
            </w:r>
            <w:r>
              <w:rPr>
                <w:rFonts w:ascii="Arial" w:hAnsi="Arial" w:cs="Arial"/>
                <w:sz w:val="16"/>
                <w:szCs w:val="16"/>
              </w:rPr>
              <w:t> </w:t>
            </w:r>
            <w:r w:rsidRPr="006F11BC">
              <w:rPr>
                <w:rFonts w:ascii="Arial" w:hAnsi="Arial" w:cs="Arial"/>
                <w:sz w:val="16"/>
                <w:szCs w:val="16"/>
              </w:rPr>
              <w:t>800</w:t>
            </w:r>
            <w:r>
              <w:rPr>
                <w:rFonts w:ascii="Arial" w:hAnsi="Arial" w:cs="Arial"/>
                <w:sz w:val="16"/>
                <w:szCs w:val="16"/>
              </w:rPr>
              <w:t>,00</w:t>
            </w:r>
          </w:p>
        </w:tc>
      </w:tr>
      <w:tr w:rsidR="006F11BC" w14:paraId="215979F4"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677C9A94" w14:textId="504F7C71" w:rsidR="006F11BC" w:rsidRPr="006F11BC" w:rsidRDefault="006F11BC" w:rsidP="006F11BC">
            <w:pPr>
              <w:jc w:val="center"/>
              <w:rPr>
                <w:rFonts w:ascii="Arial" w:hAnsi="Arial" w:cs="Arial"/>
                <w:b/>
                <w:sz w:val="16"/>
                <w:szCs w:val="16"/>
              </w:rPr>
            </w:pPr>
            <w:r w:rsidRPr="006F11BC">
              <w:rPr>
                <w:rFonts w:ascii="Arial" w:hAnsi="Arial" w:cs="Arial"/>
                <w:b/>
                <w:sz w:val="16"/>
                <w:szCs w:val="16"/>
              </w:rPr>
              <w:t>11</w:t>
            </w:r>
          </w:p>
        </w:tc>
        <w:tc>
          <w:tcPr>
            <w:tcW w:w="1275" w:type="dxa"/>
            <w:tcBorders>
              <w:top w:val="single" w:sz="4" w:space="0" w:color="auto"/>
              <w:bottom w:val="single" w:sz="4" w:space="0" w:color="auto"/>
              <w:right w:val="single" w:sz="4" w:space="0" w:color="auto"/>
            </w:tcBorders>
            <w:vAlign w:val="center"/>
          </w:tcPr>
          <w:p w14:paraId="32430F1C" w14:textId="274FCE9A" w:rsidR="006F11BC" w:rsidRPr="006F11BC" w:rsidRDefault="006F11BC" w:rsidP="006F11BC">
            <w:pPr>
              <w:rPr>
                <w:rFonts w:ascii="Arial" w:hAnsi="Arial" w:cs="Arial"/>
                <w:sz w:val="16"/>
                <w:szCs w:val="16"/>
              </w:rPr>
            </w:pPr>
            <w:r w:rsidRPr="006F11BC">
              <w:rPr>
                <w:rFonts w:ascii="Arial" w:hAnsi="Arial" w:cs="Arial"/>
                <w:sz w:val="16"/>
                <w:szCs w:val="16"/>
              </w:rPr>
              <w:t>Denní stacionáře</w:t>
            </w:r>
          </w:p>
        </w:tc>
        <w:tc>
          <w:tcPr>
            <w:tcW w:w="1276" w:type="dxa"/>
            <w:tcBorders>
              <w:top w:val="single" w:sz="4" w:space="0" w:color="auto"/>
              <w:bottom w:val="single" w:sz="4" w:space="0" w:color="auto"/>
              <w:right w:val="single" w:sz="4" w:space="0" w:color="auto"/>
            </w:tcBorders>
            <w:vAlign w:val="center"/>
          </w:tcPr>
          <w:p w14:paraId="51A77BDD" w14:textId="3BB5BDDE" w:rsidR="006F11BC" w:rsidRPr="006F11BC" w:rsidRDefault="006F11BC" w:rsidP="006F11BC">
            <w:pPr>
              <w:rPr>
                <w:rFonts w:ascii="Arial" w:hAnsi="Arial" w:cs="Arial"/>
                <w:sz w:val="16"/>
                <w:szCs w:val="16"/>
              </w:rPr>
            </w:pPr>
            <w:r w:rsidRPr="006F11BC">
              <w:rPr>
                <w:rFonts w:ascii="Arial" w:hAnsi="Arial" w:cs="Arial"/>
                <w:sz w:val="16"/>
                <w:szCs w:val="16"/>
              </w:rPr>
              <w:t>5181469</w:t>
            </w:r>
          </w:p>
        </w:tc>
        <w:tc>
          <w:tcPr>
            <w:tcW w:w="1985" w:type="dxa"/>
            <w:tcBorders>
              <w:top w:val="single" w:sz="4" w:space="0" w:color="auto"/>
              <w:bottom w:val="single" w:sz="4" w:space="0" w:color="auto"/>
              <w:right w:val="single" w:sz="4" w:space="0" w:color="auto"/>
            </w:tcBorders>
            <w:vAlign w:val="center"/>
          </w:tcPr>
          <w:p w14:paraId="2147AD32" w14:textId="4641BD69" w:rsidR="006F11BC" w:rsidRPr="006F11BC" w:rsidRDefault="006F11BC" w:rsidP="006F11BC">
            <w:pPr>
              <w:rPr>
                <w:rFonts w:ascii="Arial" w:hAnsi="Arial" w:cs="Arial"/>
                <w:sz w:val="16"/>
                <w:szCs w:val="16"/>
              </w:rPr>
            </w:pPr>
            <w:r w:rsidRPr="006F11BC">
              <w:rPr>
                <w:rFonts w:ascii="Arial" w:hAnsi="Arial" w:cs="Arial"/>
                <w:sz w:val="16"/>
                <w:szCs w:val="16"/>
              </w:rPr>
              <w:t xml:space="preserve">Středisko Naděje </w:t>
            </w:r>
            <w:proofErr w:type="gramStart"/>
            <w:r w:rsidRPr="006F11BC">
              <w:rPr>
                <w:rFonts w:ascii="Arial" w:hAnsi="Arial" w:cs="Arial"/>
                <w:sz w:val="16"/>
                <w:szCs w:val="16"/>
              </w:rPr>
              <w:t>Zlín - Jižní</w:t>
            </w:r>
            <w:proofErr w:type="gramEnd"/>
            <w:r w:rsidRPr="006F11BC">
              <w:rPr>
                <w:rFonts w:ascii="Arial" w:hAnsi="Arial" w:cs="Arial"/>
                <w:sz w:val="16"/>
                <w:szCs w:val="16"/>
              </w:rPr>
              <w:t xml:space="preserve"> Svahy</w:t>
            </w:r>
          </w:p>
        </w:tc>
        <w:tc>
          <w:tcPr>
            <w:tcW w:w="1842" w:type="dxa"/>
            <w:tcBorders>
              <w:top w:val="single" w:sz="4" w:space="0" w:color="auto"/>
              <w:bottom w:val="single" w:sz="4" w:space="0" w:color="auto"/>
              <w:right w:val="single" w:sz="4" w:space="0" w:color="auto"/>
            </w:tcBorders>
            <w:vAlign w:val="center"/>
          </w:tcPr>
          <w:p w14:paraId="55CC1DD2" w14:textId="630C3983" w:rsidR="006F11BC" w:rsidRPr="006F11BC" w:rsidRDefault="006F11BC" w:rsidP="006F11BC">
            <w:pPr>
              <w:rPr>
                <w:rFonts w:ascii="Arial" w:hAnsi="Arial" w:cs="Arial"/>
                <w:sz w:val="16"/>
                <w:szCs w:val="16"/>
              </w:rPr>
            </w:pPr>
            <w:r w:rsidRPr="006F11BC">
              <w:rPr>
                <w:rFonts w:ascii="Arial" w:hAnsi="Arial" w:cs="Arial"/>
                <w:sz w:val="16"/>
                <w:szCs w:val="16"/>
              </w:rPr>
              <w:t>Ambulantní</w:t>
            </w:r>
          </w:p>
        </w:tc>
        <w:tc>
          <w:tcPr>
            <w:tcW w:w="1959" w:type="dxa"/>
            <w:tcBorders>
              <w:top w:val="single" w:sz="4" w:space="0" w:color="auto"/>
              <w:bottom w:val="single" w:sz="4" w:space="0" w:color="auto"/>
              <w:right w:val="single" w:sz="4" w:space="0" w:color="auto"/>
            </w:tcBorders>
            <w:vAlign w:val="center"/>
          </w:tcPr>
          <w:p w14:paraId="12A0E625" w14:textId="670744A8" w:rsidR="006F11BC" w:rsidRPr="006F11BC" w:rsidRDefault="006F11BC" w:rsidP="006F11BC">
            <w:pPr>
              <w:rPr>
                <w:rFonts w:ascii="Arial" w:hAnsi="Arial" w:cs="Arial"/>
                <w:sz w:val="16"/>
                <w:szCs w:val="16"/>
              </w:rPr>
            </w:pPr>
            <w:r w:rsidRPr="006F11BC">
              <w:rPr>
                <w:rFonts w:ascii="Arial" w:hAnsi="Arial" w:cs="Arial"/>
                <w:sz w:val="16"/>
                <w:szCs w:val="16"/>
              </w:rPr>
              <w:t>Senioři</w:t>
            </w:r>
          </w:p>
        </w:tc>
        <w:tc>
          <w:tcPr>
            <w:tcW w:w="2006" w:type="dxa"/>
            <w:tcBorders>
              <w:top w:val="single" w:sz="4" w:space="0" w:color="auto"/>
              <w:bottom w:val="single" w:sz="4" w:space="0" w:color="auto"/>
              <w:right w:val="single" w:sz="4" w:space="0" w:color="auto"/>
            </w:tcBorders>
            <w:vAlign w:val="center"/>
          </w:tcPr>
          <w:p w14:paraId="41A9DFA6" w14:textId="1CE1DAB8" w:rsidR="006F11BC" w:rsidRPr="006F11BC" w:rsidRDefault="006F11BC" w:rsidP="006F11BC">
            <w:pPr>
              <w:rPr>
                <w:rFonts w:ascii="Arial" w:hAnsi="Arial" w:cs="Arial"/>
                <w:sz w:val="16"/>
                <w:szCs w:val="16"/>
              </w:rPr>
            </w:pPr>
            <w:r w:rsidRPr="006F11BC">
              <w:rPr>
                <w:rFonts w:ascii="Arial" w:hAnsi="Arial" w:cs="Arial"/>
                <w:sz w:val="16"/>
                <w:szCs w:val="16"/>
              </w:rPr>
              <w:t>Zlín</w:t>
            </w:r>
          </w:p>
        </w:tc>
        <w:tc>
          <w:tcPr>
            <w:tcW w:w="1576" w:type="dxa"/>
            <w:tcBorders>
              <w:top w:val="single" w:sz="4" w:space="0" w:color="auto"/>
              <w:bottom w:val="single" w:sz="4" w:space="0" w:color="auto"/>
              <w:right w:val="single" w:sz="4" w:space="0" w:color="auto"/>
            </w:tcBorders>
            <w:vAlign w:val="center"/>
          </w:tcPr>
          <w:p w14:paraId="2CF5C4B7" w14:textId="1F9077B9" w:rsidR="006F11BC" w:rsidRPr="006F11BC" w:rsidRDefault="006F11BC" w:rsidP="006F11BC">
            <w:pPr>
              <w:ind w:right="141"/>
              <w:rPr>
                <w:rFonts w:ascii="Arial" w:hAnsi="Arial" w:cs="Arial"/>
                <w:sz w:val="16"/>
                <w:szCs w:val="16"/>
              </w:rPr>
            </w:pPr>
            <w:r w:rsidRPr="006F11BC">
              <w:rPr>
                <w:rFonts w:ascii="Arial" w:hAnsi="Arial" w:cs="Arial"/>
                <w:sz w:val="16"/>
                <w:szCs w:val="16"/>
              </w:rPr>
              <w:t>Průměrný přepočtený úvazek PP</w:t>
            </w:r>
          </w:p>
        </w:tc>
        <w:tc>
          <w:tcPr>
            <w:tcW w:w="1264" w:type="dxa"/>
            <w:tcBorders>
              <w:top w:val="single" w:sz="4" w:space="0" w:color="auto"/>
              <w:left w:val="single" w:sz="4" w:space="0" w:color="auto"/>
              <w:bottom w:val="single" w:sz="4" w:space="0" w:color="auto"/>
              <w:right w:val="single" w:sz="4" w:space="0" w:color="auto"/>
            </w:tcBorders>
            <w:vAlign w:val="center"/>
          </w:tcPr>
          <w:p w14:paraId="6B88590D" w14:textId="044DB480"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5,00</w:t>
            </w:r>
          </w:p>
        </w:tc>
        <w:tc>
          <w:tcPr>
            <w:tcW w:w="1560" w:type="dxa"/>
            <w:tcBorders>
              <w:top w:val="single" w:sz="4" w:space="0" w:color="auto"/>
              <w:left w:val="single" w:sz="4" w:space="0" w:color="auto"/>
              <w:bottom w:val="single" w:sz="4" w:space="0" w:color="auto"/>
              <w:right w:val="single" w:sz="4" w:space="0" w:color="auto"/>
            </w:tcBorders>
            <w:vAlign w:val="center"/>
          </w:tcPr>
          <w:p w14:paraId="68CD26E1" w14:textId="506D7350"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729</w:t>
            </w:r>
            <w:r>
              <w:rPr>
                <w:rFonts w:ascii="Arial" w:hAnsi="Arial" w:cs="Arial"/>
                <w:sz w:val="16"/>
                <w:szCs w:val="16"/>
              </w:rPr>
              <w:t> </w:t>
            </w:r>
            <w:r w:rsidRPr="006F11BC">
              <w:rPr>
                <w:rFonts w:ascii="Arial" w:hAnsi="Arial" w:cs="Arial"/>
                <w:sz w:val="16"/>
                <w:szCs w:val="16"/>
              </w:rPr>
              <w:t>200</w:t>
            </w:r>
            <w:r>
              <w:rPr>
                <w:rFonts w:ascii="Arial" w:hAnsi="Arial" w:cs="Arial"/>
                <w:sz w:val="16"/>
                <w:szCs w:val="16"/>
              </w:rPr>
              <w:t>,00</w:t>
            </w:r>
          </w:p>
        </w:tc>
      </w:tr>
      <w:tr w:rsidR="006F11BC" w14:paraId="07B6112F"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6B7B86A7" w14:textId="049E0D72" w:rsidR="006F11BC" w:rsidRPr="006F11BC" w:rsidRDefault="006F11BC" w:rsidP="006F11BC">
            <w:pPr>
              <w:jc w:val="center"/>
              <w:rPr>
                <w:rFonts w:ascii="Arial" w:hAnsi="Arial" w:cs="Arial"/>
                <w:b/>
                <w:sz w:val="16"/>
                <w:szCs w:val="16"/>
              </w:rPr>
            </w:pPr>
            <w:r w:rsidRPr="006F11BC">
              <w:rPr>
                <w:rFonts w:ascii="Arial" w:hAnsi="Arial" w:cs="Arial"/>
                <w:b/>
                <w:sz w:val="16"/>
                <w:szCs w:val="16"/>
              </w:rPr>
              <w:t>12</w:t>
            </w:r>
          </w:p>
        </w:tc>
        <w:tc>
          <w:tcPr>
            <w:tcW w:w="1275" w:type="dxa"/>
            <w:tcBorders>
              <w:top w:val="single" w:sz="4" w:space="0" w:color="auto"/>
              <w:bottom w:val="single" w:sz="4" w:space="0" w:color="auto"/>
              <w:right w:val="single" w:sz="4" w:space="0" w:color="auto"/>
            </w:tcBorders>
            <w:vAlign w:val="center"/>
          </w:tcPr>
          <w:p w14:paraId="7CE99CD1" w14:textId="3B332395" w:rsidR="006F11BC" w:rsidRPr="006F11BC" w:rsidRDefault="006F11BC" w:rsidP="006F11BC">
            <w:pPr>
              <w:rPr>
                <w:rFonts w:ascii="Arial" w:hAnsi="Arial" w:cs="Arial"/>
                <w:sz w:val="16"/>
                <w:szCs w:val="16"/>
              </w:rPr>
            </w:pPr>
            <w:r w:rsidRPr="006F11BC">
              <w:rPr>
                <w:rFonts w:ascii="Arial" w:hAnsi="Arial" w:cs="Arial"/>
                <w:sz w:val="16"/>
                <w:szCs w:val="16"/>
              </w:rPr>
              <w:t>Domovy pro seniory</w:t>
            </w:r>
          </w:p>
        </w:tc>
        <w:tc>
          <w:tcPr>
            <w:tcW w:w="1276" w:type="dxa"/>
            <w:tcBorders>
              <w:top w:val="single" w:sz="4" w:space="0" w:color="auto"/>
              <w:bottom w:val="single" w:sz="4" w:space="0" w:color="auto"/>
              <w:right w:val="single" w:sz="4" w:space="0" w:color="auto"/>
            </w:tcBorders>
            <w:vAlign w:val="center"/>
          </w:tcPr>
          <w:p w14:paraId="2931EA59" w14:textId="33E8CCB1" w:rsidR="006F11BC" w:rsidRPr="006F11BC" w:rsidRDefault="006F11BC" w:rsidP="006F11BC">
            <w:pPr>
              <w:rPr>
                <w:rFonts w:ascii="Arial" w:hAnsi="Arial" w:cs="Arial"/>
                <w:sz w:val="16"/>
                <w:szCs w:val="16"/>
              </w:rPr>
            </w:pPr>
            <w:r w:rsidRPr="006F11BC">
              <w:rPr>
                <w:rFonts w:ascii="Arial" w:hAnsi="Arial" w:cs="Arial"/>
                <w:sz w:val="16"/>
                <w:szCs w:val="16"/>
              </w:rPr>
              <w:t>5269505</w:t>
            </w:r>
          </w:p>
        </w:tc>
        <w:tc>
          <w:tcPr>
            <w:tcW w:w="1985" w:type="dxa"/>
            <w:tcBorders>
              <w:top w:val="single" w:sz="4" w:space="0" w:color="auto"/>
              <w:bottom w:val="single" w:sz="4" w:space="0" w:color="auto"/>
              <w:right w:val="single" w:sz="4" w:space="0" w:color="auto"/>
            </w:tcBorders>
            <w:vAlign w:val="center"/>
          </w:tcPr>
          <w:p w14:paraId="7AF82BE0" w14:textId="050179AC" w:rsidR="006F11BC" w:rsidRPr="006F11BC" w:rsidRDefault="006F11BC" w:rsidP="006F11BC">
            <w:pPr>
              <w:rPr>
                <w:rFonts w:ascii="Arial" w:hAnsi="Arial" w:cs="Arial"/>
                <w:sz w:val="16"/>
                <w:szCs w:val="16"/>
              </w:rPr>
            </w:pPr>
            <w:r w:rsidRPr="006F11BC">
              <w:rPr>
                <w:rFonts w:ascii="Arial" w:hAnsi="Arial" w:cs="Arial"/>
                <w:sz w:val="16"/>
                <w:szCs w:val="16"/>
              </w:rPr>
              <w:t>Dům pokojného stáří Naděje Zlín</w:t>
            </w:r>
          </w:p>
        </w:tc>
        <w:tc>
          <w:tcPr>
            <w:tcW w:w="1842" w:type="dxa"/>
            <w:tcBorders>
              <w:top w:val="single" w:sz="4" w:space="0" w:color="auto"/>
              <w:bottom w:val="single" w:sz="4" w:space="0" w:color="auto"/>
              <w:right w:val="single" w:sz="4" w:space="0" w:color="auto"/>
            </w:tcBorders>
            <w:vAlign w:val="center"/>
          </w:tcPr>
          <w:p w14:paraId="1DB81E86" w14:textId="24A56705" w:rsidR="006F11BC" w:rsidRPr="006F11BC" w:rsidRDefault="006F11BC" w:rsidP="006F11BC">
            <w:pPr>
              <w:rPr>
                <w:rFonts w:ascii="Arial" w:hAnsi="Arial" w:cs="Arial"/>
                <w:sz w:val="16"/>
                <w:szCs w:val="16"/>
              </w:rPr>
            </w:pPr>
            <w:r w:rsidRPr="006F11BC">
              <w:rPr>
                <w:rFonts w:ascii="Arial" w:hAnsi="Arial" w:cs="Arial"/>
                <w:sz w:val="16"/>
                <w:szCs w:val="16"/>
              </w:rPr>
              <w:t>Pobytová</w:t>
            </w:r>
          </w:p>
        </w:tc>
        <w:tc>
          <w:tcPr>
            <w:tcW w:w="1959" w:type="dxa"/>
            <w:tcBorders>
              <w:top w:val="single" w:sz="4" w:space="0" w:color="auto"/>
              <w:bottom w:val="single" w:sz="4" w:space="0" w:color="auto"/>
              <w:right w:val="single" w:sz="4" w:space="0" w:color="auto"/>
            </w:tcBorders>
            <w:vAlign w:val="center"/>
          </w:tcPr>
          <w:p w14:paraId="3B77AEC1" w14:textId="786DF2BF" w:rsidR="006F11BC" w:rsidRPr="006F11BC" w:rsidRDefault="006F11BC" w:rsidP="006F11BC">
            <w:pPr>
              <w:rPr>
                <w:rFonts w:ascii="Arial" w:hAnsi="Arial" w:cs="Arial"/>
                <w:sz w:val="16"/>
                <w:szCs w:val="16"/>
              </w:rPr>
            </w:pPr>
            <w:r w:rsidRPr="006F11BC">
              <w:rPr>
                <w:rFonts w:ascii="Arial" w:hAnsi="Arial" w:cs="Arial"/>
                <w:sz w:val="16"/>
                <w:szCs w:val="16"/>
              </w:rPr>
              <w:t>Senioři</w:t>
            </w:r>
          </w:p>
        </w:tc>
        <w:tc>
          <w:tcPr>
            <w:tcW w:w="2006" w:type="dxa"/>
            <w:tcBorders>
              <w:top w:val="single" w:sz="4" w:space="0" w:color="auto"/>
              <w:bottom w:val="single" w:sz="4" w:space="0" w:color="auto"/>
              <w:right w:val="single" w:sz="4" w:space="0" w:color="auto"/>
            </w:tcBorders>
            <w:vAlign w:val="center"/>
          </w:tcPr>
          <w:p w14:paraId="7978052A" w14:textId="2D06719D" w:rsidR="006F11BC" w:rsidRPr="006F11BC" w:rsidRDefault="006F11BC" w:rsidP="006F11BC">
            <w:pPr>
              <w:rPr>
                <w:rFonts w:ascii="Arial" w:hAnsi="Arial" w:cs="Arial"/>
                <w:sz w:val="16"/>
                <w:szCs w:val="16"/>
              </w:rPr>
            </w:pPr>
            <w:r w:rsidRPr="006F11BC">
              <w:rPr>
                <w:rFonts w:ascii="Arial" w:hAnsi="Arial" w:cs="Arial"/>
                <w:sz w:val="16"/>
                <w:szCs w:val="16"/>
              </w:rPr>
              <w:t>Zlín</w:t>
            </w:r>
          </w:p>
        </w:tc>
        <w:tc>
          <w:tcPr>
            <w:tcW w:w="1576" w:type="dxa"/>
            <w:tcBorders>
              <w:top w:val="single" w:sz="4" w:space="0" w:color="auto"/>
              <w:bottom w:val="single" w:sz="4" w:space="0" w:color="auto"/>
              <w:right w:val="single" w:sz="4" w:space="0" w:color="auto"/>
            </w:tcBorders>
            <w:vAlign w:val="center"/>
          </w:tcPr>
          <w:p w14:paraId="0C6B2169" w14:textId="6B4160FC" w:rsidR="006F11BC" w:rsidRPr="006F11BC" w:rsidRDefault="006F11BC" w:rsidP="006F11BC">
            <w:pPr>
              <w:ind w:right="141"/>
              <w:rPr>
                <w:rFonts w:ascii="Arial" w:hAnsi="Arial" w:cs="Arial"/>
                <w:sz w:val="16"/>
                <w:szCs w:val="16"/>
              </w:rPr>
            </w:pPr>
            <w:r w:rsidRPr="006F11BC">
              <w:rPr>
                <w:rFonts w:ascii="Arial" w:hAnsi="Arial" w:cs="Arial"/>
                <w:sz w:val="16"/>
                <w:szCs w:val="16"/>
              </w:rPr>
              <w:t>Lůžko</w:t>
            </w:r>
          </w:p>
        </w:tc>
        <w:tc>
          <w:tcPr>
            <w:tcW w:w="1264" w:type="dxa"/>
            <w:tcBorders>
              <w:top w:val="single" w:sz="4" w:space="0" w:color="auto"/>
              <w:left w:val="single" w:sz="4" w:space="0" w:color="auto"/>
              <w:bottom w:val="single" w:sz="4" w:space="0" w:color="auto"/>
              <w:right w:val="single" w:sz="4" w:space="0" w:color="auto"/>
            </w:tcBorders>
            <w:vAlign w:val="center"/>
          </w:tcPr>
          <w:p w14:paraId="04ED6415" w14:textId="4632924A"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46</w:t>
            </w:r>
          </w:p>
        </w:tc>
        <w:tc>
          <w:tcPr>
            <w:tcW w:w="1560" w:type="dxa"/>
            <w:tcBorders>
              <w:top w:val="single" w:sz="4" w:space="0" w:color="auto"/>
              <w:left w:val="single" w:sz="4" w:space="0" w:color="auto"/>
              <w:bottom w:val="single" w:sz="4" w:space="0" w:color="auto"/>
              <w:right w:val="single" w:sz="4" w:space="0" w:color="auto"/>
            </w:tcBorders>
            <w:vAlign w:val="center"/>
          </w:tcPr>
          <w:p w14:paraId="2225302E" w14:textId="3CFEF5AD"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2 752</w:t>
            </w:r>
            <w:r>
              <w:rPr>
                <w:rFonts w:ascii="Arial" w:hAnsi="Arial" w:cs="Arial"/>
                <w:sz w:val="16"/>
                <w:szCs w:val="16"/>
              </w:rPr>
              <w:t> </w:t>
            </w:r>
            <w:r w:rsidRPr="006F11BC">
              <w:rPr>
                <w:rFonts w:ascii="Arial" w:hAnsi="Arial" w:cs="Arial"/>
                <w:sz w:val="16"/>
                <w:szCs w:val="16"/>
              </w:rPr>
              <w:t>100</w:t>
            </w:r>
            <w:r>
              <w:rPr>
                <w:rFonts w:ascii="Arial" w:hAnsi="Arial" w:cs="Arial"/>
                <w:sz w:val="16"/>
                <w:szCs w:val="16"/>
              </w:rPr>
              <w:t>,00</w:t>
            </w:r>
          </w:p>
        </w:tc>
      </w:tr>
      <w:tr w:rsidR="006F11BC" w14:paraId="74F94779"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6910DDAF" w14:textId="62A42209" w:rsidR="006F11BC" w:rsidRPr="006F11BC" w:rsidRDefault="006F11BC" w:rsidP="006F11BC">
            <w:pPr>
              <w:jc w:val="center"/>
              <w:rPr>
                <w:rFonts w:ascii="Arial" w:hAnsi="Arial" w:cs="Arial"/>
                <w:b/>
                <w:sz w:val="16"/>
                <w:szCs w:val="16"/>
              </w:rPr>
            </w:pPr>
            <w:r w:rsidRPr="006F11BC">
              <w:rPr>
                <w:rFonts w:ascii="Arial" w:hAnsi="Arial" w:cs="Arial"/>
                <w:b/>
                <w:sz w:val="16"/>
                <w:szCs w:val="16"/>
              </w:rPr>
              <w:t>13</w:t>
            </w:r>
          </w:p>
        </w:tc>
        <w:tc>
          <w:tcPr>
            <w:tcW w:w="1275" w:type="dxa"/>
            <w:tcBorders>
              <w:top w:val="single" w:sz="4" w:space="0" w:color="auto"/>
              <w:bottom w:val="single" w:sz="4" w:space="0" w:color="auto"/>
              <w:right w:val="single" w:sz="4" w:space="0" w:color="auto"/>
            </w:tcBorders>
            <w:vAlign w:val="center"/>
          </w:tcPr>
          <w:p w14:paraId="47158194" w14:textId="64AB3DD7" w:rsidR="006F11BC" w:rsidRPr="006F11BC" w:rsidRDefault="006F11BC" w:rsidP="006F11BC">
            <w:pPr>
              <w:rPr>
                <w:rFonts w:ascii="Arial" w:hAnsi="Arial" w:cs="Arial"/>
                <w:sz w:val="16"/>
                <w:szCs w:val="16"/>
              </w:rPr>
            </w:pPr>
            <w:r w:rsidRPr="006F11BC">
              <w:rPr>
                <w:rFonts w:ascii="Arial" w:hAnsi="Arial" w:cs="Arial"/>
                <w:sz w:val="16"/>
                <w:szCs w:val="16"/>
              </w:rPr>
              <w:t>Domovy se zvláštním režimem</w:t>
            </w:r>
          </w:p>
        </w:tc>
        <w:tc>
          <w:tcPr>
            <w:tcW w:w="1276" w:type="dxa"/>
            <w:tcBorders>
              <w:top w:val="single" w:sz="4" w:space="0" w:color="auto"/>
              <w:bottom w:val="single" w:sz="4" w:space="0" w:color="auto"/>
              <w:right w:val="single" w:sz="4" w:space="0" w:color="auto"/>
            </w:tcBorders>
            <w:vAlign w:val="center"/>
          </w:tcPr>
          <w:p w14:paraId="1F18E009" w14:textId="187042E4" w:rsidR="006F11BC" w:rsidRPr="006F11BC" w:rsidRDefault="006F11BC" w:rsidP="006F11BC">
            <w:pPr>
              <w:rPr>
                <w:rFonts w:ascii="Arial" w:hAnsi="Arial" w:cs="Arial"/>
                <w:sz w:val="16"/>
                <w:szCs w:val="16"/>
              </w:rPr>
            </w:pPr>
            <w:r w:rsidRPr="006F11BC">
              <w:rPr>
                <w:rFonts w:ascii="Arial" w:hAnsi="Arial" w:cs="Arial"/>
                <w:sz w:val="16"/>
                <w:szCs w:val="16"/>
              </w:rPr>
              <w:t>6697699</w:t>
            </w:r>
          </w:p>
        </w:tc>
        <w:tc>
          <w:tcPr>
            <w:tcW w:w="1985" w:type="dxa"/>
            <w:tcBorders>
              <w:top w:val="single" w:sz="4" w:space="0" w:color="auto"/>
              <w:bottom w:val="single" w:sz="4" w:space="0" w:color="auto"/>
              <w:right w:val="single" w:sz="4" w:space="0" w:color="auto"/>
            </w:tcBorders>
            <w:vAlign w:val="center"/>
          </w:tcPr>
          <w:p w14:paraId="185787DF" w14:textId="25C2D9E1" w:rsidR="006F11BC" w:rsidRPr="006F11BC" w:rsidRDefault="006F11BC" w:rsidP="006F11BC">
            <w:pPr>
              <w:rPr>
                <w:rFonts w:ascii="Arial" w:hAnsi="Arial" w:cs="Arial"/>
                <w:sz w:val="16"/>
                <w:szCs w:val="16"/>
              </w:rPr>
            </w:pPr>
            <w:r w:rsidRPr="006F11BC">
              <w:rPr>
                <w:rFonts w:ascii="Arial" w:hAnsi="Arial" w:cs="Arial"/>
                <w:sz w:val="16"/>
                <w:szCs w:val="16"/>
              </w:rPr>
              <w:t>Dům pokojného stáří Naděje Zlín</w:t>
            </w:r>
          </w:p>
        </w:tc>
        <w:tc>
          <w:tcPr>
            <w:tcW w:w="1842" w:type="dxa"/>
            <w:tcBorders>
              <w:top w:val="single" w:sz="4" w:space="0" w:color="auto"/>
              <w:bottom w:val="single" w:sz="4" w:space="0" w:color="auto"/>
              <w:right w:val="single" w:sz="4" w:space="0" w:color="auto"/>
            </w:tcBorders>
            <w:vAlign w:val="center"/>
          </w:tcPr>
          <w:p w14:paraId="71043E3D" w14:textId="3F2D574B" w:rsidR="006F11BC" w:rsidRPr="006F11BC" w:rsidRDefault="006F11BC" w:rsidP="006F11BC">
            <w:pPr>
              <w:rPr>
                <w:rFonts w:ascii="Arial" w:hAnsi="Arial" w:cs="Arial"/>
                <w:sz w:val="16"/>
                <w:szCs w:val="16"/>
              </w:rPr>
            </w:pPr>
            <w:r w:rsidRPr="006F11BC">
              <w:rPr>
                <w:rFonts w:ascii="Arial" w:hAnsi="Arial" w:cs="Arial"/>
                <w:sz w:val="16"/>
                <w:szCs w:val="16"/>
              </w:rPr>
              <w:t>Pobytová</w:t>
            </w:r>
          </w:p>
        </w:tc>
        <w:tc>
          <w:tcPr>
            <w:tcW w:w="1959" w:type="dxa"/>
            <w:tcBorders>
              <w:top w:val="single" w:sz="4" w:space="0" w:color="auto"/>
              <w:bottom w:val="single" w:sz="4" w:space="0" w:color="auto"/>
              <w:right w:val="single" w:sz="4" w:space="0" w:color="auto"/>
            </w:tcBorders>
            <w:vAlign w:val="center"/>
          </w:tcPr>
          <w:p w14:paraId="4AD4AE42" w14:textId="497AA7D2" w:rsidR="006F11BC" w:rsidRPr="006F11BC" w:rsidRDefault="006F11BC" w:rsidP="006F11BC">
            <w:pPr>
              <w:rPr>
                <w:rFonts w:ascii="Arial" w:hAnsi="Arial" w:cs="Arial"/>
                <w:sz w:val="16"/>
                <w:szCs w:val="16"/>
              </w:rPr>
            </w:pPr>
            <w:r w:rsidRPr="006F11BC">
              <w:rPr>
                <w:rFonts w:ascii="Arial" w:hAnsi="Arial" w:cs="Arial"/>
                <w:sz w:val="16"/>
                <w:szCs w:val="16"/>
              </w:rPr>
              <w:t>Senioři</w:t>
            </w:r>
          </w:p>
        </w:tc>
        <w:tc>
          <w:tcPr>
            <w:tcW w:w="2006" w:type="dxa"/>
            <w:tcBorders>
              <w:top w:val="single" w:sz="4" w:space="0" w:color="auto"/>
              <w:bottom w:val="single" w:sz="4" w:space="0" w:color="auto"/>
              <w:right w:val="single" w:sz="4" w:space="0" w:color="auto"/>
            </w:tcBorders>
            <w:vAlign w:val="center"/>
          </w:tcPr>
          <w:p w14:paraId="5C2DFCCE" w14:textId="0184F963" w:rsidR="006F11BC" w:rsidRPr="006F11BC" w:rsidRDefault="006F11BC" w:rsidP="006F11BC">
            <w:pPr>
              <w:rPr>
                <w:rFonts w:ascii="Arial" w:hAnsi="Arial" w:cs="Arial"/>
                <w:sz w:val="16"/>
                <w:szCs w:val="16"/>
              </w:rPr>
            </w:pPr>
            <w:r w:rsidRPr="006F11BC">
              <w:rPr>
                <w:rFonts w:ascii="Arial" w:hAnsi="Arial" w:cs="Arial"/>
                <w:sz w:val="16"/>
                <w:szCs w:val="16"/>
              </w:rPr>
              <w:t>Zlín</w:t>
            </w:r>
          </w:p>
        </w:tc>
        <w:tc>
          <w:tcPr>
            <w:tcW w:w="1576" w:type="dxa"/>
            <w:tcBorders>
              <w:top w:val="single" w:sz="4" w:space="0" w:color="auto"/>
              <w:bottom w:val="single" w:sz="4" w:space="0" w:color="auto"/>
              <w:right w:val="single" w:sz="4" w:space="0" w:color="auto"/>
            </w:tcBorders>
            <w:vAlign w:val="center"/>
          </w:tcPr>
          <w:p w14:paraId="6B485B14" w14:textId="655FF320" w:rsidR="006F11BC" w:rsidRPr="006F11BC" w:rsidRDefault="006F11BC" w:rsidP="006F11BC">
            <w:pPr>
              <w:ind w:right="141"/>
              <w:rPr>
                <w:rFonts w:ascii="Arial" w:hAnsi="Arial" w:cs="Arial"/>
                <w:sz w:val="16"/>
                <w:szCs w:val="16"/>
              </w:rPr>
            </w:pPr>
            <w:r w:rsidRPr="006F11BC">
              <w:rPr>
                <w:rFonts w:ascii="Arial" w:hAnsi="Arial" w:cs="Arial"/>
                <w:sz w:val="16"/>
                <w:szCs w:val="16"/>
              </w:rPr>
              <w:t>Lůžko</w:t>
            </w:r>
          </w:p>
        </w:tc>
        <w:tc>
          <w:tcPr>
            <w:tcW w:w="1264" w:type="dxa"/>
            <w:tcBorders>
              <w:top w:val="single" w:sz="4" w:space="0" w:color="auto"/>
              <w:left w:val="single" w:sz="4" w:space="0" w:color="auto"/>
              <w:bottom w:val="single" w:sz="4" w:space="0" w:color="auto"/>
              <w:right w:val="single" w:sz="4" w:space="0" w:color="auto"/>
            </w:tcBorders>
            <w:vAlign w:val="center"/>
          </w:tcPr>
          <w:p w14:paraId="51DAEBDA" w14:textId="2CFEFA41"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19</w:t>
            </w:r>
          </w:p>
        </w:tc>
        <w:tc>
          <w:tcPr>
            <w:tcW w:w="1560" w:type="dxa"/>
            <w:tcBorders>
              <w:top w:val="single" w:sz="4" w:space="0" w:color="auto"/>
              <w:left w:val="single" w:sz="4" w:space="0" w:color="auto"/>
              <w:bottom w:val="single" w:sz="4" w:space="0" w:color="auto"/>
              <w:right w:val="single" w:sz="4" w:space="0" w:color="auto"/>
            </w:tcBorders>
            <w:vAlign w:val="center"/>
          </w:tcPr>
          <w:p w14:paraId="5696DF17" w14:textId="163C31EC"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1 440</w:t>
            </w:r>
            <w:r>
              <w:rPr>
                <w:rFonts w:ascii="Arial" w:hAnsi="Arial" w:cs="Arial"/>
                <w:sz w:val="16"/>
                <w:szCs w:val="16"/>
              </w:rPr>
              <w:t> </w:t>
            </w:r>
            <w:r w:rsidRPr="006F11BC">
              <w:rPr>
                <w:rFonts w:ascii="Arial" w:hAnsi="Arial" w:cs="Arial"/>
                <w:sz w:val="16"/>
                <w:szCs w:val="16"/>
              </w:rPr>
              <w:t>200</w:t>
            </w:r>
            <w:r>
              <w:rPr>
                <w:rFonts w:ascii="Arial" w:hAnsi="Arial" w:cs="Arial"/>
                <w:sz w:val="16"/>
                <w:szCs w:val="16"/>
              </w:rPr>
              <w:t>,00</w:t>
            </w:r>
          </w:p>
        </w:tc>
      </w:tr>
      <w:tr w:rsidR="006F11BC" w14:paraId="537951C2"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34FD1FFA" w14:textId="093737AD" w:rsidR="006F11BC" w:rsidRPr="006F11BC" w:rsidRDefault="006F11BC" w:rsidP="006F11BC">
            <w:pPr>
              <w:jc w:val="center"/>
              <w:rPr>
                <w:rFonts w:ascii="Arial" w:hAnsi="Arial" w:cs="Arial"/>
                <w:b/>
                <w:sz w:val="16"/>
                <w:szCs w:val="16"/>
              </w:rPr>
            </w:pPr>
            <w:r w:rsidRPr="006F11BC">
              <w:rPr>
                <w:rFonts w:ascii="Arial" w:hAnsi="Arial" w:cs="Arial"/>
                <w:b/>
                <w:sz w:val="16"/>
                <w:szCs w:val="16"/>
              </w:rPr>
              <w:t>14</w:t>
            </w:r>
          </w:p>
        </w:tc>
        <w:tc>
          <w:tcPr>
            <w:tcW w:w="1275" w:type="dxa"/>
            <w:tcBorders>
              <w:top w:val="single" w:sz="4" w:space="0" w:color="auto"/>
              <w:bottom w:val="single" w:sz="4" w:space="0" w:color="auto"/>
              <w:right w:val="single" w:sz="4" w:space="0" w:color="auto"/>
            </w:tcBorders>
            <w:vAlign w:val="center"/>
          </w:tcPr>
          <w:p w14:paraId="6DC097B4" w14:textId="62ACF967" w:rsidR="006F11BC" w:rsidRPr="006F11BC" w:rsidRDefault="006F11BC" w:rsidP="006F11BC">
            <w:pPr>
              <w:rPr>
                <w:rFonts w:ascii="Arial" w:hAnsi="Arial" w:cs="Arial"/>
                <w:sz w:val="16"/>
                <w:szCs w:val="16"/>
              </w:rPr>
            </w:pPr>
            <w:r w:rsidRPr="006F11BC">
              <w:rPr>
                <w:rFonts w:ascii="Arial" w:hAnsi="Arial" w:cs="Arial"/>
                <w:sz w:val="16"/>
                <w:szCs w:val="16"/>
              </w:rPr>
              <w:t>Denní stacionáře</w:t>
            </w:r>
          </w:p>
        </w:tc>
        <w:tc>
          <w:tcPr>
            <w:tcW w:w="1276" w:type="dxa"/>
            <w:tcBorders>
              <w:top w:val="single" w:sz="4" w:space="0" w:color="auto"/>
              <w:bottom w:val="single" w:sz="4" w:space="0" w:color="auto"/>
              <w:right w:val="single" w:sz="4" w:space="0" w:color="auto"/>
            </w:tcBorders>
            <w:vAlign w:val="center"/>
          </w:tcPr>
          <w:p w14:paraId="1088C516" w14:textId="20E8C082" w:rsidR="006F11BC" w:rsidRPr="006F11BC" w:rsidRDefault="006F11BC" w:rsidP="006F11BC">
            <w:pPr>
              <w:rPr>
                <w:rFonts w:ascii="Arial" w:hAnsi="Arial" w:cs="Arial"/>
                <w:sz w:val="16"/>
                <w:szCs w:val="16"/>
              </w:rPr>
            </w:pPr>
            <w:r w:rsidRPr="006F11BC">
              <w:rPr>
                <w:rFonts w:ascii="Arial" w:hAnsi="Arial" w:cs="Arial"/>
                <w:sz w:val="16"/>
                <w:szCs w:val="16"/>
              </w:rPr>
              <w:t>6965352</w:t>
            </w:r>
          </w:p>
        </w:tc>
        <w:tc>
          <w:tcPr>
            <w:tcW w:w="1985" w:type="dxa"/>
            <w:tcBorders>
              <w:top w:val="single" w:sz="4" w:space="0" w:color="auto"/>
              <w:bottom w:val="single" w:sz="4" w:space="0" w:color="auto"/>
              <w:right w:val="single" w:sz="4" w:space="0" w:color="auto"/>
            </w:tcBorders>
            <w:vAlign w:val="center"/>
          </w:tcPr>
          <w:p w14:paraId="69FD97A9" w14:textId="1C2DF7C5" w:rsidR="006F11BC" w:rsidRPr="006F11BC" w:rsidRDefault="006F11BC" w:rsidP="006F11BC">
            <w:pPr>
              <w:rPr>
                <w:rFonts w:ascii="Arial" w:hAnsi="Arial" w:cs="Arial"/>
                <w:sz w:val="16"/>
                <w:szCs w:val="16"/>
              </w:rPr>
            </w:pPr>
            <w:r w:rsidRPr="006F11BC">
              <w:rPr>
                <w:rFonts w:ascii="Arial" w:hAnsi="Arial" w:cs="Arial"/>
                <w:sz w:val="16"/>
                <w:szCs w:val="16"/>
              </w:rPr>
              <w:t xml:space="preserve">Středisko Naděje </w:t>
            </w:r>
            <w:proofErr w:type="gramStart"/>
            <w:r w:rsidRPr="006F11BC">
              <w:rPr>
                <w:rFonts w:ascii="Arial" w:hAnsi="Arial" w:cs="Arial"/>
                <w:sz w:val="16"/>
                <w:szCs w:val="16"/>
              </w:rPr>
              <w:t>Vsetín - Sychrov</w:t>
            </w:r>
            <w:proofErr w:type="gramEnd"/>
          </w:p>
        </w:tc>
        <w:tc>
          <w:tcPr>
            <w:tcW w:w="1842" w:type="dxa"/>
            <w:tcBorders>
              <w:top w:val="single" w:sz="4" w:space="0" w:color="auto"/>
              <w:bottom w:val="single" w:sz="4" w:space="0" w:color="auto"/>
              <w:right w:val="single" w:sz="4" w:space="0" w:color="auto"/>
            </w:tcBorders>
            <w:vAlign w:val="center"/>
          </w:tcPr>
          <w:p w14:paraId="40B010DA" w14:textId="2A87116A" w:rsidR="006F11BC" w:rsidRPr="006F11BC" w:rsidRDefault="006F11BC" w:rsidP="006F11BC">
            <w:pPr>
              <w:rPr>
                <w:rFonts w:ascii="Arial" w:hAnsi="Arial" w:cs="Arial"/>
                <w:sz w:val="16"/>
                <w:szCs w:val="16"/>
              </w:rPr>
            </w:pPr>
            <w:r w:rsidRPr="006F11BC">
              <w:rPr>
                <w:rFonts w:ascii="Arial" w:hAnsi="Arial" w:cs="Arial"/>
                <w:sz w:val="16"/>
                <w:szCs w:val="16"/>
              </w:rPr>
              <w:t>Ambulantní</w:t>
            </w:r>
          </w:p>
        </w:tc>
        <w:tc>
          <w:tcPr>
            <w:tcW w:w="1959" w:type="dxa"/>
            <w:tcBorders>
              <w:top w:val="single" w:sz="4" w:space="0" w:color="auto"/>
              <w:bottom w:val="single" w:sz="4" w:space="0" w:color="auto"/>
              <w:right w:val="single" w:sz="4" w:space="0" w:color="auto"/>
            </w:tcBorders>
            <w:vAlign w:val="center"/>
          </w:tcPr>
          <w:p w14:paraId="3D834899" w14:textId="1AB3E8FA" w:rsidR="006F11BC" w:rsidRPr="006F11BC" w:rsidRDefault="006F11BC" w:rsidP="006F11BC">
            <w:pPr>
              <w:rPr>
                <w:rFonts w:ascii="Arial" w:hAnsi="Arial" w:cs="Arial"/>
                <w:sz w:val="16"/>
                <w:szCs w:val="16"/>
              </w:rPr>
            </w:pPr>
            <w:r w:rsidRPr="006F11BC">
              <w:rPr>
                <w:rFonts w:ascii="Arial" w:hAnsi="Arial" w:cs="Arial"/>
                <w:sz w:val="16"/>
                <w:szCs w:val="16"/>
              </w:rPr>
              <w:t>Osoby se zdravotním postižením</w:t>
            </w:r>
          </w:p>
        </w:tc>
        <w:tc>
          <w:tcPr>
            <w:tcW w:w="2006" w:type="dxa"/>
            <w:tcBorders>
              <w:top w:val="single" w:sz="4" w:space="0" w:color="auto"/>
              <w:bottom w:val="single" w:sz="4" w:space="0" w:color="auto"/>
              <w:right w:val="single" w:sz="4" w:space="0" w:color="auto"/>
            </w:tcBorders>
            <w:vAlign w:val="center"/>
          </w:tcPr>
          <w:p w14:paraId="7084E168" w14:textId="02FD6DA8" w:rsidR="006F11BC" w:rsidRPr="006F11BC" w:rsidRDefault="006F11BC" w:rsidP="006F11BC">
            <w:pPr>
              <w:rPr>
                <w:rFonts w:ascii="Arial" w:hAnsi="Arial" w:cs="Arial"/>
                <w:sz w:val="16"/>
                <w:szCs w:val="16"/>
              </w:rPr>
            </w:pPr>
            <w:r w:rsidRPr="006F11BC">
              <w:rPr>
                <w:rFonts w:ascii="Arial" w:hAnsi="Arial" w:cs="Arial"/>
                <w:sz w:val="16"/>
                <w:szCs w:val="16"/>
              </w:rPr>
              <w:t>Vsetín</w:t>
            </w:r>
          </w:p>
        </w:tc>
        <w:tc>
          <w:tcPr>
            <w:tcW w:w="1576" w:type="dxa"/>
            <w:tcBorders>
              <w:top w:val="single" w:sz="4" w:space="0" w:color="auto"/>
              <w:bottom w:val="single" w:sz="4" w:space="0" w:color="auto"/>
              <w:right w:val="single" w:sz="4" w:space="0" w:color="auto"/>
            </w:tcBorders>
            <w:vAlign w:val="center"/>
          </w:tcPr>
          <w:p w14:paraId="34C84C17" w14:textId="4F64674C" w:rsidR="006F11BC" w:rsidRPr="006F11BC" w:rsidRDefault="006F11BC" w:rsidP="006F11BC">
            <w:pPr>
              <w:ind w:right="141"/>
              <w:rPr>
                <w:rFonts w:ascii="Arial" w:hAnsi="Arial" w:cs="Arial"/>
                <w:sz w:val="16"/>
                <w:szCs w:val="16"/>
              </w:rPr>
            </w:pPr>
            <w:r w:rsidRPr="006F11BC">
              <w:rPr>
                <w:rFonts w:ascii="Arial" w:hAnsi="Arial" w:cs="Arial"/>
                <w:sz w:val="16"/>
                <w:szCs w:val="16"/>
              </w:rPr>
              <w:t>Průměrný přepočtený úvazek PP</w:t>
            </w:r>
          </w:p>
        </w:tc>
        <w:tc>
          <w:tcPr>
            <w:tcW w:w="1264" w:type="dxa"/>
            <w:tcBorders>
              <w:top w:val="single" w:sz="4" w:space="0" w:color="auto"/>
              <w:left w:val="single" w:sz="4" w:space="0" w:color="auto"/>
              <w:bottom w:val="single" w:sz="4" w:space="0" w:color="auto"/>
              <w:right w:val="single" w:sz="4" w:space="0" w:color="auto"/>
            </w:tcBorders>
            <w:vAlign w:val="center"/>
          </w:tcPr>
          <w:p w14:paraId="031BEB32" w14:textId="59DBC153"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3,89</w:t>
            </w:r>
          </w:p>
        </w:tc>
        <w:tc>
          <w:tcPr>
            <w:tcW w:w="1560" w:type="dxa"/>
            <w:tcBorders>
              <w:top w:val="single" w:sz="4" w:space="0" w:color="auto"/>
              <w:left w:val="single" w:sz="4" w:space="0" w:color="auto"/>
              <w:bottom w:val="single" w:sz="4" w:space="0" w:color="auto"/>
              <w:right w:val="single" w:sz="4" w:space="0" w:color="auto"/>
            </w:tcBorders>
            <w:vAlign w:val="center"/>
          </w:tcPr>
          <w:p w14:paraId="611A92A9" w14:textId="255BB566"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837</w:t>
            </w:r>
            <w:r>
              <w:rPr>
                <w:rFonts w:ascii="Arial" w:hAnsi="Arial" w:cs="Arial"/>
                <w:sz w:val="16"/>
                <w:szCs w:val="16"/>
              </w:rPr>
              <w:t> </w:t>
            </w:r>
            <w:r w:rsidRPr="006F11BC">
              <w:rPr>
                <w:rFonts w:ascii="Arial" w:hAnsi="Arial" w:cs="Arial"/>
                <w:sz w:val="16"/>
                <w:szCs w:val="16"/>
              </w:rPr>
              <w:t>200</w:t>
            </w:r>
            <w:r>
              <w:rPr>
                <w:rFonts w:ascii="Arial" w:hAnsi="Arial" w:cs="Arial"/>
                <w:sz w:val="16"/>
                <w:szCs w:val="16"/>
              </w:rPr>
              <w:t>,00</w:t>
            </w:r>
          </w:p>
        </w:tc>
      </w:tr>
      <w:tr w:rsidR="006F11BC" w14:paraId="11C48B02" w14:textId="77777777" w:rsidTr="006F11BC">
        <w:trPr>
          <w:cantSplit/>
          <w:trHeight w:val="178"/>
          <w:jc w:val="center"/>
        </w:trPr>
        <w:tc>
          <w:tcPr>
            <w:tcW w:w="709" w:type="dxa"/>
            <w:tcBorders>
              <w:top w:val="single" w:sz="4" w:space="0" w:color="auto"/>
              <w:bottom w:val="single" w:sz="4" w:space="0" w:color="auto"/>
              <w:right w:val="single" w:sz="4" w:space="0" w:color="auto"/>
            </w:tcBorders>
            <w:vAlign w:val="center"/>
          </w:tcPr>
          <w:p w14:paraId="56839831" w14:textId="1042295F" w:rsidR="006F11BC" w:rsidRPr="006F11BC" w:rsidRDefault="006F11BC" w:rsidP="006F11BC">
            <w:pPr>
              <w:jc w:val="center"/>
              <w:rPr>
                <w:rFonts w:ascii="Arial" w:hAnsi="Arial" w:cs="Arial"/>
                <w:b/>
                <w:sz w:val="16"/>
                <w:szCs w:val="16"/>
              </w:rPr>
            </w:pPr>
            <w:r w:rsidRPr="006F11BC">
              <w:rPr>
                <w:rFonts w:ascii="Arial" w:hAnsi="Arial" w:cs="Arial"/>
                <w:b/>
                <w:sz w:val="16"/>
                <w:szCs w:val="16"/>
              </w:rPr>
              <w:t>15</w:t>
            </w:r>
          </w:p>
        </w:tc>
        <w:tc>
          <w:tcPr>
            <w:tcW w:w="1275" w:type="dxa"/>
            <w:tcBorders>
              <w:top w:val="single" w:sz="4" w:space="0" w:color="auto"/>
              <w:bottom w:val="single" w:sz="4" w:space="0" w:color="auto"/>
              <w:right w:val="single" w:sz="4" w:space="0" w:color="auto"/>
            </w:tcBorders>
            <w:vAlign w:val="center"/>
          </w:tcPr>
          <w:p w14:paraId="11727AFD" w14:textId="0239822B" w:rsidR="006F11BC" w:rsidRPr="006F11BC" w:rsidRDefault="006F11BC" w:rsidP="006F11BC">
            <w:pPr>
              <w:rPr>
                <w:rFonts w:ascii="Arial" w:hAnsi="Arial" w:cs="Arial"/>
                <w:sz w:val="16"/>
                <w:szCs w:val="16"/>
              </w:rPr>
            </w:pPr>
            <w:r w:rsidRPr="006F11BC">
              <w:rPr>
                <w:rFonts w:ascii="Arial" w:hAnsi="Arial" w:cs="Arial"/>
                <w:sz w:val="16"/>
                <w:szCs w:val="16"/>
              </w:rPr>
              <w:t>Sociálně terapeutické dílny</w:t>
            </w:r>
          </w:p>
        </w:tc>
        <w:tc>
          <w:tcPr>
            <w:tcW w:w="1276" w:type="dxa"/>
            <w:tcBorders>
              <w:top w:val="single" w:sz="4" w:space="0" w:color="auto"/>
              <w:bottom w:val="single" w:sz="4" w:space="0" w:color="auto"/>
              <w:right w:val="single" w:sz="4" w:space="0" w:color="auto"/>
            </w:tcBorders>
            <w:vAlign w:val="center"/>
          </w:tcPr>
          <w:p w14:paraId="6FE4FC59" w14:textId="73435D98" w:rsidR="006F11BC" w:rsidRPr="006F11BC" w:rsidRDefault="006F11BC" w:rsidP="006F11BC">
            <w:pPr>
              <w:rPr>
                <w:rFonts w:ascii="Arial" w:hAnsi="Arial" w:cs="Arial"/>
                <w:sz w:val="16"/>
                <w:szCs w:val="16"/>
              </w:rPr>
            </w:pPr>
            <w:r w:rsidRPr="006F11BC">
              <w:rPr>
                <w:rFonts w:ascii="Arial" w:hAnsi="Arial" w:cs="Arial"/>
                <w:sz w:val="16"/>
                <w:szCs w:val="16"/>
              </w:rPr>
              <w:t>9369393</w:t>
            </w:r>
          </w:p>
        </w:tc>
        <w:tc>
          <w:tcPr>
            <w:tcW w:w="1985" w:type="dxa"/>
            <w:tcBorders>
              <w:top w:val="single" w:sz="4" w:space="0" w:color="auto"/>
              <w:bottom w:val="single" w:sz="4" w:space="0" w:color="auto"/>
              <w:right w:val="single" w:sz="4" w:space="0" w:color="auto"/>
            </w:tcBorders>
            <w:vAlign w:val="center"/>
          </w:tcPr>
          <w:p w14:paraId="3EB1C444" w14:textId="7A6A9657" w:rsidR="006F11BC" w:rsidRPr="006F11BC" w:rsidRDefault="006F11BC" w:rsidP="006F11BC">
            <w:pPr>
              <w:rPr>
                <w:rFonts w:ascii="Arial" w:hAnsi="Arial" w:cs="Arial"/>
                <w:sz w:val="16"/>
                <w:szCs w:val="16"/>
              </w:rPr>
            </w:pPr>
            <w:r w:rsidRPr="006F11BC">
              <w:rPr>
                <w:rFonts w:ascii="Arial" w:hAnsi="Arial" w:cs="Arial"/>
                <w:sz w:val="16"/>
                <w:szCs w:val="16"/>
              </w:rPr>
              <w:t xml:space="preserve">Středisko Naděje </w:t>
            </w:r>
            <w:proofErr w:type="gramStart"/>
            <w:r w:rsidRPr="006F11BC">
              <w:rPr>
                <w:rFonts w:ascii="Arial" w:hAnsi="Arial" w:cs="Arial"/>
                <w:sz w:val="16"/>
                <w:szCs w:val="16"/>
              </w:rPr>
              <w:t>Vsetín - Rokytnice</w:t>
            </w:r>
            <w:proofErr w:type="gramEnd"/>
          </w:p>
        </w:tc>
        <w:tc>
          <w:tcPr>
            <w:tcW w:w="1842" w:type="dxa"/>
            <w:tcBorders>
              <w:top w:val="single" w:sz="4" w:space="0" w:color="auto"/>
              <w:bottom w:val="single" w:sz="4" w:space="0" w:color="auto"/>
              <w:right w:val="single" w:sz="4" w:space="0" w:color="auto"/>
            </w:tcBorders>
            <w:vAlign w:val="center"/>
          </w:tcPr>
          <w:p w14:paraId="44C327C4" w14:textId="66167DC4" w:rsidR="006F11BC" w:rsidRPr="006F11BC" w:rsidRDefault="006F11BC" w:rsidP="006F11BC">
            <w:pPr>
              <w:rPr>
                <w:rFonts w:ascii="Arial" w:hAnsi="Arial" w:cs="Arial"/>
                <w:sz w:val="16"/>
                <w:szCs w:val="16"/>
              </w:rPr>
            </w:pPr>
            <w:r w:rsidRPr="006F11BC">
              <w:rPr>
                <w:rFonts w:ascii="Arial" w:hAnsi="Arial" w:cs="Arial"/>
                <w:sz w:val="16"/>
                <w:szCs w:val="16"/>
              </w:rPr>
              <w:t>Ambulantní</w:t>
            </w:r>
          </w:p>
        </w:tc>
        <w:tc>
          <w:tcPr>
            <w:tcW w:w="1959" w:type="dxa"/>
            <w:tcBorders>
              <w:top w:val="single" w:sz="4" w:space="0" w:color="auto"/>
              <w:bottom w:val="single" w:sz="4" w:space="0" w:color="auto"/>
              <w:right w:val="single" w:sz="4" w:space="0" w:color="auto"/>
            </w:tcBorders>
            <w:vAlign w:val="center"/>
          </w:tcPr>
          <w:p w14:paraId="0DD9537D" w14:textId="07E3B348" w:rsidR="006F11BC" w:rsidRPr="006F11BC" w:rsidRDefault="006F11BC" w:rsidP="006F11BC">
            <w:pPr>
              <w:rPr>
                <w:rFonts w:ascii="Arial" w:hAnsi="Arial" w:cs="Arial"/>
                <w:sz w:val="16"/>
                <w:szCs w:val="16"/>
              </w:rPr>
            </w:pPr>
            <w:r w:rsidRPr="006F11BC">
              <w:rPr>
                <w:rFonts w:ascii="Arial" w:hAnsi="Arial" w:cs="Arial"/>
                <w:sz w:val="16"/>
                <w:szCs w:val="16"/>
              </w:rPr>
              <w:t>Osoby se zdravotním postižením</w:t>
            </w:r>
          </w:p>
        </w:tc>
        <w:tc>
          <w:tcPr>
            <w:tcW w:w="2006" w:type="dxa"/>
            <w:tcBorders>
              <w:top w:val="single" w:sz="4" w:space="0" w:color="auto"/>
              <w:bottom w:val="single" w:sz="4" w:space="0" w:color="auto"/>
              <w:right w:val="single" w:sz="4" w:space="0" w:color="auto"/>
            </w:tcBorders>
            <w:vAlign w:val="center"/>
          </w:tcPr>
          <w:p w14:paraId="6564883F" w14:textId="456173EC" w:rsidR="006F11BC" w:rsidRPr="006F11BC" w:rsidRDefault="006F11BC" w:rsidP="006F11BC">
            <w:pPr>
              <w:rPr>
                <w:rFonts w:ascii="Arial" w:hAnsi="Arial" w:cs="Arial"/>
                <w:sz w:val="16"/>
                <w:szCs w:val="16"/>
              </w:rPr>
            </w:pPr>
            <w:r w:rsidRPr="006F11BC">
              <w:rPr>
                <w:rFonts w:ascii="Arial" w:hAnsi="Arial" w:cs="Arial"/>
                <w:sz w:val="16"/>
                <w:szCs w:val="16"/>
              </w:rPr>
              <w:t>Vsetín</w:t>
            </w:r>
          </w:p>
        </w:tc>
        <w:tc>
          <w:tcPr>
            <w:tcW w:w="1576" w:type="dxa"/>
            <w:tcBorders>
              <w:top w:val="single" w:sz="4" w:space="0" w:color="auto"/>
              <w:bottom w:val="single" w:sz="4" w:space="0" w:color="auto"/>
              <w:right w:val="single" w:sz="4" w:space="0" w:color="auto"/>
            </w:tcBorders>
            <w:vAlign w:val="center"/>
          </w:tcPr>
          <w:p w14:paraId="732566D4" w14:textId="46A9095D" w:rsidR="006F11BC" w:rsidRPr="006F11BC" w:rsidRDefault="006F11BC" w:rsidP="006F11BC">
            <w:pPr>
              <w:ind w:right="141"/>
              <w:rPr>
                <w:rFonts w:ascii="Arial" w:hAnsi="Arial" w:cs="Arial"/>
                <w:sz w:val="16"/>
                <w:szCs w:val="16"/>
              </w:rPr>
            </w:pPr>
            <w:r w:rsidRPr="006F11BC">
              <w:rPr>
                <w:rFonts w:ascii="Arial" w:hAnsi="Arial" w:cs="Arial"/>
                <w:sz w:val="16"/>
                <w:szCs w:val="16"/>
              </w:rPr>
              <w:t>Průměrný přepočtený úvazek PP</w:t>
            </w:r>
          </w:p>
        </w:tc>
        <w:tc>
          <w:tcPr>
            <w:tcW w:w="1264" w:type="dxa"/>
            <w:tcBorders>
              <w:top w:val="single" w:sz="4" w:space="0" w:color="auto"/>
              <w:left w:val="single" w:sz="4" w:space="0" w:color="auto"/>
              <w:bottom w:val="single" w:sz="4" w:space="0" w:color="auto"/>
              <w:right w:val="single" w:sz="4" w:space="0" w:color="auto"/>
            </w:tcBorders>
            <w:vAlign w:val="center"/>
          </w:tcPr>
          <w:p w14:paraId="7CE61EB1" w14:textId="5DD90C73"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3,89</w:t>
            </w:r>
          </w:p>
        </w:tc>
        <w:tc>
          <w:tcPr>
            <w:tcW w:w="1560" w:type="dxa"/>
            <w:tcBorders>
              <w:top w:val="single" w:sz="4" w:space="0" w:color="auto"/>
              <w:left w:val="single" w:sz="4" w:space="0" w:color="auto"/>
              <w:bottom w:val="single" w:sz="4" w:space="0" w:color="auto"/>
              <w:right w:val="single" w:sz="4" w:space="0" w:color="auto"/>
            </w:tcBorders>
            <w:vAlign w:val="center"/>
          </w:tcPr>
          <w:p w14:paraId="5CCBCEAC" w14:textId="4937DCE2" w:rsidR="006F11BC" w:rsidRPr="006F11BC" w:rsidRDefault="006F11BC" w:rsidP="006F11BC">
            <w:pPr>
              <w:ind w:right="141"/>
              <w:jc w:val="right"/>
              <w:rPr>
                <w:rFonts w:ascii="Arial" w:hAnsi="Arial" w:cs="Arial"/>
                <w:sz w:val="16"/>
                <w:szCs w:val="16"/>
              </w:rPr>
            </w:pPr>
            <w:r w:rsidRPr="006F11BC">
              <w:rPr>
                <w:rFonts w:ascii="Arial" w:hAnsi="Arial" w:cs="Arial"/>
                <w:sz w:val="16"/>
                <w:szCs w:val="16"/>
              </w:rPr>
              <w:t>703</w:t>
            </w:r>
            <w:r>
              <w:rPr>
                <w:rFonts w:ascii="Arial" w:hAnsi="Arial" w:cs="Arial"/>
                <w:sz w:val="16"/>
                <w:szCs w:val="16"/>
              </w:rPr>
              <w:t> </w:t>
            </w:r>
            <w:r w:rsidRPr="006F11BC">
              <w:rPr>
                <w:rFonts w:ascii="Arial" w:hAnsi="Arial" w:cs="Arial"/>
                <w:sz w:val="16"/>
                <w:szCs w:val="16"/>
              </w:rPr>
              <w:t>000</w:t>
            </w:r>
            <w:r>
              <w:rPr>
                <w:rFonts w:ascii="Arial" w:hAnsi="Arial" w:cs="Arial"/>
                <w:sz w:val="16"/>
                <w:szCs w:val="16"/>
              </w:rPr>
              <w:t>,00</w:t>
            </w:r>
          </w:p>
        </w:tc>
      </w:tr>
    </w:tbl>
    <w:p w14:paraId="3C157C21" w14:textId="77777777" w:rsidR="00B03E0E" w:rsidRDefault="00B03E0E">
      <w:pPr>
        <w:jc w:val="both"/>
        <w:rPr>
          <w:rFonts w:ascii="Arial" w:hAnsi="Arial" w:cs="Arial"/>
          <w:sz w:val="20"/>
          <w:szCs w:val="20"/>
        </w:rPr>
      </w:pPr>
    </w:p>
    <w:p w14:paraId="1F47E4DE" w14:textId="74ACDF25" w:rsidR="00B03E0E" w:rsidRDefault="00FD0500">
      <w:pPr>
        <w:jc w:val="both"/>
        <w:rPr>
          <w:rFonts w:ascii="Arial" w:hAnsi="Arial" w:cs="Arial"/>
          <w:sz w:val="20"/>
          <w:szCs w:val="20"/>
        </w:rPr>
      </w:pPr>
      <w:r>
        <w:rPr>
          <w:rFonts w:ascii="Arial" w:hAnsi="Arial" w:cs="Arial"/>
          <w:sz w:val="20"/>
          <w:szCs w:val="20"/>
        </w:rPr>
        <w:t xml:space="preserve">Návratná finanční výpomoc v Kč celkem: </w:t>
      </w:r>
      <w:r w:rsidR="006F11BC" w:rsidRPr="006F11BC">
        <w:rPr>
          <w:rFonts w:ascii="Arial" w:hAnsi="Arial" w:cs="Arial"/>
          <w:b/>
          <w:bCs/>
          <w:sz w:val="20"/>
          <w:szCs w:val="20"/>
        </w:rPr>
        <w:t>26 336 600,00</w:t>
      </w:r>
    </w:p>
    <w:p w14:paraId="2423DB30" w14:textId="77777777" w:rsidR="00B03E0E" w:rsidRDefault="00B03E0E">
      <w:pPr>
        <w:jc w:val="both"/>
        <w:rPr>
          <w:rFonts w:ascii="Arial" w:hAnsi="Arial" w:cs="Arial"/>
          <w:i/>
          <w:sz w:val="20"/>
          <w:szCs w:val="20"/>
          <w:u w:val="single"/>
        </w:rPr>
      </w:pPr>
    </w:p>
    <w:p w14:paraId="0E9C7F4E" w14:textId="77777777" w:rsidR="00B03E0E" w:rsidRDefault="00FD0500">
      <w:pPr>
        <w:jc w:val="both"/>
        <w:rPr>
          <w:rFonts w:ascii="Arial" w:hAnsi="Arial" w:cs="Arial"/>
          <w:i/>
          <w:sz w:val="20"/>
          <w:szCs w:val="20"/>
          <w:u w:val="single"/>
        </w:rPr>
      </w:pPr>
      <w:r>
        <w:rPr>
          <w:rFonts w:ascii="Arial" w:hAnsi="Arial" w:cs="Arial"/>
          <w:i/>
          <w:sz w:val="20"/>
          <w:szCs w:val="20"/>
          <w:u w:val="single"/>
        </w:rPr>
        <w:t>Vysvětlivky ke zkratkám:</w:t>
      </w:r>
    </w:p>
    <w:p w14:paraId="24CC9606" w14:textId="77777777" w:rsidR="00B03E0E" w:rsidRDefault="00B03E0E">
      <w:pPr>
        <w:jc w:val="both"/>
        <w:rPr>
          <w:rFonts w:ascii="Arial" w:hAnsi="Arial" w:cs="Arial"/>
          <w:sz w:val="20"/>
          <w:szCs w:val="20"/>
        </w:rPr>
      </w:pPr>
    </w:p>
    <w:p w14:paraId="57A430FB" w14:textId="5A536597" w:rsidR="00B03E0E" w:rsidRDefault="00FD0500">
      <w:pPr>
        <w:jc w:val="both"/>
        <w:rPr>
          <w:rFonts w:ascii="Arial" w:hAnsi="Arial" w:cs="Arial"/>
          <w:sz w:val="20"/>
          <w:szCs w:val="20"/>
        </w:rPr>
      </w:pPr>
      <w:r>
        <w:rPr>
          <w:rFonts w:ascii="Arial" w:hAnsi="Arial" w:cs="Arial"/>
          <w:sz w:val="20"/>
          <w:szCs w:val="20"/>
        </w:rPr>
        <w:t>AP 202</w:t>
      </w:r>
      <w:r w:rsidR="00E7557E">
        <w:rPr>
          <w:rFonts w:ascii="Arial" w:hAnsi="Arial" w:cs="Arial"/>
          <w:sz w:val="20"/>
          <w:szCs w:val="20"/>
        </w:rPr>
        <w:t>4</w:t>
      </w:r>
      <w:r>
        <w:rPr>
          <w:rFonts w:ascii="Arial" w:hAnsi="Arial" w:cs="Arial"/>
          <w:sz w:val="20"/>
          <w:szCs w:val="20"/>
        </w:rPr>
        <w:t xml:space="preserve"> = Akční plán rozvoje sociálních služeb ve Zlínském kraji pro rok 202</w:t>
      </w:r>
      <w:r w:rsidR="00E7557E">
        <w:rPr>
          <w:rFonts w:ascii="Arial" w:hAnsi="Arial" w:cs="Arial"/>
          <w:sz w:val="20"/>
          <w:szCs w:val="20"/>
        </w:rPr>
        <w:t>4</w:t>
      </w:r>
    </w:p>
    <w:p w14:paraId="5271F6D3" w14:textId="707E4A8F" w:rsidR="00B03E0E" w:rsidRDefault="00FD0500">
      <w:pPr>
        <w:jc w:val="both"/>
        <w:rPr>
          <w:rFonts w:ascii="Arial" w:hAnsi="Arial" w:cs="Arial"/>
          <w:sz w:val="20"/>
          <w:szCs w:val="20"/>
        </w:rPr>
      </w:pPr>
      <w:r>
        <w:rPr>
          <w:rFonts w:ascii="Arial" w:hAnsi="Arial" w:cs="Arial"/>
          <w:sz w:val="20"/>
          <w:szCs w:val="20"/>
        </w:rPr>
        <w:t>SO ORP = Správní obvod obce s rozšířenou působností</w:t>
      </w:r>
    </w:p>
    <w:sectPr w:rsidR="00B03E0E">
      <w:footerReference w:type="first" r:id="rId17"/>
      <w:pgSz w:w="16838" w:h="11906" w:orient="landscape"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99B7" w14:textId="77777777" w:rsidR="009C2CE4" w:rsidRDefault="009C2CE4">
      <w:r>
        <w:separator/>
      </w:r>
    </w:p>
  </w:endnote>
  <w:endnote w:type="continuationSeparator" w:id="0">
    <w:p w14:paraId="494C7F37" w14:textId="77777777" w:rsidR="009C2CE4" w:rsidRDefault="009C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51D4" w14:textId="77777777" w:rsidR="00B03E0E" w:rsidRDefault="00FD05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6ED19F1" w14:textId="77777777" w:rsidR="00B03E0E" w:rsidRDefault="00B03E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4E45" w14:textId="295155A7" w:rsidR="00B03E0E" w:rsidRDefault="00FD0500">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ED0574">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ED0574">
      <w:rPr>
        <w:rFonts w:ascii="Arial" w:hAnsi="Arial" w:cs="Arial"/>
        <w:noProof/>
        <w:sz w:val="20"/>
        <w:szCs w:val="20"/>
      </w:rPr>
      <w:t>9</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42DD"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3DAC"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5DBE" w14:textId="77777777" w:rsidR="009C2CE4" w:rsidRDefault="009C2CE4">
      <w:r>
        <w:separator/>
      </w:r>
    </w:p>
  </w:footnote>
  <w:footnote w:type="continuationSeparator" w:id="0">
    <w:p w14:paraId="7B772389" w14:textId="77777777" w:rsidR="009C2CE4" w:rsidRDefault="009C2CE4">
      <w:r>
        <w:continuationSeparator/>
      </w:r>
    </w:p>
  </w:footnote>
  <w:footnote w:id="1">
    <w:p w14:paraId="7C40B9E0" w14:textId="77777777" w:rsidR="00B03E0E" w:rsidRDefault="00FD0500">
      <w:pPr>
        <w:pStyle w:val="Textpoznpodarou"/>
        <w:jc w:val="both"/>
        <w:rPr>
          <w:sz w:val="18"/>
          <w:szCs w:val="18"/>
        </w:rPr>
      </w:pPr>
      <w:r>
        <w:rPr>
          <w:rStyle w:val="Znakapoznpodarou"/>
          <w:sz w:val="18"/>
          <w:szCs w:val="18"/>
        </w:rPr>
        <w:footnoteRef/>
      </w:r>
      <w:r>
        <w:rPr>
          <w:sz w:val="18"/>
          <w:szCs w:val="18"/>
        </w:rPr>
        <w:t xml:space="preserve"> Zákon č. 235/2004 Sb., o dani z přidané hodnoty,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382D" w14:textId="25634496" w:rsidR="00A44666" w:rsidRPr="00653FD8" w:rsidRDefault="00392807" w:rsidP="00A44666">
    <w:pPr>
      <w:pStyle w:val="Zhlav"/>
      <w:jc w:val="right"/>
      <w:rPr>
        <w:rFonts w:ascii="Arial" w:hAnsi="Arial" w:cs="Arial"/>
        <w:b/>
        <w:szCs w:val="24"/>
      </w:rPr>
    </w:pPr>
    <w:r w:rsidRPr="00A44666">
      <w:rPr>
        <w:rFonts w:ascii="Arial" w:hAnsi="Arial" w:cs="Arial"/>
        <w:b/>
      </w:rPr>
      <w:tab/>
    </w:r>
    <w:r w:rsidRPr="00A44666">
      <w:rPr>
        <w:rFonts w:ascii="Arial" w:hAnsi="Arial" w:cs="Arial"/>
        <w:b/>
      </w:rPr>
      <w:tab/>
    </w:r>
  </w:p>
  <w:p w14:paraId="272490BF" w14:textId="5C7EB61C" w:rsidR="00392807" w:rsidRPr="00A44666" w:rsidRDefault="00392807">
    <w:pPr>
      <w:pStyle w:val="Zhlav"/>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7D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11224"/>
    <w:multiLevelType w:val="hybridMultilevel"/>
    <w:tmpl w:val="B6B822E8"/>
    <w:lvl w:ilvl="0" w:tplc="9A6A7F78">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3" w15:restartNumberingAfterBreak="0">
    <w:nsid w:val="0C92012D"/>
    <w:multiLevelType w:val="multilevel"/>
    <w:tmpl w:val="3B103C3E"/>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D55DD"/>
    <w:multiLevelType w:val="hybridMultilevel"/>
    <w:tmpl w:val="782A7F5C"/>
    <w:lvl w:ilvl="0" w:tplc="F1CEF6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147DC"/>
    <w:multiLevelType w:val="hybridMultilevel"/>
    <w:tmpl w:val="7316876C"/>
    <w:lvl w:ilvl="0" w:tplc="C12C58B0">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58"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8" w15:restartNumberingAfterBreak="0">
    <w:nsid w:val="1FA47E1C"/>
    <w:multiLevelType w:val="hybridMultilevel"/>
    <w:tmpl w:val="1B54EF18"/>
    <w:lvl w:ilvl="0" w:tplc="4A4E2184">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36F1AA7"/>
    <w:multiLevelType w:val="hybridMultilevel"/>
    <w:tmpl w:val="79DC72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D19CC"/>
    <w:multiLevelType w:val="multilevel"/>
    <w:tmpl w:val="68587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62826"/>
    <w:multiLevelType w:val="hybridMultilevel"/>
    <w:tmpl w:val="F3E8B4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9717F7"/>
    <w:multiLevelType w:val="multilevel"/>
    <w:tmpl w:val="193A40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063885"/>
    <w:multiLevelType w:val="hybridMultilevel"/>
    <w:tmpl w:val="5CEC4C70"/>
    <w:lvl w:ilvl="0" w:tplc="C38096BA">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3C43C5"/>
    <w:multiLevelType w:val="hybridMultilevel"/>
    <w:tmpl w:val="5F20E2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07687D"/>
    <w:multiLevelType w:val="hybridMultilevel"/>
    <w:tmpl w:val="EE8C2F2C"/>
    <w:lvl w:ilvl="0" w:tplc="0BC61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34BC0"/>
    <w:multiLevelType w:val="multilevel"/>
    <w:tmpl w:val="4AC245F0"/>
    <w:lvl w:ilvl="0">
      <w:start w:val="1"/>
      <w:numFmt w:val="decimal"/>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2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31E0781"/>
    <w:multiLevelType w:val="hybridMultilevel"/>
    <w:tmpl w:val="92BC98D2"/>
    <w:lvl w:ilvl="0" w:tplc="3A0AFF18">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6433238"/>
    <w:multiLevelType w:val="multilevel"/>
    <w:tmpl w:val="9A60FD2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6CB2EA5"/>
    <w:multiLevelType w:val="hybridMultilevel"/>
    <w:tmpl w:val="27348394"/>
    <w:lvl w:ilvl="0" w:tplc="5AC80308">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094B7D"/>
    <w:multiLevelType w:val="multilevel"/>
    <w:tmpl w:val="B290DDA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FB346C8"/>
    <w:multiLevelType w:val="hybridMultilevel"/>
    <w:tmpl w:val="A7A29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C31B37"/>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517D7D"/>
    <w:multiLevelType w:val="multilevel"/>
    <w:tmpl w:val="407AFE28"/>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7BB71F0"/>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31" w15:restartNumberingAfterBreak="0">
    <w:nsid w:val="58EC0EFC"/>
    <w:multiLevelType w:val="multilevel"/>
    <w:tmpl w:val="53D0DB98"/>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32" w15:restartNumberingAfterBreak="0">
    <w:nsid w:val="590B513C"/>
    <w:multiLevelType w:val="hybridMultilevel"/>
    <w:tmpl w:val="4C0AAE5E"/>
    <w:lvl w:ilvl="0" w:tplc="D8D27FAE">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5B3B3D3D"/>
    <w:multiLevelType w:val="hybridMultilevel"/>
    <w:tmpl w:val="69020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5ED270CD"/>
    <w:multiLevelType w:val="multilevel"/>
    <w:tmpl w:val="68587E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8937CA"/>
    <w:multiLevelType w:val="hybridMultilevel"/>
    <w:tmpl w:val="20A8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3C7F9B"/>
    <w:multiLevelType w:val="hybridMultilevel"/>
    <w:tmpl w:val="3D4E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0F652AD"/>
    <w:multiLevelType w:val="hybridMultilevel"/>
    <w:tmpl w:val="EF66A534"/>
    <w:lvl w:ilvl="0" w:tplc="554E29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1336EFC"/>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42"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6BF3CBD"/>
    <w:multiLevelType w:val="hybridMultilevel"/>
    <w:tmpl w:val="5274C40A"/>
    <w:lvl w:ilvl="0" w:tplc="30D60E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9669A7"/>
    <w:multiLevelType w:val="multilevel"/>
    <w:tmpl w:val="1B88820A"/>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7" w15:restartNumberingAfterBreak="0">
    <w:nsid w:val="793C343D"/>
    <w:multiLevelType w:val="multilevel"/>
    <w:tmpl w:val="54B2A554"/>
    <w:lvl w:ilvl="0">
      <w:start w:val="1"/>
      <w:numFmt w:val="decimal"/>
      <w:lvlText w:val="%1."/>
      <w:lvlJc w:val="left"/>
      <w:pPr>
        <w:ind w:left="792" w:hanging="360"/>
      </w:pPr>
      <w:rPr>
        <w:rFonts w:asciiTheme="minorHAnsi" w:hAnsiTheme="minorHAnsi" w:hint="default"/>
        <w:sz w:val="22"/>
        <w:szCs w:val="22"/>
      </w:rPr>
    </w:lvl>
    <w:lvl w:ilvl="1">
      <w:start w:val="1"/>
      <w:numFmt w:val="bullet"/>
      <w:lvlText w:val=""/>
      <w:lvlJc w:val="left"/>
      <w:pPr>
        <w:ind w:left="864" w:hanging="432"/>
      </w:pPr>
      <w:rPr>
        <w:rFonts w:ascii="Symbol" w:hAnsi="Symbol"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8"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B5536C0"/>
    <w:multiLevelType w:val="hybridMultilevel"/>
    <w:tmpl w:val="B42C8C0E"/>
    <w:lvl w:ilvl="0" w:tplc="4BC88F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C8018A0"/>
    <w:multiLevelType w:val="hybridMultilevel"/>
    <w:tmpl w:val="1A664106"/>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1381033">
    <w:abstractNumId w:val="2"/>
  </w:num>
  <w:num w:numId="2" w16cid:durableId="99103363">
    <w:abstractNumId w:val="25"/>
  </w:num>
  <w:num w:numId="3" w16cid:durableId="1306397414">
    <w:abstractNumId w:val="44"/>
  </w:num>
  <w:num w:numId="4" w16cid:durableId="1995520894">
    <w:abstractNumId w:val="45"/>
  </w:num>
  <w:num w:numId="5" w16cid:durableId="431320908">
    <w:abstractNumId w:val="4"/>
  </w:num>
  <w:num w:numId="6" w16cid:durableId="267855517">
    <w:abstractNumId w:val="32"/>
  </w:num>
  <w:num w:numId="7" w16cid:durableId="866136566">
    <w:abstractNumId w:val="0"/>
  </w:num>
  <w:num w:numId="8" w16cid:durableId="711223430">
    <w:abstractNumId w:val="43"/>
  </w:num>
  <w:num w:numId="9" w16cid:durableId="709719022">
    <w:abstractNumId w:val="39"/>
  </w:num>
  <w:num w:numId="10" w16cid:durableId="691491288">
    <w:abstractNumId w:val="40"/>
  </w:num>
  <w:num w:numId="11" w16cid:durableId="1708288098">
    <w:abstractNumId w:val="6"/>
  </w:num>
  <w:num w:numId="12" w16cid:durableId="1224104286">
    <w:abstractNumId w:val="50"/>
  </w:num>
  <w:num w:numId="13" w16cid:durableId="1613778954">
    <w:abstractNumId w:val="47"/>
  </w:num>
  <w:num w:numId="14" w16cid:durableId="1936090987">
    <w:abstractNumId w:val="7"/>
  </w:num>
  <w:num w:numId="15" w16cid:durableId="193932772">
    <w:abstractNumId w:val="38"/>
  </w:num>
  <w:num w:numId="16" w16cid:durableId="1646154398">
    <w:abstractNumId w:val="13"/>
  </w:num>
  <w:num w:numId="17" w16cid:durableId="1646397122">
    <w:abstractNumId w:val="37"/>
  </w:num>
  <w:num w:numId="18" w16cid:durableId="958999282">
    <w:abstractNumId w:val="16"/>
  </w:num>
  <w:num w:numId="19" w16cid:durableId="790706639">
    <w:abstractNumId w:val="27"/>
  </w:num>
  <w:num w:numId="20" w16cid:durableId="851801337">
    <w:abstractNumId w:val="21"/>
  </w:num>
  <w:num w:numId="21" w16cid:durableId="2055109902">
    <w:abstractNumId w:val="28"/>
  </w:num>
  <w:num w:numId="22" w16cid:durableId="1634368185">
    <w:abstractNumId w:val="11"/>
  </w:num>
  <w:num w:numId="23" w16cid:durableId="1724329871">
    <w:abstractNumId w:val="3"/>
  </w:num>
  <w:num w:numId="24" w16cid:durableId="2123451647">
    <w:abstractNumId w:val="9"/>
  </w:num>
  <w:num w:numId="25" w16cid:durableId="1728450805">
    <w:abstractNumId w:val="42"/>
  </w:num>
  <w:num w:numId="26" w16cid:durableId="6616639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918246">
    <w:abstractNumId w:val="10"/>
  </w:num>
  <w:num w:numId="28" w16cid:durableId="1719741281">
    <w:abstractNumId w:val="17"/>
  </w:num>
  <w:num w:numId="29" w16cid:durableId="1254438997">
    <w:abstractNumId w:val="33"/>
  </w:num>
  <w:num w:numId="30" w16cid:durableId="1396516081">
    <w:abstractNumId w:val="35"/>
  </w:num>
  <w:num w:numId="31" w16cid:durableId="290749665">
    <w:abstractNumId w:val="22"/>
  </w:num>
  <w:num w:numId="32" w16cid:durableId="1936592534">
    <w:abstractNumId w:val="18"/>
  </w:num>
  <w:num w:numId="33" w16cid:durableId="255476661">
    <w:abstractNumId w:val="5"/>
  </w:num>
  <w:num w:numId="34" w16cid:durableId="1797410820">
    <w:abstractNumId w:val="8"/>
  </w:num>
  <w:num w:numId="35" w16cid:durableId="1376856124">
    <w:abstractNumId w:val="19"/>
  </w:num>
  <w:num w:numId="36" w16cid:durableId="1719208217">
    <w:abstractNumId w:val="49"/>
  </w:num>
  <w:num w:numId="37" w16cid:durableId="1303655802">
    <w:abstractNumId w:val="15"/>
  </w:num>
  <w:num w:numId="38" w16cid:durableId="2070810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6243694">
    <w:abstractNumId w:val="20"/>
  </w:num>
  <w:num w:numId="40" w16cid:durableId="1145901241">
    <w:abstractNumId w:val="31"/>
  </w:num>
  <w:num w:numId="41" w16cid:durableId="1148091949">
    <w:abstractNumId w:val="46"/>
  </w:num>
  <w:num w:numId="42" w16cid:durableId="6851383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3497839">
    <w:abstractNumId w:val="30"/>
  </w:num>
  <w:num w:numId="44" w16cid:durableId="1845121748">
    <w:abstractNumId w:val="14"/>
  </w:num>
  <w:num w:numId="45" w16cid:durableId="379407618">
    <w:abstractNumId w:val="26"/>
  </w:num>
  <w:num w:numId="46" w16cid:durableId="815992007">
    <w:abstractNumId w:val="12"/>
  </w:num>
  <w:num w:numId="47" w16cid:durableId="538710215">
    <w:abstractNumId w:val="36"/>
  </w:num>
  <w:num w:numId="48" w16cid:durableId="549460155">
    <w:abstractNumId w:val="24"/>
  </w:num>
  <w:num w:numId="49" w16cid:durableId="715935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0097975">
    <w:abstractNumId w:val="1"/>
  </w:num>
  <w:num w:numId="51" w16cid:durableId="1484810457">
    <w:abstractNumId w:val="34"/>
  </w:num>
  <w:num w:numId="52" w16cid:durableId="1356081888">
    <w:abstractNumId w:val="29"/>
  </w:num>
  <w:num w:numId="53" w16cid:durableId="211382103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0E"/>
    <w:rsid w:val="00017B8A"/>
    <w:rsid w:val="00064AB9"/>
    <w:rsid w:val="00076A78"/>
    <w:rsid w:val="000770C7"/>
    <w:rsid w:val="00077176"/>
    <w:rsid w:val="000B50D9"/>
    <w:rsid w:val="000D109D"/>
    <w:rsid w:val="00105DC9"/>
    <w:rsid w:val="00125485"/>
    <w:rsid w:val="001509EF"/>
    <w:rsid w:val="00174E34"/>
    <w:rsid w:val="00184373"/>
    <w:rsid w:val="001939B5"/>
    <w:rsid w:val="001A30EF"/>
    <w:rsid w:val="001C5D7F"/>
    <w:rsid w:val="001D46D7"/>
    <w:rsid w:val="00225B9F"/>
    <w:rsid w:val="00231612"/>
    <w:rsid w:val="00232ED2"/>
    <w:rsid w:val="002470F5"/>
    <w:rsid w:val="00273776"/>
    <w:rsid w:val="00282878"/>
    <w:rsid w:val="002A61B7"/>
    <w:rsid w:val="002E1AB9"/>
    <w:rsid w:val="003471AE"/>
    <w:rsid w:val="00357581"/>
    <w:rsid w:val="00392807"/>
    <w:rsid w:val="003A4E61"/>
    <w:rsid w:val="003F5973"/>
    <w:rsid w:val="00401513"/>
    <w:rsid w:val="0043466C"/>
    <w:rsid w:val="00475A3B"/>
    <w:rsid w:val="004F11AF"/>
    <w:rsid w:val="00551080"/>
    <w:rsid w:val="005C6DF1"/>
    <w:rsid w:val="005D495A"/>
    <w:rsid w:val="005F7130"/>
    <w:rsid w:val="00653FD8"/>
    <w:rsid w:val="006578BD"/>
    <w:rsid w:val="006D417E"/>
    <w:rsid w:val="006E27FA"/>
    <w:rsid w:val="006F11BC"/>
    <w:rsid w:val="006F6992"/>
    <w:rsid w:val="0075620C"/>
    <w:rsid w:val="00775032"/>
    <w:rsid w:val="007A18E5"/>
    <w:rsid w:val="007B0115"/>
    <w:rsid w:val="007D7258"/>
    <w:rsid w:val="007E1E04"/>
    <w:rsid w:val="00805DFF"/>
    <w:rsid w:val="00815B00"/>
    <w:rsid w:val="00841CED"/>
    <w:rsid w:val="00847DE5"/>
    <w:rsid w:val="008626E6"/>
    <w:rsid w:val="00897C68"/>
    <w:rsid w:val="008F20B3"/>
    <w:rsid w:val="00904DF4"/>
    <w:rsid w:val="009209E7"/>
    <w:rsid w:val="00961F1F"/>
    <w:rsid w:val="009732B1"/>
    <w:rsid w:val="009A7FBD"/>
    <w:rsid w:val="009B4C20"/>
    <w:rsid w:val="009C2CE4"/>
    <w:rsid w:val="009D29A0"/>
    <w:rsid w:val="009D2DD9"/>
    <w:rsid w:val="009F54CB"/>
    <w:rsid w:val="009F5DF8"/>
    <w:rsid w:val="00A348B1"/>
    <w:rsid w:val="00A44666"/>
    <w:rsid w:val="00A71997"/>
    <w:rsid w:val="00A73735"/>
    <w:rsid w:val="00A76B84"/>
    <w:rsid w:val="00B03E0E"/>
    <w:rsid w:val="00B16D79"/>
    <w:rsid w:val="00B3125F"/>
    <w:rsid w:val="00B31AF5"/>
    <w:rsid w:val="00B81349"/>
    <w:rsid w:val="00BF25F3"/>
    <w:rsid w:val="00C7638F"/>
    <w:rsid w:val="00CB6A12"/>
    <w:rsid w:val="00CC71C3"/>
    <w:rsid w:val="00CF3F63"/>
    <w:rsid w:val="00DD5DBF"/>
    <w:rsid w:val="00DE10D0"/>
    <w:rsid w:val="00E351C5"/>
    <w:rsid w:val="00E727D3"/>
    <w:rsid w:val="00E7557E"/>
    <w:rsid w:val="00EA3C8C"/>
    <w:rsid w:val="00EC1FB5"/>
    <w:rsid w:val="00ED0574"/>
    <w:rsid w:val="00F23A81"/>
    <w:rsid w:val="00F7157E"/>
    <w:rsid w:val="00FC23BF"/>
    <w:rsid w:val="00FD0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5310FB"/>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uiPriority w:val="99"/>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semiHidden/>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semiHidden/>
    <w:unhideWhenUsed/>
    <w:rPr>
      <w:vertAlign w:val="superscript"/>
    </w:rPr>
  </w:style>
  <w:style w:type="paragraph" w:styleId="Obsah3">
    <w:name w:val="toc 3"/>
    <w:basedOn w:val="Normln"/>
    <w:next w:val="Normln"/>
    <w:autoRedefine/>
    <w:uiPriority w:val="39"/>
    <w:unhideWhenUsed/>
    <w:qFormat/>
    <w:pPr>
      <w:spacing w:after="120" w:line="276" w:lineRule="auto"/>
      <w:jc w:val="both"/>
    </w:pPr>
    <w:rPr>
      <w:rFonts w:asciiTheme="minorHAnsi" w:eastAsiaTheme="minorHAnsi" w:hAnsiTheme="minorHAnsi" w:cstheme="minorBidi"/>
      <w:sz w:val="22"/>
      <w:szCs w:val="22"/>
      <w:lang w:eastAsia="en-US"/>
    </w:rPr>
  </w:style>
  <w:style w:type="paragraph" w:customStyle="1" w:styleId="Nadpis">
    <w:name w:val="Nadpis"/>
    <w:basedOn w:val="Normln"/>
    <w:pPr>
      <w:spacing w:after="120"/>
      <w:jc w:val="center"/>
    </w:pPr>
    <w:rPr>
      <w:b/>
      <w:szCs w:val="20"/>
    </w:rPr>
  </w:style>
  <w:style w:type="paragraph" w:customStyle="1" w:styleId="odrkyChar">
    <w:name w:val="odrážky Char"/>
    <w:basedOn w:val="Zkladntextodsazen"/>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pPr>
      <w:spacing w:after="120"/>
      <w:ind w:left="283"/>
    </w:pPr>
  </w:style>
  <w:style w:type="character" w:customStyle="1" w:styleId="ZkladntextodsazenChar">
    <w:name w:val="Základní text odsazený Char"/>
    <w:basedOn w:val="Standardnpsmoodstavce"/>
    <w:link w:val="Zkladntextodsazen"/>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257102287">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537038189">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733693583">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linskykra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6" ma:contentTypeDescription="Vytvoří nový dokument" ma:contentTypeScope="" ma:versionID="0a20ac36a744283d55a61955750d5b1f">
  <xsd:schema xmlns:xsd="http://www.w3.org/2001/XMLSchema" xmlns:xs="http://www.w3.org/2001/XMLSchema" xmlns:p="http://schemas.microsoft.com/office/2006/metadata/properties" xmlns:ns3="17b54d2e-dc38-44b7-96ae-9486366d5d52" targetNamespace="http://schemas.microsoft.com/office/2006/metadata/properties" ma:root="true" ma:fieldsID="daa7686a5b6c34b9f9454f4c24164e14"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C26E4-1A65-4D5E-B7E7-F1E6D76476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2F5826-2C58-4648-AE4E-EBE1A5500788}">
  <ds:schemaRefs>
    <ds:schemaRef ds:uri="http://schemas.openxmlformats.org/officeDocument/2006/bibliography"/>
  </ds:schemaRefs>
</ds:datastoreItem>
</file>

<file path=customXml/itemProps3.xml><?xml version="1.0" encoding="utf-8"?>
<ds:datastoreItem xmlns:ds="http://schemas.openxmlformats.org/officeDocument/2006/customXml" ds:itemID="{44109140-5C29-42BD-B9DC-98412AD9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7CB5A-5E80-41B7-ACDC-692CEB36B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3159</Words>
  <Characters>18571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21687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Hartlová Hana</cp:lastModifiedBy>
  <cp:revision>3</cp:revision>
  <cp:lastPrinted>2023-11-03T10:49:00Z</cp:lastPrinted>
  <dcterms:created xsi:type="dcterms:W3CDTF">2024-01-10T08:37:00Z</dcterms:created>
  <dcterms:modified xsi:type="dcterms:W3CDTF">2024-01-19T09:18:00Z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