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1220500216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Mateřská</w:t>
      </w:r>
      <w:r>
        <w:rPr>
          <w:spacing w:val="-7"/>
        </w:rPr>
        <w:t> </w:t>
      </w:r>
      <w:r>
        <w:rPr/>
        <w:t>škola</w:t>
      </w:r>
      <w:r>
        <w:rPr>
          <w:spacing w:val="-7"/>
        </w:rPr>
        <w:t> </w:t>
      </w:r>
      <w:r>
        <w:rPr/>
        <w:t>KIDS</w:t>
      </w:r>
      <w:r>
        <w:rPr>
          <w:spacing w:val="-7"/>
        </w:rPr>
        <w:t> </w:t>
      </w:r>
      <w:r>
        <w:rPr/>
        <w:t>Company</w:t>
      </w:r>
      <w:r>
        <w:rPr>
          <w:spacing w:val="-8"/>
        </w:rPr>
        <w:t> </w:t>
      </w:r>
      <w:r>
        <w:rPr/>
        <w:t>Praha,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3"/>
        <w:ind w:left="382" w:right="1254"/>
        <w:jc w:val="left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Městským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Praze, oddíl C, vložka 109585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Hradešínská</w:t>
      </w:r>
      <w:r>
        <w:rPr>
          <w:spacing w:val="-6"/>
        </w:rPr>
        <w:t> </w:t>
      </w:r>
      <w:r>
        <w:rPr/>
        <w:t>1931/58,</w:t>
      </w:r>
      <w:r>
        <w:rPr>
          <w:spacing w:val="-6"/>
        </w:rPr>
        <w:t> </w:t>
      </w:r>
      <w:r>
        <w:rPr/>
        <w:t>101</w:t>
      </w:r>
      <w:r>
        <w:rPr>
          <w:spacing w:val="-3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Vinohrady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  <w:t>273</w:t>
      </w:r>
      <w:r>
        <w:rPr>
          <w:spacing w:val="-2"/>
        </w:rPr>
        <w:t> </w:t>
      </w:r>
      <w:r>
        <w:rPr/>
        <w:t>78</w:t>
      </w:r>
      <w:r>
        <w:rPr>
          <w:spacing w:val="-2"/>
        </w:rPr>
        <w:t> </w:t>
      </w:r>
      <w:r>
        <w:rPr>
          <w:spacing w:val="-5"/>
        </w:rPr>
        <w:t>942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3"/>
        </w:rPr>
        <w:t> </w:t>
      </w:r>
      <w:r>
        <w:rPr/>
        <w:t>Markétou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k,</w:t>
      </w:r>
      <w:r>
        <w:rPr>
          <w:spacing w:val="-3"/>
        </w:rPr>
        <w:t> </w:t>
      </w:r>
      <w:r>
        <w:rPr>
          <w:spacing w:val="-2"/>
        </w:rPr>
        <w:t>jednatelkou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046"/>
        <w:jc w:val="left"/>
      </w:pPr>
      <w:r>
        <w:rPr/>
        <w:t>číslo účtu:</w:t>
        <w:tab/>
      </w:r>
      <w:r>
        <w:rPr>
          <w:spacing w:val="-2"/>
        </w:rPr>
        <w:t>1965590339/0800 </w:t>
      </w:r>
      <w:r>
        <w:rPr/>
        <w:t>(dále jen „příjemce 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Státního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životního</w:t>
      </w:r>
      <w:r>
        <w:rPr>
          <w:spacing w:val="22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1"/>
          <w:sz w:val="20"/>
        </w:rPr>
        <w:t> </w:t>
      </w:r>
      <w:r>
        <w:rPr>
          <w:sz w:val="20"/>
        </w:rPr>
        <w:t>republiky</w:t>
      </w:r>
      <w:r>
        <w:rPr>
          <w:spacing w:val="21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1220500216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3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98"/>
        <w:jc w:val="both"/>
      </w:pPr>
      <w:r>
        <w:rPr/>
        <w:t>„Přírodní</w:t>
      </w:r>
      <w:r>
        <w:rPr>
          <w:spacing w:val="-8"/>
        </w:rPr>
        <w:t> </w:t>
      </w:r>
      <w:r>
        <w:rPr/>
        <w:t>zahrada</w:t>
      </w:r>
      <w:r>
        <w:rPr>
          <w:spacing w:val="-5"/>
        </w:rPr>
        <w:t> </w:t>
      </w:r>
      <w:r>
        <w:rPr/>
        <w:t>MŠ</w:t>
      </w:r>
      <w:r>
        <w:rPr>
          <w:spacing w:val="-7"/>
        </w:rPr>
        <w:t> </w:t>
      </w:r>
      <w:r>
        <w:rPr/>
        <w:t>KIDS</w:t>
      </w:r>
      <w:r>
        <w:rPr>
          <w:spacing w:val="-7"/>
        </w:rPr>
        <w:t> </w:t>
      </w:r>
      <w:r>
        <w:rPr>
          <w:spacing w:val="-2"/>
        </w:rPr>
        <w:t>Company“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9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(ES)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18. prosince</w:t>
      </w:r>
      <w:r>
        <w:rPr>
          <w:spacing w:val="80"/>
          <w:sz w:val="20"/>
        </w:rPr>
        <w:t> </w:t>
      </w:r>
      <w:r>
        <w:rPr>
          <w:sz w:val="20"/>
        </w:rPr>
        <w:t>2013</w:t>
      </w:r>
      <w:r>
        <w:rPr>
          <w:spacing w:val="80"/>
          <w:sz w:val="20"/>
        </w:rPr>
        <w:t> </w:t>
      </w:r>
      <w:r>
        <w:rPr>
          <w:sz w:val="20"/>
        </w:rPr>
        <w:t>o použití</w:t>
      </w:r>
      <w:r>
        <w:rPr>
          <w:spacing w:val="80"/>
          <w:sz w:val="20"/>
        </w:rPr>
        <w:t> </w:t>
      </w:r>
      <w:r>
        <w:rPr>
          <w:sz w:val="20"/>
        </w:rPr>
        <w:t>článků</w:t>
      </w:r>
      <w:r>
        <w:rPr>
          <w:spacing w:val="80"/>
          <w:sz w:val="20"/>
        </w:rPr>
        <w:t> </w:t>
      </w:r>
      <w:r>
        <w:rPr>
          <w:sz w:val="20"/>
        </w:rPr>
        <w:t>107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108</w:t>
      </w:r>
      <w:r>
        <w:rPr>
          <w:spacing w:val="8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fungování</w:t>
      </w:r>
      <w:r>
        <w:rPr>
          <w:spacing w:val="80"/>
          <w:sz w:val="20"/>
        </w:rPr>
        <w:t> </w:t>
      </w:r>
      <w:r>
        <w:rPr>
          <w:sz w:val="20"/>
        </w:rPr>
        <w:t>Evropské</w:t>
      </w:r>
      <w:r>
        <w:rPr>
          <w:spacing w:val="80"/>
          <w:sz w:val="20"/>
        </w:rPr>
        <w:t> </w:t>
      </w:r>
      <w:r>
        <w:rPr>
          <w:sz w:val="20"/>
        </w:rPr>
        <w:t>unie</w:t>
      </w:r>
      <w:r>
        <w:rPr>
          <w:spacing w:val="80"/>
          <w:sz w:val="20"/>
        </w:rPr>
        <w:t> </w:t>
      </w:r>
      <w:r>
        <w:rPr>
          <w:sz w:val="20"/>
        </w:rPr>
        <w:t>na</w:t>
      </w:r>
      <w:r>
        <w:rPr>
          <w:spacing w:val="80"/>
          <w:sz w:val="20"/>
        </w:rPr>
        <w:t> </w:t>
      </w:r>
      <w:r>
        <w:rPr>
          <w:sz w:val="20"/>
        </w:rPr>
        <w:t>podporu de minimis.“, zveřejněném v Úředním věstníku EU dne 24. 12. 2013.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895 165,00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55,86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before="1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6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"/>
          <w:sz w:val="20"/>
        </w:rPr>
        <w:t> </w:t>
      </w:r>
      <w:r>
        <w:rPr>
          <w:sz w:val="20"/>
        </w:rPr>
        <w:t>platí i pro případ, že příjemce podpory v</w:t>
      </w:r>
      <w:r>
        <w:rPr>
          <w:spacing w:val="-1"/>
          <w:sz w:val="20"/>
        </w:rPr>
        <w:t> </w:t>
      </w:r>
      <w:r>
        <w:rPr>
          <w:sz w:val="20"/>
        </w:rPr>
        <w:t>průběhu realizace akce nehradil nebo nehradí z 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9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65" w:lineRule="exact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  <w:jc w:val="left"/>
      </w:pPr>
      <w:r>
        <w:rPr/>
        <w:t>„Přírodní</w:t>
      </w:r>
      <w:r>
        <w:rPr>
          <w:spacing w:val="-6"/>
        </w:rPr>
        <w:t> </w:t>
      </w:r>
      <w:r>
        <w:rPr/>
        <w:t>zahrada</w:t>
      </w:r>
      <w:r>
        <w:rPr>
          <w:spacing w:val="-7"/>
        </w:rPr>
        <w:t> </w:t>
      </w:r>
      <w:r>
        <w:rPr/>
        <w:t>MŠ</w:t>
      </w:r>
      <w:r>
        <w:rPr>
          <w:spacing w:val="-7"/>
        </w:rPr>
        <w:t> </w:t>
      </w:r>
      <w:r>
        <w:rPr/>
        <w:t>KIDS</w:t>
      </w:r>
      <w:r>
        <w:rPr>
          <w:spacing w:val="-5"/>
        </w:rPr>
        <w:t> </w:t>
      </w:r>
      <w:r>
        <w:rPr/>
        <w:t>Company“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dne</w:t>
      </w:r>
      <w:r>
        <w:rPr>
          <w:spacing w:val="-7"/>
        </w:rPr>
        <w:t> </w:t>
      </w:r>
      <w:r>
        <w:rPr/>
        <w:t>3.</w:t>
      </w:r>
      <w:r>
        <w:rPr>
          <w:spacing w:val="-6"/>
        </w:rPr>
        <w:t> </w:t>
      </w:r>
      <w:r>
        <w:rPr/>
        <w:t>10.</w:t>
      </w:r>
      <w:r>
        <w:rPr>
          <w:spacing w:val="-6"/>
        </w:rPr>
        <w:t> </w:t>
      </w:r>
      <w:r>
        <w:rPr/>
        <w:t>2022,</w:t>
      </w:r>
      <w:r>
        <w:rPr>
          <w:spacing w:val="-6"/>
        </w:rPr>
        <w:t> </w:t>
      </w:r>
      <w:r>
        <w:rPr/>
        <w:t>včetně</w:t>
      </w:r>
      <w:r>
        <w:rPr>
          <w:spacing w:val="-7"/>
        </w:rPr>
        <w:t> </w:t>
      </w:r>
      <w:r>
        <w:rPr/>
        <w:t>případných</w:t>
      </w:r>
      <w:r>
        <w:rPr>
          <w:spacing w:val="-6"/>
        </w:rPr>
        <w:t> </w:t>
      </w:r>
      <w:r>
        <w:rPr/>
        <w:t>změn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doplňků</w:t>
      </w:r>
      <w:r>
        <w:rPr>
          <w:spacing w:val="-7"/>
        </w:rPr>
        <w:t> </w:t>
      </w:r>
      <w:r>
        <w:rPr/>
        <w:t>těchto dokumentů, pokud je Fond odsouhlasil,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16" w:hanging="286"/>
        <w:jc w:val="both"/>
        <w:rPr>
          <w:sz w:val="20"/>
        </w:rPr>
      </w:pPr>
      <w:r>
        <w:rPr>
          <w:sz w:val="20"/>
        </w:rPr>
        <w:t>v období od 4/2023 do 12/2023 pořídil předměty uvedené v aktualizovaném rozpočtu projektu ze dne 9. 1. 2024,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0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2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2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 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umožnit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osobám</w:t>
      </w:r>
      <w:r>
        <w:rPr>
          <w:spacing w:val="10"/>
          <w:sz w:val="20"/>
        </w:rPr>
        <w:t> </w:t>
      </w:r>
      <w:r>
        <w:rPr>
          <w:w w:val="95"/>
          <w:sz w:val="20"/>
        </w:rPr>
        <w:t>pověřeným</w:t>
      </w:r>
      <w:r>
        <w:rPr>
          <w:spacing w:val="12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11"/>
          <w:sz w:val="20"/>
        </w:rPr>
        <w:t> </w:t>
      </w:r>
      <w:r>
        <w:rPr>
          <w:w w:val="95"/>
          <w:sz w:val="20"/>
        </w:rPr>
        <w:t>provádět</w:t>
      </w:r>
      <w:r>
        <w:rPr>
          <w:spacing w:val="14"/>
          <w:sz w:val="20"/>
        </w:rPr>
        <w:t> </w:t>
      </w:r>
      <w:r>
        <w:rPr>
          <w:w w:val="95"/>
          <w:sz w:val="20"/>
        </w:rPr>
        <w:t>věcnou,</w:t>
      </w:r>
      <w:r>
        <w:rPr>
          <w:spacing w:val="13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3"/>
          <w:sz w:val="20"/>
        </w:rPr>
        <w:t> </w:t>
      </w:r>
      <w:r>
        <w:rPr>
          <w:w w:val="95"/>
          <w:sz w:val="20"/>
        </w:rPr>
        <w:t>a</w:t>
      </w:r>
      <w:r>
        <w:rPr>
          <w:spacing w:val="16"/>
          <w:sz w:val="20"/>
        </w:rPr>
        <w:t> </w:t>
      </w:r>
      <w:r>
        <w:rPr>
          <w:w w:val="95"/>
          <w:sz w:val="20"/>
        </w:rPr>
        <w:t>účetní</w:t>
      </w:r>
      <w:r>
        <w:rPr>
          <w:spacing w:val="17"/>
          <w:sz w:val="20"/>
        </w:rPr>
        <w:t> </w:t>
      </w:r>
      <w:r>
        <w:rPr>
          <w:w w:val="95"/>
          <w:sz w:val="20"/>
        </w:rPr>
        <w:t>kontrolu</w:t>
      </w:r>
      <w:r>
        <w:rPr>
          <w:spacing w:val="13"/>
          <w:sz w:val="20"/>
        </w:rPr>
        <w:t> </w:t>
      </w:r>
      <w:r>
        <w:rPr>
          <w:w w:val="95"/>
          <w:sz w:val="20"/>
        </w:rPr>
        <w:t>v</w:t>
      </w:r>
      <w:r>
        <w:rPr>
          <w:spacing w:val="40"/>
          <w:sz w:val="20"/>
        </w:rPr>
        <w:t> </w:t>
      </w:r>
      <w:r>
        <w:rPr>
          <w:w w:val="95"/>
          <w:sz w:val="20"/>
        </w:rPr>
        <w:t>průběhu</w:t>
      </w:r>
      <w:r>
        <w:rPr>
          <w:spacing w:val="13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6"/>
      </w:pPr>
      <w:r>
        <w:rPr/>
        <w:t>akce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po</w:t>
      </w:r>
      <w:r>
        <w:rPr>
          <w:spacing w:val="-8"/>
        </w:rPr>
        <w:t> </w:t>
      </w:r>
      <w:r>
        <w:rPr/>
        <w:t>jejím</w:t>
      </w:r>
      <w:r>
        <w:rPr>
          <w:spacing w:val="-11"/>
        </w:rPr>
        <w:t> </w:t>
      </w:r>
      <w:r>
        <w:rPr/>
        <w:t>dokončení,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v</w:t>
      </w:r>
      <w:r>
        <w:rPr>
          <w:spacing w:val="-11"/>
        </w:rPr>
        <w:t> </w:t>
      </w:r>
      <w:r>
        <w:rPr/>
        <w:t>takovém</w:t>
      </w:r>
      <w:r>
        <w:rPr>
          <w:spacing w:val="-10"/>
        </w:rPr>
        <w:t> </w:t>
      </w:r>
      <w:r>
        <w:rPr/>
        <w:t>rozsahu</w:t>
      </w:r>
      <w:r>
        <w:rPr>
          <w:spacing w:val="-9"/>
        </w:rPr>
        <w:t> </w:t>
      </w:r>
      <w:r>
        <w:rPr/>
        <w:t>(i</w:t>
      </w:r>
      <w:r>
        <w:rPr>
          <w:spacing w:val="-9"/>
        </w:rPr>
        <w:t> </w:t>
      </w:r>
      <w:r>
        <w:rPr/>
        <w:t>pokud</w:t>
      </w:r>
      <w:r>
        <w:rPr>
          <w:spacing w:val="-8"/>
        </w:rPr>
        <w:t> </w:t>
      </w:r>
      <w:r>
        <w:rPr/>
        <w:t>jde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poskytnutí</w:t>
      </w:r>
      <w:r>
        <w:rPr>
          <w:spacing w:val="-9"/>
        </w:rPr>
        <w:t> </w:t>
      </w:r>
      <w:r>
        <w:rPr/>
        <w:t>příslušných</w:t>
      </w:r>
      <w:r>
        <w:rPr>
          <w:spacing w:val="-9"/>
        </w:rPr>
        <w:t> </w:t>
      </w:r>
      <w:r>
        <w:rPr/>
        <w:t>dokladů),</w:t>
      </w:r>
      <w:r>
        <w:rPr>
          <w:spacing w:val="-9"/>
        </w:rPr>
        <w:t> </w:t>
      </w:r>
      <w:r>
        <w:rPr/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8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44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45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7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Kuncirova Magda</dc:creator>
  <dc:title>Smlouva č</dc:title>
  <dcterms:created xsi:type="dcterms:W3CDTF">2024-01-18T12:35:17Z</dcterms:created>
  <dcterms:modified xsi:type="dcterms:W3CDTF">2024-01-18T12:35:17Z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