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7221400060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Pražské</w:t>
      </w:r>
      <w:r>
        <w:rPr>
          <w:spacing w:val="-12"/>
        </w:rPr>
        <w:t> </w:t>
      </w:r>
      <w:r>
        <w:rPr/>
        <w:t>společenství</w:t>
      </w:r>
      <w:r>
        <w:rPr>
          <w:spacing w:val="-11"/>
        </w:rPr>
        <w:t> </w:t>
      </w:r>
      <w:r>
        <w:rPr/>
        <w:t>obnovitelné</w:t>
      </w:r>
      <w:r>
        <w:rPr>
          <w:spacing w:val="-11"/>
        </w:rPr>
        <w:t> </w:t>
      </w:r>
      <w:r>
        <w:rPr/>
        <w:t>energie,</w:t>
      </w:r>
      <w:r>
        <w:rPr>
          <w:spacing w:val="-10"/>
        </w:rPr>
        <w:t> </w:t>
      </w:r>
      <w:r>
        <w:rPr/>
        <w:t>příspěvková</w:t>
      </w:r>
      <w:r>
        <w:rPr>
          <w:spacing w:val="-10"/>
        </w:rPr>
        <w:t> </w:t>
      </w:r>
      <w:r>
        <w:rPr>
          <w:spacing w:val="-2"/>
        </w:rPr>
        <w:t>organizace</w:t>
      </w:r>
    </w:p>
    <w:p>
      <w:pPr>
        <w:pStyle w:val="BodyText"/>
        <w:tabs>
          <w:tab w:pos="2982" w:val="left" w:leader="none"/>
        </w:tabs>
        <w:ind w:left="102"/>
      </w:pPr>
      <w:r>
        <w:rPr/>
        <w:t>se</w:t>
      </w:r>
      <w:r>
        <w:rPr>
          <w:spacing w:val="-5"/>
        </w:rPr>
        <w:t> </w:t>
      </w:r>
      <w:r>
        <w:rPr>
          <w:spacing w:val="-2"/>
        </w:rPr>
        <w:t>sídlem:</w:t>
      </w:r>
      <w:r>
        <w:rPr/>
        <w:tab/>
        <w:t>Mariánské</w:t>
      </w:r>
      <w:r>
        <w:rPr>
          <w:spacing w:val="-7"/>
        </w:rPr>
        <w:t> </w:t>
      </w:r>
      <w:r>
        <w:rPr/>
        <w:t>náměstí</w:t>
      </w:r>
      <w:r>
        <w:rPr>
          <w:spacing w:val="-4"/>
        </w:rPr>
        <w:t> </w:t>
      </w:r>
      <w:r>
        <w:rPr/>
        <w:t>159/4,</w:t>
      </w:r>
      <w:r>
        <w:rPr>
          <w:spacing w:val="-6"/>
        </w:rPr>
        <w:t> </w:t>
      </w:r>
      <w:r>
        <w:rPr/>
        <w:t>Staré</w:t>
      </w:r>
      <w:r>
        <w:rPr>
          <w:spacing w:val="-7"/>
        </w:rPr>
        <w:t> </w:t>
      </w:r>
      <w:r>
        <w:rPr/>
        <w:t>Město,</w:t>
      </w:r>
      <w:r>
        <w:rPr>
          <w:spacing w:val="-6"/>
        </w:rPr>
        <w:t> </w:t>
      </w:r>
      <w:r>
        <w:rPr/>
        <w:t>110</w:t>
      </w:r>
      <w:r>
        <w:rPr>
          <w:spacing w:val="-3"/>
        </w:rPr>
        <w:t> </w:t>
      </w:r>
      <w:r>
        <w:rPr/>
        <w:t>00</w:t>
      </w:r>
      <w:r>
        <w:rPr>
          <w:spacing w:val="-6"/>
        </w:rPr>
        <w:t> </w:t>
      </w:r>
      <w:r>
        <w:rPr/>
        <w:t>Praha</w:t>
      </w:r>
      <w:r>
        <w:rPr>
          <w:spacing w:val="-6"/>
        </w:rPr>
        <w:t> </w:t>
      </w:r>
      <w:r>
        <w:rPr>
          <w:spacing w:val="-10"/>
        </w:rPr>
        <w:t>1</w:t>
      </w:r>
    </w:p>
    <w:p>
      <w:pPr>
        <w:pStyle w:val="BodyText"/>
        <w:tabs>
          <w:tab w:pos="2982" w:val="left" w:leader="none"/>
        </w:tabs>
        <w:spacing w:line="265" w:lineRule="exact" w:before="1"/>
        <w:ind w:left="102"/>
      </w:pPr>
      <w:r>
        <w:rPr>
          <w:spacing w:val="-4"/>
        </w:rPr>
        <w:t>IČO:</w:t>
      </w:r>
      <w:r>
        <w:rPr/>
        <w:tab/>
      </w:r>
      <w:r>
        <w:rPr>
          <w:spacing w:val="-2"/>
        </w:rPr>
        <w:t>11842857</w:t>
      </w:r>
    </w:p>
    <w:p>
      <w:pPr>
        <w:pStyle w:val="BodyText"/>
        <w:tabs>
          <w:tab w:pos="2982" w:val="left" w:leader="none"/>
        </w:tabs>
        <w:spacing w:line="265" w:lineRule="exact"/>
        <w:ind w:left="102"/>
      </w:pPr>
      <w:r>
        <w:rPr>
          <w:spacing w:val="-2"/>
        </w:rPr>
        <w:t>zastoupená:</w:t>
      </w:r>
      <w:r>
        <w:rPr/>
        <w:tab/>
        <w:t>Ing.</w:t>
      </w:r>
      <w:r>
        <w:rPr>
          <w:spacing w:val="-3"/>
        </w:rPr>
        <w:t> </w:t>
      </w:r>
      <w:r>
        <w:rPr/>
        <w:t>Jaroslavem</w:t>
      </w:r>
      <w:r>
        <w:rPr>
          <w:spacing w:val="-4"/>
        </w:rPr>
        <w:t> </w:t>
      </w:r>
      <w:r>
        <w:rPr/>
        <w:t>K</w:t>
      </w:r>
      <w:r>
        <w:rPr>
          <w:spacing w:val="-3"/>
        </w:rPr>
        <w:t> </w:t>
      </w:r>
      <w:r>
        <w:rPr/>
        <w:t>l</w:t>
      </w:r>
      <w:r>
        <w:rPr>
          <w:spacing w:val="-3"/>
        </w:rPr>
        <w:t> </w:t>
      </w:r>
      <w:r>
        <w:rPr/>
        <w:t>u</w:t>
      </w:r>
      <w:r>
        <w:rPr>
          <w:spacing w:val="-2"/>
        </w:rPr>
        <w:t> </w:t>
      </w:r>
      <w:r>
        <w:rPr/>
        <w:t>s</w:t>
      </w:r>
      <w:r>
        <w:rPr>
          <w:spacing w:val="-4"/>
        </w:rPr>
        <w:t> </w:t>
      </w:r>
      <w:r>
        <w:rPr/>
        <w:t>á</w:t>
      </w:r>
      <w:r>
        <w:rPr>
          <w:spacing w:val="-3"/>
        </w:rPr>
        <w:t> </w:t>
      </w:r>
      <w:r>
        <w:rPr/>
        <w:t>k</w:t>
      </w:r>
      <w:r>
        <w:rPr>
          <w:spacing w:val="-1"/>
        </w:rPr>
        <w:t> </w:t>
      </w:r>
      <w:r>
        <w:rPr/>
        <w:t>e</w:t>
      </w:r>
      <w:r>
        <w:rPr>
          <w:spacing w:val="-2"/>
        </w:rPr>
        <w:t> </w:t>
      </w:r>
      <w:r>
        <w:rPr/>
        <w:t>m,</w:t>
      </w:r>
      <w:r>
        <w:rPr>
          <w:spacing w:val="-3"/>
        </w:rPr>
        <w:t> </w:t>
      </w:r>
      <w:r>
        <w:rPr/>
        <w:t>Ph.D.,</w:t>
      </w:r>
      <w:r>
        <w:rPr>
          <w:spacing w:val="-4"/>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PPF</w:t>
      </w:r>
      <w:r>
        <w:rPr>
          <w:spacing w:val="-5"/>
        </w:rPr>
        <w:t> </w:t>
      </w:r>
      <w:r>
        <w:rPr/>
        <w:t>banka</w:t>
      </w:r>
      <w:r>
        <w:rPr>
          <w:spacing w:val="-6"/>
        </w:rPr>
        <w:t> </w:t>
      </w:r>
      <w:r>
        <w:rPr>
          <w:spacing w:val="-4"/>
        </w:rPr>
        <w:t>a.s.</w:t>
      </w:r>
    </w:p>
    <w:p>
      <w:pPr>
        <w:pStyle w:val="BodyText"/>
        <w:tabs>
          <w:tab w:pos="2982" w:val="left" w:leader="none"/>
        </w:tabs>
        <w:ind w:left="102" w:right="5046"/>
      </w:pPr>
      <w:r>
        <w:rPr/>
        <w:t>číslo účtu:</w:t>
        <w:tab/>
      </w:r>
      <w:r>
        <w:rPr>
          <w:spacing w:val="-2"/>
        </w:rPr>
        <w:t>2037670007/6000 </w:t>
      </w:r>
      <w:r>
        <w:rPr/>
        <w:t>(dále jen „příjemce podpory“)</w:t>
      </w:r>
    </w:p>
    <w:p>
      <w:pPr>
        <w:pStyle w:val="BodyText"/>
        <w:spacing w:before="1"/>
      </w:pPr>
    </w:p>
    <w:p>
      <w:pPr>
        <w:pStyle w:val="BodyText"/>
        <w:spacing w:before="1"/>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left="3135" w:right="3148"/>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7221400060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2" w:hanging="284"/>
        <w:jc w:val="both"/>
        <w:rPr>
          <w:sz w:val="20"/>
        </w:rPr>
      </w:pPr>
      <w:r>
        <w:rPr>
          <w:sz w:val="20"/>
        </w:rPr>
        <w:t>Příjemce podpory potvrzuje, že se seznámil s</w:t>
      </w:r>
      <w:r>
        <w:rPr>
          <w:spacing w:val="-3"/>
          <w:sz w:val="20"/>
        </w:rPr>
        <w:t> </w:t>
      </w:r>
      <w:r>
        <w:rPr>
          <w:sz w:val="20"/>
        </w:rPr>
        <w:t>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211"/>
        <w:jc w:val="both"/>
      </w:pPr>
      <w:r>
        <w:rPr/>
        <w:t>„FVE</w:t>
      </w:r>
      <w:r>
        <w:rPr>
          <w:spacing w:val="-6"/>
        </w:rPr>
        <w:t> </w:t>
      </w:r>
      <w:r>
        <w:rPr/>
        <w:t>pro</w:t>
      </w:r>
      <w:r>
        <w:rPr>
          <w:spacing w:val="-6"/>
        </w:rPr>
        <w:t> </w:t>
      </w:r>
      <w:r>
        <w:rPr/>
        <w:t>městské</w:t>
      </w:r>
      <w:r>
        <w:rPr>
          <w:spacing w:val="-7"/>
        </w:rPr>
        <w:t> </w:t>
      </w:r>
      <w:r>
        <w:rPr/>
        <w:t>objekty</w:t>
      </w:r>
      <w:r>
        <w:rPr>
          <w:spacing w:val="-5"/>
        </w:rPr>
        <w:t> </w:t>
      </w:r>
      <w:r>
        <w:rPr/>
        <w:t>PSOE,</w:t>
      </w:r>
      <w:r>
        <w:rPr>
          <w:spacing w:val="-8"/>
        </w:rPr>
        <w:t> </w:t>
      </w:r>
      <w:r>
        <w:rPr/>
        <w:t>červen</w:t>
      </w:r>
      <w:r>
        <w:rPr>
          <w:spacing w:val="-7"/>
        </w:rPr>
        <w:t> </w:t>
      </w:r>
      <w:r>
        <w:rPr/>
        <w:t>2023,</w:t>
      </w:r>
      <w:r>
        <w:rPr>
          <w:spacing w:val="-6"/>
        </w:rPr>
        <w:t> </w:t>
      </w:r>
      <w:r>
        <w:rPr/>
        <w:t>balík</w:t>
      </w:r>
      <w:r>
        <w:rPr>
          <w:spacing w:val="-5"/>
        </w:rPr>
        <w:t> </w:t>
      </w:r>
      <w:r>
        <w:rPr>
          <w:spacing w:val="-4"/>
        </w:rPr>
        <w:t>č.2“</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1"/>
          <w:sz w:val="20"/>
        </w:rPr>
        <w:t> </w:t>
      </w:r>
      <w:r>
        <w:rPr>
          <w:sz w:val="20"/>
        </w:rPr>
        <w:t>podpory</w:t>
      </w:r>
      <w:r>
        <w:rPr>
          <w:spacing w:val="-3"/>
          <w:sz w:val="20"/>
        </w:rPr>
        <w:t> </w:t>
      </w:r>
      <w:r>
        <w:rPr>
          <w:sz w:val="20"/>
        </w:rPr>
        <w:t>podporu formou dotace ve výši </w:t>
      </w:r>
      <w:r>
        <w:rPr>
          <w:b/>
          <w:sz w:val="20"/>
        </w:rPr>
        <w:t>21</w:t>
      </w:r>
      <w:r>
        <w:rPr>
          <w:b/>
          <w:spacing w:val="-2"/>
          <w:sz w:val="20"/>
        </w:rPr>
        <w:t> </w:t>
      </w:r>
      <w:r>
        <w:rPr>
          <w:b/>
          <w:sz w:val="20"/>
        </w:rPr>
        <w:t>362</w:t>
      </w:r>
      <w:r>
        <w:rPr>
          <w:b/>
          <w:spacing w:val="-2"/>
          <w:sz w:val="20"/>
        </w:rPr>
        <w:t> </w:t>
      </w:r>
      <w:r>
        <w:rPr>
          <w:b/>
          <w:sz w:val="20"/>
        </w:rPr>
        <w:t>966,00 Kč </w:t>
      </w:r>
      <w:r>
        <w:rPr>
          <w:sz w:val="20"/>
        </w:rPr>
        <w:t>(slovy: dvacet jeden milion tři sta šedesát dva tisíce devět set šedesát šest korun 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74 624 167,00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37" w:lineRule="auto" w:before="123"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2"/>
      </w:pPr>
    </w:p>
    <w:p>
      <w:pPr>
        <w:pStyle w:val="Heading1"/>
      </w:pPr>
      <w:r>
        <w:rPr>
          <w:spacing w:val="-4"/>
        </w:rPr>
        <w:t>III.</w:t>
      </w:r>
    </w:p>
    <w:p>
      <w:pPr>
        <w:pStyle w:val="Heading2"/>
        <w:spacing w:before="1"/>
        <w:ind w:left="3135" w:right="3148"/>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113" w:hanging="358"/>
        <w:jc w:val="left"/>
        <w:rPr>
          <w:sz w:val="20"/>
        </w:rPr>
      </w:pPr>
      <w:r>
        <w:rPr>
          <w:sz w:val="20"/>
        </w:rPr>
        <w:t>splní</w:t>
      </w:r>
      <w:r>
        <w:rPr>
          <w:spacing w:val="-1"/>
          <w:sz w:val="20"/>
        </w:rPr>
        <w:t> </w:t>
      </w:r>
      <w:r>
        <w:rPr>
          <w:sz w:val="20"/>
        </w:rPr>
        <w:t>účel</w:t>
      </w:r>
      <w:r>
        <w:rPr>
          <w:spacing w:val="-1"/>
          <w:sz w:val="20"/>
        </w:rPr>
        <w:t> </w:t>
      </w:r>
      <w:r>
        <w:rPr>
          <w:sz w:val="20"/>
        </w:rPr>
        <w:t>akce</w:t>
      </w:r>
      <w:r>
        <w:rPr>
          <w:spacing w:val="-2"/>
          <w:sz w:val="20"/>
        </w:rPr>
        <w:t> </w:t>
      </w:r>
      <w:r>
        <w:rPr>
          <w:sz w:val="20"/>
        </w:rPr>
        <w:t>„FVE</w:t>
      </w:r>
      <w:r>
        <w:rPr>
          <w:spacing w:val="-1"/>
          <w:sz w:val="20"/>
        </w:rPr>
        <w:t> </w:t>
      </w:r>
      <w:r>
        <w:rPr>
          <w:sz w:val="20"/>
        </w:rPr>
        <w:t>pro městské</w:t>
      </w:r>
      <w:r>
        <w:rPr>
          <w:spacing w:val="-2"/>
          <w:sz w:val="20"/>
        </w:rPr>
        <w:t> </w:t>
      </w:r>
      <w:r>
        <w:rPr>
          <w:sz w:val="20"/>
        </w:rPr>
        <w:t>objekty</w:t>
      </w:r>
      <w:r>
        <w:rPr>
          <w:spacing w:val="-2"/>
          <w:sz w:val="20"/>
        </w:rPr>
        <w:t> </w:t>
      </w:r>
      <w:r>
        <w:rPr>
          <w:sz w:val="20"/>
        </w:rPr>
        <w:t>PSOE,</w:t>
      </w:r>
      <w:r>
        <w:rPr>
          <w:spacing w:val="-1"/>
          <w:sz w:val="20"/>
        </w:rPr>
        <w:t> </w:t>
      </w:r>
      <w:r>
        <w:rPr>
          <w:sz w:val="20"/>
        </w:rPr>
        <w:t>červen</w:t>
      </w:r>
      <w:r>
        <w:rPr>
          <w:spacing w:val="-1"/>
          <w:sz w:val="20"/>
        </w:rPr>
        <w:t> </w:t>
      </w:r>
      <w:r>
        <w:rPr>
          <w:sz w:val="20"/>
        </w:rPr>
        <w:t>2023,</w:t>
      </w:r>
      <w:r>
        <w:rPr>
          <w:spacing w:val="-1"/>
          <w:sz w:val="20"/>
        </w:rPr>
        <w:t> </w:t>
      </w:r>
      <w:r>
        <w:rPr>
          <w:sz w:val="20"/>
        </w:rPr>
        <w:t>balík</w:t>
      </w:r>
      <w:r>
        <w:rPr>
          <w:spacing w:val="-2"/>
          <w:sz w:val="20"/>
        </w:rPr>
        <w:t> </w:t>
      </w:r>
      <w:r>
        <w:rPr>
          <w:sz w:val="20"/>
        </w:rPr>
        <w:t>č.2“</w:t>
      </w:r>
      <w:r>
        <w:rPr>
          <w:spacing w:val="-2"/>
          <w:sz w:val="20"/>
        </w:rPr>
        <w:t> </w:t>
      </w:r>
      <w:r>
        <w:rPr>
          <w:sz w:val="20"/>
        </w:rPr>
        <w:t>tím,</w:t>
      </w:r>
      <w:r>
        <w:rPr>
          <w:spacing w:val="-1"/>
          <w:sz w:val="20"/>
        </w:rPr>
        <w:t> </w:t>
      </w:r>
      <w:r>
        <w:rPr>
          <w:sz w:val="20"/>
        </w:rPr>
        <w:t>že</w:t>
      </w:r>
      <w:r>
        <w:rPr>
          <w:spacing w:val="-2"/>
          <w:sz w:val="20"/>
        </w:rPr>
        <w:t> </w:t>
      </w:r>
      <w:r>
        <w:rPr>
          <w:sz w:val="20"/>
        </w:rPr>
        <w:t>akce bude</w:t>
      </w:r>
      <w:r>
        <w:rPr>
          <w:spacing w:val="-2"/>
          <w:sz w:val="20"/>
        </w:rPr>
        <w:t> </w:t>
      </w:r>
      <w:r>
        <w:rPr>
          <w:sz w:val="20"/>
        </w:rPr>
        <w:t>provedena v souladu s Výzvou, žádostí o podporu a 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21" w:after="0"/>
        <w:ind w:left="745" w:right="118"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1669,05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1669.05</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4"/>
                <w:sz w:val="20"/>
              </w:rPr>
              <w:t>1157</w:t>
            </w:r>
          </w:p>
        </w:tc>
      </w:tr>
      <w:tr>
        <w:trPr>
          <w:trHeight w:val="532"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3497.80</w:t>
            </w:r>
          </w:p>
        </w:tc>
      </w:tr>
      <w:tr>
        <w:trPr>
          <w:trHeight w:val="506"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1345.30</w:t>
            </w:r>
          </w:p>
        </w:tc>
      </w:tr>
    </w:tbl>
    <w:p>
      <w:pPr>
        <w:pStyle w:val="ListParagraph"/>
        <w:numPr>
          <w:ilvl w:val="1"/>
          <w:numId w:val="4"/>
        </w:numPr>
        <w:tabs>
          <w:tab w:pos="743" w:val="left" w:leader="none"/>
        </w:tabs>
        <w:spacing w:line="240" w:lineRule="auto" w:before="122"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 ode dne účinnosti této Smlouvy do předložení podkladů pro ZVA podle písmene f),</w:t>
      </w:r>
    </w:p>
    <w:p>
      <w:pPr>
        <w:pStyle w:val="ListParagraph"/>
        <w:numPr>
          <w:ilvl w:val="1"/>
          <w:numId w:val="4"/>
        </w:numPr>
        <w:tabs>
          <w:tab w:pos="743" w:val="left" w:leader="none"/>
        </w:tabs>
        <w:spacing w:line="240" w:lineRule="auto" w:before="119" w:after="0"/>
        <w:ind w:left="742" w:right="111"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5</w:t>
      </w:r>
      <w:r>
        <w:rPr>
          <w:spacing w:val="-11"/>
          <w:sz w:val="20"/>
        </w:rPr>
        <w:t> </w:t>
      </w:r>
      <w:r>
        <w:rPr>
          <w:sz w:val="20"/>
        </w:rPr>
        <w:t>let</w:t>
      </w:r>
      <w:r>
        <w:rPr>
          <w:spacing w:val="-11"/>
          <w:sz w:val="20"/>
        </w:rPr>
        <w:t> </w:t>
      </w:r>
      <w:r>
        <w:rPr>
          <w:sz w:val="20"/>
        </w:rPr>
        <w:t>(výdaje</w:t>
      </w:r>
      <w:r>
        <w:rPr>
          <w:spacing w:val="-13"/>
          <w:sz w:val="20"/>
        </w:rPr>
        <w:t> </w:t>
      </w:r>
      <w:r>
        <w:rPr>
          <w:sz w:val="20"/>
        </w:rPr>
        <w:t>po</w:t>
      </w:r>
      <w:r>
        <w:rPr>
          <w:spacing w:val="-10"/>
          <w:sz w:val="20"/>
        </w:rPr>
        <w:t> </w:t>
      </w:r>
      <w:r>
        <w:rPr>
          <w:sz w:val="20"/>
        </w:rPr>
        <w:t>tomto</w:t>
      </w:r>
      <w:r>
        <w:rPr>
          <w:spacing w:val="-11"/>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7"/>
          <w:sz w:val="20"/>
        </w:rPr>
        <w:t> </w:t>
      </w:r>
      <w:r>
        <w:rPr>
          <w:sz w:val="20"/>
        </w:rPr>
        <w:t>termín</w:t>
      </w:r>
      <w:r>
        <w:rPr>
          <w:spacing w:val="-8"/>
          <w:sz w:val="20"/>
        </w:rPr>
        <w:t> </w:t>
      </w:r>
      <w:r>
        <w:rPr>
          <w:sz w:val="20"/>
        </w:rPr>
        <w:t>schválení</w:t>
      </w:r>
      <w:r>
        <w:rPr>
          <w:spacing w:val="-10"/>
          <w:sz w:val="20"/>
        </w:rPr>
        <w:t> </w:t>
      </w:r>
      <w:r>
        <w:rPr>
          <w:sz w:val="20"/>
        </w:rPr>
        <w:t>protokolu</w:t>
      </w:r>
      <w:r>
        <w:rPr>
          <w:spacing w:val="-10"/>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2" w:right="115"/>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3"/>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ind w:left="745" w:right="114"/>
        <w:jc w:val="both"/>
      </w:pPr>
      <w:r>
        <w:rPr/>
        <w:t>o</w:t>
      </w:r>
      <w:r>
        <w:rPr>
          <w:spacing w:val="-1"/>
        </w:rPr>
        <w:t> </w:t>
      </w:r>
      <w:r>
        <w:rPr/>
        <w:t>případném</w:t>
      </w:r>
      <w:r>
        <w:rPr>
          <w:spacing w:val="22"/>
        </w:rPr>
        <w:t> </w:t>
      </w:r>
      <w:r>
        <w:rPr/>
        <w:t>stavění</w:t>
      </w:r>
      <w:r>
        <w:rPr>
          <w:spacing w:val="23"/>
        </w:rPr>
        <w:t> </w:t>
      </w:r>
      <w:r>
        <w:rPr/>
        <w:t>uvedené</w:t>
      </w:r>
      <w:r>
        <w:rPr>
          <w:spacing w:val="22"/>
        </w:rPr>
        <w:t> </w:t>
      </w:r>
      <w:r>
        <w:rPr/>
        <w:t>lhůty.</w:t>
      </w:r>
      <w:r>
        <w:rPr>
          <w:spacing w:val="25"/>
        </w:rPr>
        <w:t> </w:t>
      </w:r>
      <w:r>
        <w:rPr/>
        <w:t>Příjemce</w:t>
      </w:r>
      <w:r>
        <w:rPr>
          <w:spacing w:val="22"/>
        </w:rPr>
        <w:t> </w:t>
      </w:r>
      <w:r>
        <w:rPr/>
        <w:t>podpory</w:t>
      </w:r>
      <w:r>
        <w:rPr>
          <w:spacing w:val="24"/>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8"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potřeba</w:t>
      </w:r>
      <w:r>
        <w:rPr>
          <w:spacing w:val="-8"/>
        </w:rPr>
        <w:t> </w:t>
      </w:r>
      <w:r>
        <w:rPr/>
        <w:t>použít</w:t>
      </w:r>
      <w:r>
        <w:rPr>
          <w:spacing w:val="-7"/>
        </w:rPr>
        <w:t> </w:t>
      </w:r>
      <w:r>
        <w:rPr/>
        <w:t>poskytnuté</w:t>
      </w:r>
      <w:r>
        <w:rPr>
          <w:spacing w:val="-6"/>
        </w:rPr>
        <w:t> </w:t>
      </w:r>
      <w:r>
        <w:rPr/>
        <w:t>peněžní</w:t>
      </w:r>
      <w:r>
        <w:rPr>
          <w:spacing w:val="-7"/>
        </w:rPr>
        <w:t> </w:t>
      </w:r>
      <w:r>
        <w:rPr/>
        <w:t>prostředky</w:t>
      </w:r>
      <w:r>
        <w:rPr>
          <w:spacing w:val="-8"/>
        </w:rPr>
        <w:t> </w:t>
      </w:r>
      <w:r>
        <w:rPr/>
        <w:t>odpadne</w:t>
      </w:r>
      <w:r>
        <w:rPr>
          <w:spacing w:val="-7"/>
        </w:rPr>
        <w:t> </w:t>
      </w:r>
      <w:r>
        <w:rPr/>
        <w:t>pouze</w:t>
      </w:r>
      <w:r>
        <w:rPr>
          <w:spacing w:val="-8"/>
        </w:rPr>
        <w:t> </w:t>
      </w:r>
      <w:r>
        <w:rPr/>
        <w:t>na</w:t>
      </w:r>
      <w:r>
        <w:rPr>
          <w:spacing w:val="-7"/>
        </w:rPr>
        <w:t> </w:t>
      </w:r>
      <w:r>
        <w:rPr/>
        <w:t>přechodnou</w:t>
      </w:r>
      <w:r>
        <w:rPr>
          <w:spacing w:val="-6"/>
        </w:rPr>
        <w:t> </w:t>
      </w:r>
      <w:r>
        <w:rPr>
          <w:spacing w:val="-2"/>
        </w:rPr>
        <w:t>dobu,</w:t>
      </w:r>
    </w:p>
    <w:p>
      <w:pPr>
        <w:pStyle w:val="ListParagraph"/>
        <w:numPr>
          <w:ilvl w:val="1"/>
          <w:numId w:val="4"/>
        </w:numPr>
        <w:tabs>
          <w:tab w:pos="669" w:val="left" w:leader="none"/>
        </w:tabs>
        <w:spacing w:line="240" w:lineRule="auto" w:before="120"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0"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1"/>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2"/>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10"/>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9"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rPr>
          <w:sz w:val="26"/>
        </w:rPr>
      </w:pPr>
    </w:p>
    <w:p>
      <w:pPr>
        <w:pStyle w:val="Heading1"/>
        <w:spacing w:before="187"/>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8"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2"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before="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4"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8"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37" w:lineRule="auto" w:before="122"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7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2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1850" w:hanging="358"/>
      </w:pPr>
      <w:rPr>
        <w:rFonts w:hint="default"/>
        <w:lang w:val="cs-CZ" w:eastAsia="en-US" w:bidi="ar-SA"/>
      </w:rPr>
    </w:lvl>
    <w:lvl w:ilvl="4">
      <w:start w:val="0"/>
      <w:numFmt w:val="bullet"/>
      <w:lvlText w:val="•"/>
      <w:lvlJc w:val="left"/>
      <w:pPr>
        <w:ind w:left="2960" w:hanging="358"/>
      </w:pPr>
      <w:rPr>
        <w:rFonts w:hint="default"/>
        <w:lang w:val="cs-CZ" w:eastAsia="en-US" w:bidi="ar-SA"/>
      </w:rPr>
    </w:lvl>
    <w:lvl w:ilvl="5">
      <w:start w:val="0"/>
      <w:numFmt w:val="bullet"/>
      <w:lvlText w:val="•"/>
      <w:lvlJc w:val="left"/>
      <w:pPr>
        <w:ind w:left="4070" w:hanging="358"/>
      </w:pPr>
      <w:rPr>
        <w:rFonts w:hint="default"/>
        <w:lang w:val="cs-CZ" w:eastAsia="en-US" w:bidi="ar-SA"/>
      </w:rPr>
    </w:lvl>
    <w:lvl w:ilvl="6">
      <w:start w:val="0"/>
      <w:numFmt w:val="bullet"/>
      <w:lvlText w:val="•"/>
      <w:lvlJc w:val="left"/>
      <w:pPr>
        <w:ind w:left="5180" w:hanging="358"/>
      </w:pPr>
      <w:rPr>
        <w:rFonts w:hint="default"/>
        <w:lang w:val="cs-CZ" w:eastAsia="en-US" w:bidi="ar-SA"/>
      </w:rPr>
    </w:lvl>
    <w:lvl w:ilvl="7">
      <w:start w:val="0"/>
      <w:numFmt w:val="bullet"/>
      <w:lvlText w:val="•"/>
      <w:lvlJc w:val="left"/>
      <w:pPr>
        <w:ind w:left="6290" w:hanging="358"/>
      </w:pPr>
      <w:rPr>
        <w:rFonts w:hint="default"/>
        <w:lang w:val="cs-CZ" w:eastAsia="en-US" w:bidi="ar-SA"/>
      </w:rPr>
    </w:lvl>
    <w:lvl w:ilvl="8">
      <w:start w:val="0"/>
      <w:numFmt w:val="bullet"/>
      <w:lvlText w:val="•"/>
      <w:lvlJc w:val="left"/>
      <w:pPr>
        <w:ind w:left="7400"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2024-01-18T08:17:33Z</dcterms:created>
  <dcterms:modified xsi:type="dcterms:W3CDTF">2024-01-18T08:17:33Z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2016</vt:lpwstr>
  </property>
  <property fmtid="{D5CDD505-2E9C-101B-9397-08002B2CF9AE}" pid="4" name="LastSaved">
    <vt:filetime>2024-01-18T00:00:00Z</vt:filetime>
  </property>
</Properties>
</file>