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20"/>
        <w:gridCol w:w="60"/>
        <w:gridCol w:w="80"/>
        <w:gridCol w:w="220"/>
        <w:gridCol w:w="40"/>
        <w:gridCol w:w="1080"/>
        <w:gridCol w:w="145"/>
        <w:gridCol w:w="895"/>
        <w:gridCol w:w="40"/>
        <w:gridCol w:w="40"/>
        <w:gridCol w:w="320"/>
        <w:gridCol w:w="40"/>
        <w:gridCol w:w="420"/>
        <w:gridCol w:w="480"/>
        <w:gridCol w:w="280"/>
        <w:gridCol w:w="420"/>
        <w:gridCol w:w="1060"/>
        <w:gridCol w:w="40"/>
        <w:gridCol w:w="40"/>
        <w:gridCol w:w="560"/>
        <w:gridCol w:w="2460"/>
        <w:gridCol w:w="40"/>
      </w:tblGrid>
      <w:tr w:rsidR="47483646" w:rsidTr="00273793">
        <w:trPr>
          <w:gridAfter w:val="22"/>
          <w:wAfter w:w="908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</w:pPr>
          </w:p>
        </w:tc>
      </w:tr>
      <w:tr w:rsidR="47483645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Smlouvy"/>
            </w:pPr>
            <w:r>
              <w:t>DODATEK č. 1</w:t>
            </w:r>
          </w:p>
        </w:tc>
      </w:tr>
      <w:tr w:rsidR="47483643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podnadpisDodatku"/>
            </w:pPr>
            <w:r>
              <w:t>(dále také jen „dodatek“)</w:t>
            </w:r>
          </w:p>
        </w:tc>
      </w:tr>
      <w:tr w:rsidR="4748364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Smlouvy"/>
            </w:pPr>
            <w:r>
              <w:t xml:space="preserve">k pojistné smlouvě č. </w:t>
            </w:r>
          </w:p>
          <w:p w:rsidR="004B2543" w:rsidRDefault="00E345D0">
            <w:pPr>
              <w:pStyle w:val="nadpisSmlouvy"/>
            </w:pPr>
            <w:r>
              <w:t>8066479216</w:t>
            </w:r>
          </w:p>
        </w:tc>
      </w:tr>
      <w:tr w:rsidR="47483638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podnadpisDodatku"/>
            </w:pPr>
            <w:r>
              <w:t>(dále také jen „pojistná smlouva“)</w:t>
            </w:r>
          </w:p>
        </w:tc>
      </w:tr>
      <w:tr w:rsidR="47483635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smluvniStrany"/>
            </w:pPr>
            <w:r>
              <w:t>Smluvní strany:</w:t>
            </w:r>
          </w:p>
        </w:tc>
      </w:tr>
      <w:tr w:rsidR="47483632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Identifikace"/>
            </w:pPr>
            <w:r>
              <w:t>se sídlem Masarykovo náměstí 1458, Zelené Předměstí</w:t>
            </w:r>
          </w:p>
          <w:p w:rsidR="004B2543" w:rsidRDefault="00E345D0">
            <w:pPr>
              <w:pStyle w:val="textIdentifikace"/>
            </w:pPr>
            <w:r>
              <w:t>53002 Pardubice, Česká republika</w:t>
            </w:r>
          </w:p>
          <w:p w:rsidR="004B2543" w:rsidRDefault="00E345D0">
            <w:pPr>
              <w:pStyle w:val="textIdentifikace"/>
            </w:pPr>
            <w:proofErr w:type="gramStart"/>
            <w:r>
              <w:t xml:space="preserve">IČO: </w:t>
            </w:r>
            <w:r w:rsidR="002D15E9">
              <w:t xml:space="preserve">        </w:t>
            </w:r>
            <w:r>
              <w:t>, DIČ</w:t>
            </w:r>
            <w:proofErr w:type="gramEnd"/>
            <w:r>
              <w:t xml:space="preserve">: </w:t>
            </w:r>
          </w:p>
          <w:p w:rsidR="004B2543" w:rsidRDefault="00E345D0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Identifikace"/>
            </w:pPr>
            <w:r>
              <w:t>(dále jen pojistitel)</w:t>
            </w:r>
          </w:p>
        </w:tc>
      </w:tr>
      <w:tr w:rsidR="47483622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 w:rsidP="002D15E9">
            <w:pPr>
              <w:pStyle w:val="textIdentifikace"/>
            </w:pPr>
            <w:r>
              <w:t>tel.:   </w:t>
            </w:r>
            <w:r w:rsidR="002D15E9">
              <w:t xml:space="preserve">                   </w:t>
            </w:r>
            <w:r>
              <w:t xml:space="preserve">fax: </w:t>
            </w:r>
            <w:r w:rsidR="002D15E9">
              <w:t xml:space="preserve">      </w:t>
            </w:r>
            <w:r>
              <w:t>   </w:t>
            </w:r>
            <w:hyperlink r:id="rId7" w:tgtFrame="_self" w:history="1">
              <w:r>
                <w:t>www.csobpoj.cz</w:t>
              </w:r>
            </w:hyperlink>
          </w:p>
        </w:tc>
      </w:tr>
      <w:tr w:rsidR="47483618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 w:rsidP="002D15E9">
            <w:pPr>
              <w:pStyle w:val="textIdentifikaceRadekPred"/>
            </w:pPr>
            <w:r>
              <w:t xml:space="preserve">pojistitele zastupuje: </w:t>
            </w:r>
          </w:p>
        </w:tc>
      </w:tr>
      <w:tr w:rsidR="47483616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</w:pPr>
          </w:p>
        </w:tc>
      </w:tr>
      <w:tr w:rsidR="4748361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793" w:rsidRDefault="00273793">
            <w:pPr>
              <w:pStyle w:val="smluvniStrany"/>
            </w:pPr>
          </w:p>
          <w:p w:rsidR="004B2543" w:rsidRDefault="00E345D0">
            <w:pPr>
              <w:pStyle w:val="smluvniStrany"/>
            </w:pPr>
            <w:r>
              <w:t>a</w:t>
            </w:r>
          </w:p>
        </w:tc>
      </w:tr>
      <w:tr w:rsidR="4748361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3793" w:rsidRDefault="00273793">
            <w:pPr>
              <w:pStyle w:val="jmenoPojistnikaUvod"/>
            </w:pPr>
          </w:p>
          <w:p w:rsidR="00273793" w:rsidRDefault="00273793">
            <w:pPr>
              <w:pStyle w:val="jmenoPojistnikaUvod"/>
            </w:pPr>
          </w:p>
          <w:p w:rsidR="004B2543" w:rsidRDefault="00E345D0">
            <w:pPr>
              <w:pStyle w:val="jmenoPojistnikaUvod"/>
            </w:pPr>
            <w:r>
              <w:t>TEPLO BRUNTÁL a. s.</w:t>
            </w:r>
          </w:p>
        </w:tc>
      </w:tr>
      <w:tr w:rsidR="47483609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Identifikace"/>
            </w:pPr>
            <w:r>
              <w:t>se sídlem / místem podnikání Šmilovského 659/6</w:t>
            </w:r>
          </w:p>
          <w:p w:rsidR="004B2543" w:rsidRDefault="00E345D0">
            <w:pPr>
              <w:pStyle w:val="textIdentifikace"/>
            </w:pPr>
            <w:r>
              <w:t>79201, Bruntál</w:t>
            </w:r>
          </w:p>
        </w:tc>
      </w:tr>
      <w:tr w:rsidR="47483605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 w:rsidP="002D15E9">
            <w:pPr>
              <w:pStyle w:val="textIdentifikaceRadekPred"/>
            </w:pPr>
            <w:r>
              <w:t xml:space="preserve">IČO: </w:t>
            </w:r>
          </w:p>
        </w:tc>
      </w:tr>
      <w:tr w:rsidR="47483603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Identifikace"/>
            </w:pPr>
            <w:r>
              <w:t>KS v Ostravě, oddíl B, vložka 1345</w:t>
            </w:r>
          </w:p>
        </w:tc>
      </w:tr>
      <w:tr w:rsidR="4748360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Identifikace"/>
            </w:pPr>
            <w:r>
              <w:t>(dále jen „pojistník“)</w:t>
            </w:r>
          </w:p>
        </w:tc>
      </w:tr>
      <w:tr w:rsidR="47483598" w:rsidTr="002D15E9">
        <w:tc>
          <w:tcPr>
            <w:tcW w:w="198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13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textIdentifikaceRadekPred"/>
            </w:pPr>
          </w:p>
        </w:tc>
      </w:tr>
      <w:tr w:rsidR="4748359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793" w:rsidRDefault="00273793">
            <w:pPr>
              <w:pStyle w:val="textIdentifikaceRadekPred"/>
            </w:pPr>
          </w:p>
          <w:p w:rsidR="00273793" w:rsidRDefault="00273793">
            <w:pPr>
              <w:pStyle w:val="textIdentifikaceRadekPred"/>
            </w:pPr>
          </w:p>
          <w:p w:rsidR="00273793" w:rsidRDefault="00273793">
            <w:pPr>
              <w:pStyle w:val="textIdentifikaceRadekPred"/>
            </w:pPr>
          </w:p>
          <w:p w:rsidR="002D15E9" w:rsidRDefault="002D15E9">
            <w:pPr>
              <w:pStyle w:val="textIdentifikaceRadekPred"/>
            </w:pPr>
          </w:p>
          <w:p w:rsidR="00273793" w:rsidRDefault="00273793">
            <w:pPr>
              <w:pStyle w:val="textIdentifikaceRadekPred"/>
            </w:pPr>
          </w:p>
          <w:p w:rsidR="004B2543" w:rsidRDefault="00E345D0">
            <w:pPr>
              <w:pStyle w:val="textIdentifikaceRadekPred"/>
            </w:pPr>
            <w:proofErr w:type="gramStart"/>
            <w:r>
              <w:t>se dohodly</w:t>
            </w:r>
            <w:proofErr w:type="gramEnd"/>
            <w:r>
              <w:t>, že výše uvedená pojistná smlouva se mění a doplňuje takto:</w:t>
            </w:r>
          </w:p>
        </w:tc>
      </w:tr>
      <w:tr w:rsidR="4748359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:rsidTr="00273793">
        <w:tc>
          <w:tcPr>
            <w:tcW w:w="9120" w:type="dxa"/>
            <w:gridSpan w:val="2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B2543" w:rsidRDefault="00E345D0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:rsidTr="00273793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B2543" w:rsidRDefault="00E345D0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60" w:type="dxa"/>
            <w:gridSpan w:val="21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B2543" w:rsidRDefault="00E345D0">
            <w:pPr>
              <w:pStyle w:val="nadpisTypOj"/>
              <w:keepNext/>
              <w:keepLines/>
              <w:jc w:val="left"/>
            </w:pPr>
            <w:r>
              <w:t xml:space="preserve">Pojištění elektronických zařízení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:rsidTr="00273793">
        <w:tc>
          <w:tcPr>
            <w:tcW w:w="40" w:type="dxa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760" w:type="dxa"/>
            <w:gridSpan w:val="21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82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Cyklu"/>
            </w:pPr>
            <w:r>
              <w:t>ZMĚNY</w:t>
            </w:r>
          </w:p>
        </w:tc>
      </w:tr>
      <w:tr w:rsidR="47483580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575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1"/>
            </w:pPr>
            <w:r>
              <w:t>V souladu s článkem I. pojistné smlouvy se toto pojištění řídí také Všeobecnými pojistnými podmínkami - zvláštní část Pojištění elektronických zařízení VPP ELE 2014 (dále jen "VPP ELE 2014"), které jsou nedílnou součástí a přílohou této pojistné smlouvy.</w:t>
            </w:r>
          </w:p>
        </w:tc>
      </w:tr>
      <w:tr w:rsidR="47483573" w:rsidTr="00273793">
        <w:tc>
          <w:tcPr>
            <w:tcW w:w="9120" w:type="dxa"/>
            <w:gridSpan w:val="23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4B2543" w:rsidRDefault="00E345D0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70" w:rsidTr="00273793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69" w:rsidTr="0027379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4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zarovnaniSNasledujicim0"/>
              <w:keepNext/>
              <w:keepLines/>
            </w:pPr>
            <w:r>
              <w:t>Předmět pojištění: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0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zarovnaniSNasledujicim0"/>
              <w:keepNext/>
              <w:keepLines/>
            </w:pPr>
            <w:r>
              <w:t>Místo pojištění: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0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zarovnaniSNasledujicim0"/>
              <w:keepNext/>
              <w:keepLines/>
            </w:pPr>
            <w:r>
              <w:t>vlastnictví předmětu pojištění: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65" w:rsidTr="0027379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8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40" w:type="dxa"/>
            <w:gridSpan w:val="2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64" w:rsidTr="0027379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4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abulkaPojisteniBold"/>
              <w:keepNext/>
              <w:keepLines/>
            </w:pPr>
            <w:r>
              <w:t>1. elektronické zařízení, příslušenství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0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zarovnaniSNasledujicim0"/>
              <w:keepNext/>
              <w:keepLines/>
            </w:pPr>
            <w:r>
              <w:t>Česká republika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0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zarovnaniSNasledujicim0"/>
              <w:keepNext/>
              <w:keepLines/>
            </w:pPr>
            <w:r>
              <w:t>vlastní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60" w:rsidTr="0027379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4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shd w:val="clear" w:color="auto" w:fill="FFFFFF"/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59" w:rsidTr="00273793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58" w:rsidTr="00273793">
        <w:trPr>
          <w:cantSplit/>
        </w:trPr>
        <w:tc>
          <w:tcPr>
            <w:tcW w:w="9120" w:type="dxa"/>
            <w:gridSpan w:val="2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56" w:rsidTr="00273793">
        <w:trPr>
          <w:cantSplit/>
        </w:trPr>
        <w:tc>
          <w:tcPr>
            <w:tcW w:w="9120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tableTDleftrightbottom"/>
              <w:keepNext/>
              <w:keepLines/>
            </w:pPr>
            <w:r>
              <w:rPr>
                <w:b/>
              </w:rPr>
              <w:t>Elektronická zařízení (vč. příslušenství) - dle seznamu v příloze</w:t>
            </w:r>
          </w:p>
        </w:tc>
      </w:tr>
      <w:tr w:rsidR="47483554" w:rsidTr="00273793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53" w:rsidTr="0027379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7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"/>
              <w:keepNext/>
              <w:keepLines/>
            </w:pPr>
            <w:r>
              <w:t>Přílohy:</w:t>
            </w:r>
          </w:p>
        </w:tc>
        <w:tc>
          <w:tcPr>
            <w:tcW w:w="832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"/>
              <w:keepNext/>
              <w:keepLines/>
            </w:pPr>
            <w:r>
              <w:t>2. Seznam elektronických zařízení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50" w:rsidTr="00273793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49" w:rsidTr="00273793">
        <w:trPr>
          <w:cantSplit/>
        </w:trPr>
        <w:tc>
          <w:tcPr>
            <w:tcW w:w="3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tableTHbold0"/>
              <w:keepNext/>
              <w:keepLines/>
            </w:pPr>
            <w:r>
              <w:t>Pojištění se sjednává pro případ negativního působení pojistných nebezpečí:</w:t>
            </w:r>
          </w:p>
        </w:tc>
        <w:tc>
          <w:tcPr>
            <w:tcW w:w="33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tableTHbold0"/>
              <w:keepNext/>
              <w:keepLines/>
            </w:pPr>
            <w:r>
              <w:t>horní hranice pojistného plnění (Kč):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tableTHbold0"/>
              <w:keepNext/>
              <w:keepLines/>
            </w:pPr>
            <w:r>
              <w:t>spoluúčast:</w:t>
            </w:r>
          </w:p>
        </w:tc>
      </w:tr>
      <w:tr w:rsidR="47483545" w:rsidTr="00273793">
        <w:trPr>
          <w:cantSplit/>
        </w:trPr>
        <w:tc>
          <w:tcPr>
            <w:tcW w:w="328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zarovnaniTabulkyPriOdlDatech"/>
              <w:keepNext/>
              <w:keepLines/>
            </w:pPr>
            <w:r>
              <w:t>Základní pojištění</w:t>
            </w:r>
          </w:p>
        </w:tc>
        <w:tc>
          <w:tcPr>
            <w:tcW w:w="33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D0"/>
              <w:keepNext/>
              <w:keepLines/>
              <w:jc w:val="right"/>
            </w:pPr>
            <w:r>
              <w:t>21 894 116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D0"/>
              <w:keepNext/>
              <w:keepLines/>
              <w:jc w:val="right"/>
            </w:pPr>
            <w:r>
              <w:t>5 000 Kč</w:t>
            </w:r>
          </w:p>
        </w:tc>
      </w:tr>
      <w:tr w:rsidR="47483541" w:rsidTr="00273793">
        <w:trPr>
          <w:cantSplit/>
        </w:trPr>
        <w:tc>
          <w:tcPr>
            <w:tcW w:w="3280" w:type="dxa"/>
            <w:gridSpan w:val="1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4B2543">
            <w:pPr>
              <w:pStyle w:val="tableTDleftrightbottom"/>
              <w:keepNext/>
              <w:keepLines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40" w:rsidRPr="002D15E9" w:rsidTr="00273793">
        <w:trPr>
          <w:cantSplit/>
        </w:trPr>
        <w:tc>
          <w:tcPr>
            <w:tcW w:w="3280" w:type="dxa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C37" w:rsidRPr="002D15E9" w:rsidRDefault="00807C37" w:rsidP="00807C37">
            <w:pPr>
              <w:pStyle w:val="Seznam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5E9">
              <w:t xml:space="preserve">    </w:t>
            </w:r>
            <w:r w:rsidR="00E345D0" w:rsidRPr="002D15E9">
              <w:rPr>
                <w:szCs w:val="24"/>
              </w:rPr>
              <w:t>Odchylně od části A čl</w:t>
            </w:r>
            <w:r w:rsidRPr="002D15E9">
              <w:rPr>
                <w:szCs w:val="24"/>
              </w:rPr>
              <w:t xml:space="preserve">. VIII odst. 3. VPP ELE 2014 se </w:t>
            </w:r>
            <w:r w:rsidR="00E345D0" w:rsidRPr="002D15E9">
              <w:rPr>
                <w:szCs w:val="24"/>
              </w:rPr>
              <w:t>ujednává, že pojistitel poskytne pojistné plnění za škodnou událost podle části A čl. VIII odst. 1. a 2. VPP ELE 2014 i v případě, že k pojistné události došlo na předmětu pojištění, od jehož data výroby uplynulo v den vzniku škodné události 5 a více let.</w:t>
            </w:r>
            <w:r w:rsidRPr="002D15E9">
              <w:rPr>
                <w:szCs w:val="24"/>
              </w:rPr>
              <w:t xml:space="preserve"> Ujednává se, že pojistné plnění bude poskytnuto do výše nové ceny</w:t>
            </w:r>
            <w:r w:rsidRPr="002D15E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B2543" w:rsidRPr="002D15E9" w:rsidRDefault="004B2543">
            <w:pPr>
              <w:pStyle w:val="textNormal1"/>
              <w:keepNext/>
              <w:keepLines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Pr="002D15E9" w:rsidRDefault="004B2543">
            <w:pPr>
              <w:pStyle w:val="EMPTYCELLSTYLE"/>
              <w:keepNext/>
            </w:pPr>
          </w:p>
        </w:tc>
      </w:tr>
      <w:tr w:rsidR="47483538" w:rsidTr="00273793">
        <w:trPr>
          <w:cantSplit/>
        </w:trPr>
        <w:tc>
          <w:tcPr>
            <w:tcW w:w="3280" w:type="dxa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10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24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</w:tr>
      <w:tr w:rsidR="47483536" w:rsidTr="00273793">
        <w:tc>
          <w:tcPr>
            <w:tcW w:w="9120" w:type="dxa"/>
            <w:gridSpan w:val="23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4B2543" w:rsidRDefault="00E345D0">
            <w:pPr>
              <w:pStyle w:val="textVykladPojmu"/>
              <w:keepNext/>
              <w:keepLines/>
            </w:pPr>
            <w:r>
              <w:t>VÝKLAD POJMŮ</w:t>
            </w:r>
          </w:p>
        </w:tc>
      </w:tr>
      <w:tr w:rsidR="4748353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1"/>
            </w:pPr>
            <w:r>
              <w:t xml:space="preserve">Pojmem </w:t>
            </w:r>
            <w:r>
              <w:rPr>
                <w:b/>
              </w:rPr>
              <w:t>Základním pojištěním</w:t>
            </w:r>
            <w:r>
              <w:t xml:space="preserve"> se pro účely této pojistné smlouvy rozumí pojištění elektroniky sjednané pro případ poškození, zničení nebo pohřešování předmětu pojištění v rozsahu dle ČÁSTI A. čl. I odst. 1. VPP ELE 2014.</w:t>
            </w:r>
          </w:p>
        </w:tc>
      </w:tr>
      <w:tr w:rsidR="47483530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28" w:rsidTr="00273793">
        <w:tc>
          <w:tcPr>
            <w:tcW w:w="9120" w:type="dxa"/>
            <w:gridSpan w:val="2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B2543" w:rsidRDefault="00E345D0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26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smallBold"/>
            </w:pPr>
            <w:r>
              <w:t>Výše pojistného za jednotlivá pojištění činí:</w:t>
            </w:r>
          </w:p>
        </w:tc>
      </w:tr>
      <w:tr w:rsidR="47483523" w:rsidTr="00273793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4B2543">
            <w:pPr>
              <w:pStyle w:val="tableTHbold0"/>
              <w:keepNext/>
              <w:keepLines/>
            </w:pPr>
          </w:p>
        </w:tc>
        <w:tc>
          <w:tcPr>
            <w:tcW w:w="3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19" w:rsidTr="00273793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D0"/>
              <w:keepNext/>
              <w:keepLines/>
            </w:pPr>
            <w:r>
              <w:t>Pojištění elektronických zařízení</w:t>
            </w: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2D15E9">
            <w:pPr>
              <w:pStyle w:val="tableTD0"/>
              <w:keepNext/>
              <w:keepLines/>
              <w:jc w:val="right"/>
            </w:pPr>
            <w:proofErr w:type="spellStart"/>
            <w:r>
              <w:t>xx</w:t>
            </w:r>
            <w:proofErr w:type="spellEnd"/>
            <w:r w:rsidR="00E345D0">
              <w:t xml:space="preserve">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2D15E9">
            <w:pPr>
              <w:pStyle w:val="tableTD0"/>
              <w:keepNext/>
              <w:keepLines/>
              <w:jc w:val="right"/>
            </w:pPr>
            <w:proofErr w:type="spellStart"/>
            <w:r>
              <w:t>xx</w:t>
            </w:r>
            <w:proofErr w:type="spellEnd"/>
            <w:r w:rsidR="00E345D0">
              <w:t xml:space="preserve"> Kč</w:t>
            </w:r>
          </w:p>
        </w:tc>
      </w:tr>
      <w:tr w:rsidR="47483514" w:rsidTr="00273793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  <w:keepNext/>
            </w:pPr>
          </w:p>
        </w:tc>
        <w:tc>
          <w:tcPr>
            <w:tcW w:w="3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2D15E9">
            <w:pPr>
              <w:pStyle w:val="tableTD0"/>
              <w:keepNext/>
              <w:keepLines/>
              <w:jc w:val="right"/>
            </w:pPr>
            <w:proofErr w:type="spellStart"/>
            <w:r>
              <w:rPr>
                <w:b/>
              </w:rPr>
              <w:t>xx</w:t>
            </w:r>
            <w:proofErr w:type="spellEnd"/>
            <w:r w:rsidR="00E345D0">
              <w:rPr>
                <w:b/>
              </w:rPr>
              <w:t xml:space="preserve">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2D15E9">
            <w:pPr>
              <w:pStyle w:val="tableTD0"/>
              <w:keepNext/>
              <w:keepLines/>
              <w:jc w:val="right"/>
            </w:pPr>
            <w:proofErr w:type="spellStart"/>
            <w:r>
              <w:rPr>
                <w:b/>
              </w:rPr>
              <w:t>xx</w:t>
            </w:r>
            <w:proofErr w:type="spellEnd"/>
            <w:r>
              <w:rPr>
                <w:b/>
              </w:rPr>
              <w:t xml:space="preserve"> </w:t>
            </w:r>
            <w:r w:rsidR="00E345D0">
              <w:rPr>
                <w:b/>
              </w:rPr>
              <w:t>Kč</w:t>
            </w:r>
          </w:p>
        </w:tc>
      </w:tr>
      <w:tr w:rsidR="47483510" w:rsidTr="00273793">
        <w:trPr>
          <w:cantSplit/>
        </w:trPr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zarovnaniSNasledujicim0"/>
              <w:keepNext/>
              <w:keepLines/>
            </w:pPr>
          </w:p>
        </w:tc>
      </w:tr>
      <w:tr w:rsidR="47483508" w:rsidTr="00273793">
        <w:trPr>
          <w:cantSplit/>
        </w:trPr>
        <w:tc>
          <w:tcPr>
            <w:tcW w:w="662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B2543" w:rsidRDefault="00E345D0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4B2543" w:rsidRDefault="00E345D0">
            <w:pPr>
              <w:pStyle w:val="tableTD0"/>
              <w:keepNext/>
              <w:keepLines/>
            </w:pPr>
            <w:r>
              <w:rPr>
                <w:b/>
              </w:rPr>
              <w:t>Od 14.06.2017</w:t>
            </w:r>
            <w:r>
              <w:t xml:space="preserve"> 00:00 hodin </w:t>
            </w:r>
            <w:r>
              <w:rPr>
                <w:b/>
              </w:rPr>
              <w:t>do 10.09.2017</w:t>
            </w:r>
            <w:r>
              <w:t xml:space="preserve"> 00:00 hodin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2D15E9">
            <w:pPr>
              <w:pStyle w:val="tableTD0"/>
              <w:keepNext/>
              <w:keepLines/>
              <w:jc w:val="right"/>
            </w:pPr>
            <w:bookmarkStart w:id="0" w:name="_GoBack"/>
            <w:bookmarkEnd w:id="0"/>
            <w:proofErr w:type="spellStart"/>
            <w:r>
              <w:t>xx</w:t>
            </w:r>
            <w:proofErr w:type="spellEnd"/>
            <w:r w:rsidR="00E345D0">
              <w:t xml:space="preserve"> Kč</w:t>
            </w:r>
          </w:p>
        </w:tc>
      </w:tr>
      <w:tr w:rsidR="47483488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80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76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72" w:rsidTr="00273793">
        <w:tc>
          <w:tcPr>
            <w:tcW w:w="9120" w:type="dxa"/>
            <w:gridSpan w:val="23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</w:pPr>
          </w:p>
        </w:tc>
      </w:tr>
      <w:tr w:rsidR="47483470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PojistneSplatkovyKalendar"/>
            </w:pPr>
            <w:r>
              <w:t>Splátkový kalendář</w:t>
            </w:r>
          </w:p>
        </w:tc>
      </w:tr>
      <w:tr w:rsidR="47483468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10.09.2017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461" w:rsidTr="00273793">
        <w:trPr>
          <w:cantSplit/>
        </w:trPr>
        <w:tc>
          <w:tcPr>
            <w:tcW w:w="42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B2543" w:rsidRDefault="00E345D0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458" w:rsidTr="00273793">
        <w:trPr>
          <w:cantSplit/>
        </w:trPr>
        <w:tc>
          <w:tcPr>
            <w:tcW w:w="42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43" w:rsidRDefault="00E345D0">
            <w:pPr>
              <w:pStyle w:val="tableTD0"/>
              <w:keepNext/>
              <w:keepLines/>
              <w:ind w:left="40"/>
            </w:pPr>
            <w:proofErr w:type="gramStart"/>
            <w:r>
              <w:t>14.06.2017</w:t>
            </w:r>
            <w:proofErr w:type="gramEnd"/>
          </w:p>
        </w:tc>
        <w:tc>
          <w:tcPr>
            <w:tcW w:w="4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43" w:rsidRDefault="002D15E9">
            <w:pPr>
              <w:pStyle w:val="tableTD0"/>
              <w:keepNext/>
              <w:keepLines/>
              <w:ind w:right="40"/>
              <w:jc w:val="right"/>
            </w:pPr>
            <w:proofErr w:type="spellStart"/>
            <w:r>
              <w:t>xx</w:t>
            </w:r>
            <w:proofErr w:type="spellEnd"/>
            <w:r w:rsidR="00E345D0">
              <w:t xml:space="preserve"> Kč</w:t>
            </w:r>
          </w:p>
        </w:tc>
      </w:tr>
      <w:tr w:rsidR="47483455" w:rsidTr="00273793">
        <w:trPr>
          <w:cantSplit/>
        </w:trPr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beznyText"/>
            </w:pPr>
          </w:p>
        </w:tc>
      </w:tr>
      <w:tr w:rsidR="4748345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 w:rsidP="002D15E9">
            <w:pPr>
              <w:pStyle w:val="beznyText"/>
            </w:pPr>
            <w:r>
              <w:t xml:space="preserve">Pojistné poukáže pojistník na účet </w:t>
            </w:r>
            <w:proofErr w:type="spellStart"/>
            <w:r w:rsidR="002D15E9">
              <w:t>xxxxxxx</w:t>
            </w:r>
            <w:proofErr w:type="spellEnd"/>
          </w:p>
        </w:tc>
      </w:tr>
      <w:tr w:rsidR="47483452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"/>
            </w:pPr>
            <w:r>
              <w:t xml:space="preserve">číslo </w:t>
            </w:r>
            <w:proofErr w:type="spellStart"/>
            <w:r w:rsidR="002D15E9">
              <w:rPr>
                <w:b/>
              </w:rPr>
              <w:t>xxxxxxxxxx</w:t>
            </w:r>
            <w:proofErr w:type="spellEnd"/>
            <w:r w:rsidR="002D15E9">
              <w:rPr>
                <w:b/>
              </w:rPr>
              <w:t>/</w:t>
            </w:r>
            <w:proofErr w:type="spellStart"/>
            <w:r w:rsidR="002D15E9">
              <w:rPr>
                <w:b/>
              </w:rPr>
              <w:t>xxxxx</w:t>
            </w:r>
            <w:proofErr w:type="spellEnd"/>
          </w:p>
        </w:tc>
      </w:tr>
      <w:tr w:rsidR="47483449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"/>
            </w:pPr>
            <w:r>
              <w:t>konstantní symbol 3558,</w:t>
            </w:r>
          </w:p>
        </w:tc>
      </w:tr>
      <w:tr w:rsidR="47483447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8066479216</w:t>
            </w:r>
          </w:p>
        </w:tc>
      </w:tr>
      <w:tr w:rsidR="4748344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 w:rsidP="002D15E9">
            <w:pPr>
              <w:pStyle w:val="beznyText"/>
            </w:pPr>
            <w:r>
              <w:t xml:space="preserve">Pojistné se považuje za uhrazené dnem připsání na účet </w:t>
            </w:r>
            <w:r w:rsidR="002D15E9">
              <w:t xml:space="preserve"> </w:t>
            </w:r>
            <w:proofErr w:type="spellStart"/>
            <w:proofErr w:type="gramStart"/>
            <w:r w:rsidR="002D15E9">
              <w:t>xxxxxxx</w:t>
            </w:r>
            <w:proofErr w:type="spellEnd"/>
            <w:r w:rsidR="002D15E9">
              <w:t xml:space="preserve"> </w:t>
            </w:r>
            <w:r>
              <w:t>.</w:t>
            </w:r>
            <w:proofErr w:type="gramEnd"/>
          </w:p>
        </w:tc>
      </w:tr>
      <w:tr w:rsidR="4748344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439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1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437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1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434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43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29" w:rsidTr="00273793">
        <w:tc>
          <w:tcPr>
            <w:tcW w:w="9120" w:type="dxa"/>
            <w:gridSpan w:val="2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B2543" w:rsidRDefault="00E345D0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26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proofErr w:type="gramStart"/>
            <w:r>
              <w:rPr>
                <w:b/>
              </w:rPr>
              <w:t>14.06.2017</w:t>
            </w:r>
            <w:proofErr w:type="gramEnd"/>
          </w:p>
        </w:tc>
      </w:tr>
      <w:tr w:rsidR="47483423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1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421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 w:rsidP="002D15E9">
            <w:pPr>
              <w:pStyle w:val="textNormalBlokB91"/>
            </w:pPr>
            <w:r>
              <w:t xml:space="preserve">Správce pojistné smlouvy: </w:t>
            </w:r>
            <w:proofErr w:type="spellStart"/>
            <w:r w:rsidR="002D15E9">
              <w:t>xxxxxxx</w:t>
            </w:r>
            <w:proofErr w:type="spellEnd"/>
            <w:r>
              <w:t xml:space="preserve"> telefon: </w:t>
            </w:r>
            <w:proofErr w:type="spellStart"/>
            <w:r w:rsidR="002D15E9">
              <w:t>xxxxxxxxxx</w:t>
            </w:r>
            <w:proofErr w:type="spellEnd"/>
            <w:r>
              <w:t xml:space="preserve">, email: </w:t>
            </w:r>
            <w:proofErr w:type="spellStart"/>
            <w:r w:rsidR="002D15E9">
              <w:t>xxxxxx</w:t>
            </w:r>
            <w:proofErr w:type="spellEnd"/>
          </w:p>
        </w:tc>
      </w:tr>
      <w:tr w:rsidR="47483419" w:rsidTr="00273793">
        <w:tc>
          <w:tcPr>
            <w:tcW w:w="45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273793">
              <w:rPr>
                <w:noProof/>
              </w:rPr>
              <w:t>4</w:t>
            </w:r>
            <w:r>
              <w:fldChar w:fldCharType="end"/>
            </w:r>
          </w:p>
        </w:tc>
      </w:tr>
      <w:tr w:rsidR="47483417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beznyText1"/>
            </w:pPr>
            <w:r>
              <w:t>Přílohy:</w:t>
            </w:r>
          </w:p>
        </w:tc>
      </w:tr>
      <w:tr w:rsidR="47483415" w:rsidTr="00273793">
        <w:tc>
          <w:tcPr>
            <w:tcW w:w="40" w:type="dxa"/>
          </w:tcPr>
          <w:p w:rsidR="004B2543" w:rsidRDefault="004B2543">
            <w:pPr>
              <w:pStyle w:val="EMPTYCELLSTYLE"/>
            </w:pPr>
          </w:p>
        </w:tc>
        <w:tc>
          <w:tcPr>
            <w:tcW w:w="320" w:type="dxa"/>
          </w:tcPr>
          <w:p w:rsidR="004B2543" w:rsidRDefault="004B2543">
            <w:pPr>
              <w:pStyle w:val="EMPTYCELLSTYLE"/>
            </w:pPr>
          </w:p>
        </w:tc>
        <w:tc>
          <w:tcPr>
            <w:tcW w:w="60" w:type="dxa"/>
          </w:tcPr>
          <w:p w:rsidR="004B2543" w:rsidRDefault="004B2543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1"/>
            </w:pPr>
            <w:r>
              <w:t>2)</w:t>
            </w:r>
          </w:p>
        </w:tc>
        <w:tc>
          <w:tcPr>
            <w:tcW w:w="8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1"/>
            </w:pPr>
            <w:r>
              <w:t>Seznam elektronických zařízení</w:t>
            </w:r>
          </w:p>
        </w:tc>
      </w:tr>
      <w:tr w:rsidR="47483412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B9VolnyRadekPred"/>
              <w:keepNext/>
              <w:keepLines/>
            </w:pPr>
            <w:r>
              <w:lastRenderedPageBreak/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3410" w:rsidTr="00273793"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E345D0">
            <w:pPr>
              <w:pStyle w:val="textNormalBlok0"/>
              <w:keepNext/>
              <w:keepLines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407" w:rsidTr="00273793">
        <w:trPr>
          <w:cantSplit/>
        </w:trPr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podpisovePoleSpacer"/>
              <w:keepNext/>
              <w:keepLines/>
            </w:pPr>
          </w:p>
        </w:tc>
      </w:tr>
      <w:tr w:rsidR="47483406" w:rsidTr="00273793">
        <w:trPr>
          <w:cantSplit/>
        </w:trPr>
        <w:tc>
          <w:tcPr>
            <w:tcW w:w="49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793" w:rsidRDefault="00273793">
            <w:pPr>
              <w:pStyle w:val="beznyText"/>
              <w:keepNext/>
              <w:keepLines/>
            </w:pPr>
          </w:p>
          <w:p w:rsidR="00273793" w:rsidRDefault="00273793">
            <w:pPr>
              <w:pStyle w:val="beznyText"/>
              <w:keepNext/>
              <w:keepLines/>
            </w:pPr>
          </w:p>
          <w:p w:rsidR="00273793" w:rsidRDefault="00273793">
            <w:pPr>
              <w:pStyle w:val="beznyText"/>
              <w:keepNext/>
              <w:keepLines/>
            </w:pPr>
          </w:p>
          <w:p w:rsidR="004B2543" w:rsidRDefault="00E345D0" w:rsidP="00273793">
            <w:pPr>
              <w:pStyle w:val="beznyText"/>
              <w:keepNext/>
              <w:keepLines/>
            </w:pPr>
            <w:r>
              <w:t>V</w:t>
            </w:r>
            <w:r w:rsidR="00273793">
              <w:t xml:space="preserve"> Bruntále </w:t>
            </w:r>
            <w:r>
              <w:t xml:space="preserve"> dne </w:t>
            </w:r>
            <w:proofErr w:type="gramStart"/>
            <w:r w:rsidR="00273793">
              <w:t>13.06.2017</w:t>
            </w:r>
            <w:proofErr w:type="gramEnd"/>
            <w:r>
              <w:t xml:space="preserve"> </w:t>
            </w:r>
          </w:p>
        </w:tc>
        <w:tc>
          <w:tcPr>
            <w:tcW w:w="4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793" w:rsidRDefault="00273793">
            <w:pPr>
              <w:pStyle w:val="beznyText"/>
              <w:keepNext/>
              <w:keepLines/>
              <w:jc w:val="center"/>
            </w:pPr>
          </w:p>
          <w:p w:rsidR="00273793" w:rsidRDefault="00273793">
            <w:pPr>
              <w:pStyle w:val="beznyText"/>
              <w:keepNext/>
              <w:keepLines/>
              <w:jc w:val="center"/>
            </w:pPr>
          </w:p>
          <w:p w:rsidR="00273793" w:rsidRDefault="00273793">
            <w:pPr>
              <w:pStyle w:val="beznyText"/>
              <w:keepNext/>
              <w:keepLines/>
              <w:jc w:val="center"/>
            </w:pPr>
          </w:p>
          <w:p w:rsidR="004B2543" w:rsidRDefault="00E345D0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4B2543" w:rsidRDefault="00E345D0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402" w:rsidTr="00273793">
        <w:trPr>
          <w:cantSplit/>
        </w:trPr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podpisovePoleSpacer"/>
              <w:keepNext/>
              <w:keepLines/>
            </w:pPr>
          </w:p>
        </w:tc>
      </w:tr>
      <w:tr w:rsidR="47483401" w:rsidTr="00273793">
        <w:trPr>
          <w:cantSplit/>
        </w:trPr>
        <w:tc>
          <w:tcPr>
            <w:tcW w:w="49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793" w:rsidRDefault="00273793">
            <w:pPr>
              <w:pStyle w:val="beznyText"/>
              <w:keepNext/>
              <w:keepLines/>
            </w:pPr>
          </w:p>
          <w:p w:rsidR="00273793" w:rsidRDefault="00273793">
            <w:pPr>
              <w:pStyle w:val="beznyText"/>
              <w:keepNext/>
              <w:keepLines/>
            </w:pPr>
          </w:p>
          <w:p w:rsidR="00273793" w:rsidRDefault="00273793">
            <w:pPr>
              <w:pStyle w:val="beznyText"/>
              <w:keepNext/>
              <w:keepLines/>
            </w:pPr>
          </w:p>
          <w:p w:rsidR="004B2543" w:rsidRDefault="00E345D0" w:rsidP="00273793">
            <w:pPr>
              <w:pStyle w:val="beznyText"/>
              <w:keepNext/>
              <w:keepLines/>
            </w:pPr>
            <w:r>
              <w:t>V</w:t>
            </w:r>
            <w:r w:rsidR="00273793">
              <w:t xml:space="preserve"> Ostravě </w:t>
            </w:r>
            <w:r>
              <w:t xml:space="preserve"> dne </w:t>
            </w:r>
            <w:r w:rsidR="00273793">
              <w:t xml:space="preserve"> </w:t>
            </w:r>
            <w:proofErr w:type="gramStart"/>
            <w:r w:rsidR="00273793">
              <w:t>13.06.2017</w:t>
            </w:r>
            <w:proofErr w:type="gramEnd"/>
            <w:r>
              <w:t xml:space="preserve"> </w:t>
            </w:r>
          </w:p>
        </w:tc>
        <w:tc>
          <w:tcPr>
            <w:tcW w:w="4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793" w:rsidRDefault="00273793">
            <w:pPr>
              <w:pStyle w:val="beznyText"/>
              <w:keepNext/>
              <w:keepLines/>
              <w:jc w:val="center"/>
            </w:pPr>
          </w:p>
          <w:p w:rsidR="00273793" w:rsidRDefault="00273793">
            <w:pPr>
              <w:pStyle w:val="beznyText"/>
              <w:keepNext/>
              <w:keepLines/>
              <w:jc w:val="center"/>
            </w:pPr>
          </w:p>
          <w:p w:rsidR="00273793" w:rsidRDefault="00273793">
            <w:pPr>
              <w:pStyle w:val="beznyText"/>
              <w:keepNext/>
              <w:keepLines/>
              <w:jc w:val="center"/>
            </w:pPr>
          </w:p>
          <w:p w:rsidR="004B2543" w:rsidRDefault="00E345D0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4B2543" w:rsidRDefault="00E345D0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97" w:rsidTr="00273793">
        <w:trPr>
          <w:cantSplit/>
        </w:trPr>
        <w:tc>
          <w:tcPr>
            <w:tcW w:w="9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beznyText"/>
            </w:pPr>
          </w:p>
        </w:tc>
      </w:tr>
      <w:tr w:rsidR="47483395" w:rsidTr="00273793">
        <w:trPr>
          <w:gridAfter w:val="22"/>
          <w:wAfter w:w="908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543" w:rsidRDefault="004B2543">
            <w:pPr>
              <w:pStyle w:val="EMPTYCELLSTYLE"/>
            </w:pPr>
          </w:p>
        </w:tc>
      </w:tr>
    </w:tbl>
    <w:p w:rsidR="004B2543" w:rsidRDefault="004B2543">
      <w:pPr>
        <w:pStyle w:val="beznyText"/>
        <w:sectPr w:rsidR="004B2543">
          <w:headerReference w:type="default" r:id="rId8"/>
          <w:footerReference w:type="defaul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1" w:name="B2BBOOKMARK1"/>
      <w:bookmarkEnd w:id="1"/>
    </w:p>
    <w:p w:rsidR="002D15E9" w:rsidRDefault="002D15E9" w:rsidP="002D15E9">
      <w:pPr>
        <w:pStyle w:val="beznyText"/>
        <w:ind w:left="567"/>
      </w:pPr>
      <w:bookmarkStart w:id="2" w:name="B2BBOOKMARK2"/>
      <w:bookmarkStart w:id="3" w:name="B2BBOOKMARK3"/>
      <w:bookmarkEnd w:id="2"/>
      <w:bookmarkEnd w:id="3"/>
      <w:r>
        <w:lastRenderedPageBreak/>
        <w:t xml:space="preserve">                              </w:t>
      </w:r>
    </w:p>
    <w:tbl>
      <w:tblPr>
        <w:tblW w:w="0" w:type="auto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1140"/>
        <w:gridCol w:w="3760"/>
      </w:tblGrid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nadpisSplatkovyKalendar"/>
            </w:pPr>
            <w:r>
              <w:t>Splátkový kalendář k dodatku č. 1 pojistné smlouvy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nadpisSplatkovyKalendar"/>
            </w:pPr>
            <w:r>
              <w:t>č. 8066479216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</w:p>
        </w:tc>
      </w:tr>
      <w:tr w:rsidR="002D15E9" w:rsidTr="002D15E9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EMPTYCELLSTYLE"/>
            </w:pP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14.06.2017</w:t>
            </w:r>
            <w:r>
              <w:t xml:space="preserve"> 00:00 hodin </w:t>
            </w:r>
            <w:r>
              <w:rPr>
                <w:b/>
              </w:rPr>
              <w:t>do 10.09.2017</w:t>
            </w:r>
            <w:r>
              <w:t xml:space="preserve"> 00:00 hodin.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textNormalBlokB91"/>
            </w:pPr>
            <w:r>
              <w:t>Pojistník je povinen platit pojistné v následujících termínech a splátkách:</w:t>
            </w:r>
          </w:p>
        </w:tc>
      </w:tr>
      <w:tr w:rsidR="002D15E9" w:rsidTr="002D15E9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D15E9" w:rsidRDefault="002D15E9" w:rsidP="001B7DA2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D15E9" w:rsidRDefault="002D15E9" w:rsidP="001B7DA2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2D15E9" w:rsidTr="002D15E9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5E9" w:rsidRDefault="002D15E9" w:rsidP="001B7DA2">
            <w:pPr>
              <w:pStyle w:val="tableTD0"/>
              <w:keepNext/>
              <w:keepLines/>
              <w:ind w:left="40"/>
            </w:pPr>
            <w:proofErr w:type="gramStart"/>
            <w:r>
              <w:t>14.06.2017</w:t>
            </w:r>
            <w:proofErr w:type="gramEnd"/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5E9" w:rsidRDefault="002D15E9" w:rsidP="001B7DA2">
            <w:pPr>
              <w:pStyle w:val="tableTD0"/>
              <w:keepNext/>
              <w:keepLines/>
              <w:ind w:right="40"/>
              <w:jc w:val="right"/>
            </w:pPr>
            <w:proofErr w:type="spellStart"/>
            <w:r>
              <w:t>xx</w:t>
            </w:r>
            <w:proofErr w:type="spellEnd"/>
            <w:r>
              <w:t xml:space="preserve"> Kč</w:t>
            </w:r>
          </w:p>
        </w:tc>
      </w:tr>
      <w:tr w:rsidR="002D15E9" w:rsidTr="002D15E9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  <w:r>
              <w:t xml:space="preserve">Pojistné poukáže pojistník na účet </w:t>
            </w:r>
            <w:proofErr w:type="spellStart"/>
            <w:r>
              <w:t>xxxxxxxx</w:t>
            </w:r>
            <w:proofErr w:type="spellEnd"/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  <w:r>
              <w:t xml:space="preserve">číslo </w:t>
            </w:r>
            <w:proofErr w:type="spellStart"/>
            <w:r>
              <w:rPr>
                <w:b/>
              </w:rPr>
              <w:t>xxxxxxxxxx</w:t>
            </w:r>
            <w:proofErr w:type="spellEnd"/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  <w:r>
              <w:t>konstantní symbol 3558,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8066479216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beznyText"/>
            </w:pPr>
            <w:r>
              <w:t xml:space="preserve">Pojistné se považuje za uhrazené dnem připsání na účet </w:t>
            </w:r>
            <w:proofErr w:type="spellStart"/>
            <w:r>
              <w:t>xxxxxxxxx</w:t>
            </w:r>
            <w:proofErr w:type="spellEnd"/>
            <w:r>
              <w:t>.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volnyRadekSpacer"/>
            </w:pPr>
          </w:p>
        </w:tc>
      </w:tr>
      <w:tr w:rsidR="002D15E9" w:rsidTr="002D15E9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textNormal1"/>
            </w:pPr>
          </w:p>
          <w:p w:rsidR="002D15E9" w:rsidRDefault="002D15E9" w:rsidP="001B7DA2">
            <w:pPr>
              <w:pStyle w:val="textNormal1"/>
            </w:pPr>
          </w:p>
          <w:p w:rsidR="002D15E9" w:rsidRDefault="002D15E9" w:rsidP="001B7DA2">
            <w:pPr>
              <w:pStyle w:val="textNormal1"/>
            </w:pPr>
          </w:p>
          <w:p w:rsidR="002D15E9" w:rsidRDefault="002D15E9" w:rsidP="001B7DA2">
            <w:pPr>
              <w:pStyle w:val="textNormal1"/>
            </w:pPr>
            <w:r>
              <w:t xml:space="preserve">V Ostravě  dne  </w:t>
            </w:r>
            <w:proofErr w:type="gramStart"/>
            <w:r>
              <w:t>13.06.2017</w:t>
            </w:r>
            <w:proofErr w:type="gramEnd"/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textNormal1"/>
              <w:jc w:val="center"/>
            </w:pPr>
          </w:p>
          <w:p w:rsidR="002D15E9" w:rsidRDefault="002D15E9" w:rsidP="001B7DA2">
            <w:pPr>
              <w:pStyle w:val="textNormal1"/>
              <w:jc w:val="center"/>
            </w:pPr>
          </w:p>
          <w:p w:rsidR="002D15E9" w:rsidRDefault="002D15E9" w:rsidP="001B7DA2">
            <w:pPr>
              <w:pStyle w:val="textNormal1"/>
              <w:jc w:val="center"/>
            </w:pPr>
          </w:p>
          <w:p w:rsidR="002D15E9" w:rsidRDefault="002D15E9" w:rsidP="001B7DA2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:rsidR="002D15E9" w:rsidRDefault="002D15E9" w:rsidP="001B7DA2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002D15E9" w:rsidTr="002D15E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5E9" w:rsidRDefault="002D15E9" w:rsidP="001B7DA2">
            <w:pPr>
              <w:pStyle w:val="hlavickaPaticka0"/>
            </w:pPr>
          </w:p>
        </w:tc>
      </w:tr>
    </w:tbl>
    <w:p w:rsidR="004B2543" w:rsidRDefault="002D15E9" w:rsidP="002D15E9">
      <w:pPr>
        <w:pStyle w:val="beznyText"/>
        <w:ind w:left="567"/>
      </w:pPr>
      <w:r>
        <w:tab/>
      </w:r>
    </w:p>
    <w:sectPr w:rsidR="004B2543">
      <w:headerReference w:type="default" r:id="rId10"/>
      <w:footerReference w:type="default" r:id="rId11"/>
      <w:pgSz w:w="11900" w:h="16840"/>
      <w:pgMar w:top="700" w:right="0" w:bottom="700" w:left="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D0" w:rsidRDefault="00E345D0">
      <w:r>
        <w:separator/>
      </w:r>
    </w:p>
  </w:endnote>
  <w:endnote w:type="continuationSeparator" w:id="0">
    <w:p w:rsidR="00E345D0" w:rsidRDefault="00E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43" w:rsidRDefault="00E345D0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2D15E9">
      <w:rPr>
        <w:noProof/>
      </w:rPr>
      <w:t>4</w:t>
    </w:r>
    <w:r>
      <w:fldChar w:fldCharType="end"/>
    </w:r>
    <w:r>
      <w:t xml:space="preserve"> (z celkem stran </w:t>
    </w:r>
    <w:r w:rsidR="002D15E9">
      <w:fldChar w:fldCharType="begin"/>
    </w:r>
    <w:r w:rsidR="002D15E9">
      <w:instrText xml:space="preserve"> PAGEREF B2BBOOKMARK1\* MERGEFORMAT</w:instrText>
    </w:r>
    <w:r w:rsidR="002D15E9">
      <w:fldChar w:fldCharType="separate"/>
    </w:r>
    <w:r w:rsidR="002D15E9">
      <w:rPr>
        <w:noProof/>
      </w:rPr>
      <w:t>4</w:t>
    </w:r>
    <w:r w:rsidR="002D15E9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43" w:rsidRDefault="00E345D0">
    <w:pPr>
      <w:pStyle w:val="textNormal1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2D15E9">
      <w:rPr>
        <w:noProof/>
      </w:rPr>
      <w:t>1</w:t>
    </w:r>
    <w:r>
      <w:fldChar w:fldCharType="end"/>
    </w:r>
    <w:r>
      <w:t xml:space="preserve"> (z celkem stran </w:t>
    </w:r>
    <w:r w:rsidR="002D15E9">
      <w:fldChar w:fldCharType="begin"/>
    </w:r>
    <w:r w:rsidR="002D15E9">
      <w:instrText xml:space="preserve"> PAGEREF B2BBOOKMARK3\* MERGEFORMAT</w:instrText>
    </w:r>
    <w:r w:rsidR="002D15E9">
      <w:fldChar w:fldCharType="separate"/>
    </w:r>
    <w:r w:rsidR="002D15E9">
      <w:rPr>
        <w:noProof/>
      </w:rPr>
      <w:t>1</w:t>
    </w:r>
    <w:r w:rsidR="002D15E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D0" w:rsidRDefault="00E345D0">
      <w:r>
        <w:separator/>
      </w:r>
    </w:p>
  </w:footnote>
  <w:footnote w:type="continuationSeparator" w:id="0">
    <w:p w:rsidR="00E345D0" w:rsidRDefault="00E3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43" w:rsidRDefault="00E345D0" w:rsidP="002D15E9">
    <w:pPr>
      <w:pStyle w:val="hlavickaPaticka0"/>
    </w:pPr>
    <w:r>
      <w:t>Číslo pojistné smlouvy: 8066479216 dodatek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E9" w:rsidRDefault="002D15E9" w:rsidP="002D15E9">
    <w:pPr>
      <w:pStyle w:val="hlavickaPaticka0"/>
      <w:ind w:left="993"/>
    </w:pPr>
    <w:r>
      <w:t>Číslo pojistné smlouvy: 8066479216 dodatek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3"/>
    <w:rsid w:val="000D5AB2"/>
    <w:rsid w:val="00273793"/>
    <w:rsid w:val="002D15E9"/>
    <w:rsid w:val="004B2543"/>
    <w:rsid w:val="00807C37"/>
    <w:rsid w:val="00E345D0"/>
    <w:rsid w:val="00F6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"/>
    <w:qFormat/>
    <w:pPr>
      <w:spacing w:before="180"/>
    </w:p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extVykladPojmu">
    <w:name w:val="textVykladPojmu"/>
    <w:basedOn w:val="zarovnaniSNasledujicim"/>
    <w:qFormat/>
    <w:rPr>
      <w:b/>
      <w:sz w:val="20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styleId="Seznam">
    <w:name w:val="List"/>
    <w:basedOn w:val="Normln"/>
    <w:rsid w:val="00807C37"/>
    <w:pPr>
      <w:ind w:left="283" w:hanging="283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D15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5E9"/>
  </w:style>
  <w:style w:type="paragraph" w:styleId="Zpat">
    <w:name w:val="footer"/>
    <w:basedOn w:val="Normln"/>
    <w:link w:val="ZpatChar"/>
    <w:uiPriority w:val="99"/>
    <w:unhideWhenUsed/>
    <w:rsid w:val="002D1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"/>
    <w:qFormat/>
    <w:pPr>
      <w:spacing w:before="180"/>
    </w:p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extVykladPojmu">
    <w:name w:val="textVykladPojmu"/>
    <w:basedOn w:val="zarovnaniSNasledujicim"/>
    <w:qFormat/>
    <w:rPr>
      <w:b/>
      <w:sz w:val="20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styleId="Seznam">
    <w:name w:val="List"/>
    <w:basedOn w:val="Normln"/>
    <w:rsid w:val="00807C37"/>
    <w:pPr>
      <w:ind w:left="283" w:hanging="283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D15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5E9"/>
  </w:style>
  <w:style w:type="paragraph" w:styleId="Zpat">
    <w:name w:val="footer"/>
    <w:basedOn w:val="Normln"/>
    <w:link w:val="ZpatChar"/>
    <w:uiPriority w:val="99"/>
    <w:unhideWhenUsed/>
    <w:rsid w:val="002D1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komackav\AppData\Local\Microsoft\Windows\Temporary%20Internet%20Files\Content.Outlook\OCSO1J85\www.csobpoj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1112</Words>
  <Characters>6565</Characters>
  <Application>Microsoft Office Word</Application>
  <DocSecurity>0</DocSecurity>
  <Lines>54</Lines>
  <Paragraphs>15</Paragraphs>
  <ScaleCrop>false</ScaleCrop>
  <Company>KBC ICT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Komačka Václav Mgr.</dc:creator>
  <cp:lastModifiedBy>Ivana Borovičková</cp:lastModifiedBy>
  <cp:revision>3</cp:revision>
  <dcterms:created xsi:type="dcterms:W3CDTF">2017-06-21T07:35:00Z</dcterms:created>
  <dcterms:modified xsi:type="dcterms:W3CDTF">2017-06-28T06:48:00Z</dcterms:modified>
</cp:coreProperties>
</file>