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0"/>
        <w:ind w:left="2950" w:right="295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4"/>
          <w:sz w:val="32"/>
        </w:rPr>
        <w:t> </w:t>
      </w:r>
      <w:r>
        <w:rPr>
          <w:color w:val="808080"/>
          <w:sz w:val="32"/>
        </w:rPr>
        <w:t>1190400329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Příkazy</w:t>
      </w:r>
    </w:p>
    <w:p>
      <w:pPr>
        <w:pStyle w:val="BodyText"/>
        <w:tabs>
          <w:tab w:pos="2982" w:val="left" w:leader="none"/>
        </w:tabs>
        <w:spacing w:before="1"/>
        <w:ind w:left="102" w:right="2420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7"/>
        </w:rPr>
        <w:t> </w:t>
      </w:r>
      <w:r>
        <w:rPr/>
        <w:t>Příkazy,</w:t>
      </w:r>
      <w:r>
        <w:rPr>
          <w:spacing w:val="-5"/>
        </w:rPr>
        <w:t> </w:t>
      </w:r>
      <w:r>
        <w:rPr/>
        <w:t>Příkazy</w:t>
      </w:r>
      <w:r>
        <w:rPr>
          <w:spacing w:val="-6"/>
        </w:rPr>
        <w:t> </w:t>
      </w:r>
      <w:r>
        <w:rPr/>
        <w:t>125,</w:t>
      </w:r>
      <w:r>
        <w:rPr>
          <w:spacing w:val="-6"/>
        </w:rPr>
        <w:t> </w:t>
      </w:r>
      <w:r>
        <w:rPr/>
        <w:t>783</w:t>
      </w:r>
      <w:r>
        <w:rPr>
          <w:spacing w:val="-6"/>
        </w:rPr>
        <w:t> </w:t>
      </w:r>
      <w:r>
        <w:rPr/>
        <w:t>33</w:t>
      </w:r>
      <w:r>
        <w:rPr>
          <w:spacing w:val="-6"/>
        </w:rPr>
        <w:t> </w:t>
      </w:r>
      <w:r>
        <w:rPr/>
        <w:t>Příkazy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00228711</w:t>
      </w:r>
    </w:p>
    <w:p>
      <w:pPr>
        <w:pStyle w:val="BodyText"/>
        <w:tabs>
          <w:tab w:pos="2982" w:val="left" w:leader="none"/>
        </w:tabs>
        <w:spacing w:before="1"/>
        <w:ind w:left="102" w:right="3409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Jaroslavem</w:t>
      </w:r>
      <w:r>
        <w:rPr>
          <w:spacing w:val="-7"/>
        </w:rPr>
        <w:t> </w:t>
      </w:r>
      <w:r>
        <w:rPr/>
        <w:t>S</w:t>
      </w:r>
      <w:r>
        <w:rPr>
          <w:spacing w:val="-5"/>
        </w:rPr>
        <w:t> </w:t>
      </w:r>
      <w:r>
        <w:rPr/>
        <w:t>í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k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1190400329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1"/>
        </w:rPr>
        <w:t> </w:t>
      </w:r>
      <w:r>
        <w:rPr/>
        <w:t>5.</w:t>
      </w:r>
      <w:r>
        <w:rPr>
          <w:spacing w:val="8"/>
        </w:rPr>
        <w:t> </w:t>
      </w:r>
      <w:r>
        <w:rPr/>
        <w:t>1.</w:t>
      </w:r>
      <w:r>
        <w:rPr>
          <w:spacing w:val="8"/>
        </w:rPr>
        <w:t> </w:t>
      </w:r>
      <w:r>
        <w:rPr/>
        <w:t>2022,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7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8"/>
        </w:rPr>
        <w:t> </w:t>
      </w:r>
      <w:r>
        <w:rPr/>
        <w:t>14.</w:t>
      </w:r>
      <w:r>
        <w:rPr>
          <w:spacing w:val="8"/>
        </w:rPr>
        <w:t> </w:t>
      </w:r>
      <w:r>
        <w:rPr/>
        <w:t>12.</w:t>
      </w:r>
      <w:r>
        <w:rPr>
          <w:spacing w:val="8"/>
        </w:rPr>
        <w:t> </w:t>
      </w:r>
      <w:r>
        <w:rPr/>
        <w:t>2022</w:t>
      </w:r>
      <w:r>
        <w:rPr>
          <w:spacing w:val="8"/>
        </w:rPr>
        <w:t> </w:t>
      </w:r>
      <w:r>
        <w:rPr/>
        <w:t>(dále</w:t>
      </w:r>
      <w:r>
        <w:rPr>
          <w:spacing w:val="7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5" w:after="0"/>
        <w:ind w:left="529" w:right="109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 IV bodu 1 písm. p) odrážce druhé se termín ukončení realizace akce prodlužuje do konce </w:t>
      </w:r>
      <w:r>
        <w:rPr>
          <w:spacing w:val="-2"/>
          <w:sz w:val="20"/>
        </w:rPr>
        <w:t>12/2024.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51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3/2025.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99" w:after="0"/>
        <w:ind w:left="529" w:right="116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73" w:val="left" w:leader="none"/>
        </w:tabs>
        <w:spacing w:before="186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214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62" w:top="182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4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2024-01-17T08:03:05Z</dcterms:created>
  <dcterms:modified xsi:type="dcterms:W3CDTF">2024-01-17T08:03:05Z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