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FCD3" w14:textId="77777777" w:rsidR="0071018E" w:rsidRDefault="0071018E" w:rsidP="00736A2B">
      <w:pPr>
        <w:pStyle w:val="Zkladntext"/>
        <w:spacing w:line="276" w:lineRule="auto"/>
        <w:ind w:right="0"/>
        <w:rPr>
          <w:rFonts w:ascii="Arial" w:hAnsi="Arial" w:cs="Arial"/>
          <w:b/>
          <w:sz w:val="28"/>
          <w:szCs w:val="28"/>
        </w:rPr>
      </w:pPr>
    </w:p>
    <w:p w14:paraId="03899743" w14:textId="4F0F6C02" w:rsidR="0077026D" w:rsidRDefault="0077026D"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w:t>
      </w:r>
      <w:r w:rsidR="00192793" w:rsidRPr="00192793">
        <w:t xml:space="preserve"> </w:t>
      </w:r>
      <w:r w:rsidR="00192793" w:rsidRPr="00192793">
        <w:rPr>
          <w:rFonts w:ascii="Arial" w:hAnsi="Arial" w:cs="Arial"/>
          <w:b/>
          <w:sz w:val="28"/>
          <w:szCs w:val="28"/>
        </w:rPr>
        <w:t>vyrovnávací platby ve formě</w:t>
      </w:r>
      <w:r w:rsidRPr="001426D2">
        <w:rPr>
          <w:rFonts w:ascii="Arial" w:hAnsi="Arial" w:cs="Arial"/>
          <w:b/>
          <w:sz w:val="28"/>
          <w:szCs w:val="28"/>
        </w:rPr>
        <w:t xml:space="preserve"> dotace</w:t>
      </w:r>
    </w:p>
    <w:p w14:paraId="507C9DAF" w14:textId="3C275331" w:rsidR="0077026D" w:rsidRPr="001426D2" w:rsidRDefault="0077026D" w:rsidP="00E82920">
      <w:pPr>
        <w:tabs>
          <w:tab w:val="left" w:pos="8928"/>
        </w:tabs>
        <w:spacing w:beforeLines="50" w:before="120" w:after="120" w:line="276" w:lineRule="auto"/>
        <w:jc w:val="center"/>
        <w:rPr>
          <w:rFonts w:cs="Arial"/>
          <w:i/>
          <w:szCs w:val="20"/>
        </w:rPr>
      </w:pPr>
      <w:r w:rsidRPr="001426D2">
        <w:rPr>
          <w:rFonts w:cs="Arial"/>
          <w:b/>
        </w:rPr>
        <w:t>č. D/</w:t>
      </w:r>
      <w:r w:rsidR="00646EB9">
        <w:rPr>
          <w:rFonts w:cs="Arial"/>
          <w:b/>
        </w:rPr>
        <w:t>4811/2023/STR</w:t>
      </w:r>
    </w:p>
    <w:p w14:paraId="57BA333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1D4AB8DE" w14:textId="77777777" w:rsidR="00CB1B5B" w:rsidRDefault="00CB1B5B" w:rsidP="00E82920">
      <w:pPr>
        <w:pStyle w:val="Bezmezer"/>
        <w:spacing w:line="276" w:lineRule="auto"/>
        <w:jc w:val="center"/>
      </w:pPr>
      <w:r>
        <w:t>mezi:</w:t>
      </w:r>
    </w:p>
    <w:p w14:paraId="56A2DCDC"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5F130106" w14:textId="77777777" w:rsidTr="002321A0">
        <w:tc>
          <w:tcPr>
            <w:tcW w:w="2122" w:type="dxa"/>
          </w:tcPr>
          <w:p w14:paraId="4BF23ED6" w14:textId="33BD4E3B" w:rsidR="002321A0" w:rsidRDefault="002321A0" w:rsidP="00E82920">
            <w:pPr>
              <w:pStyle w:val="Bezmezer"/>
              <w:spacing w:line="276" w:lineRule="auto"/>
            </w:pPr>
            <w:r w:rsidRPr="00BC0BE0">
              <w:t>Poskytovatel dotace</w:t>
            </w:r>
            <w:r>
              <w:t>:</w:t>
            </w:r>
          </w:p>
        </w:tc>
        <w:tc>
          <w:tcPr>
            <w:tcW w:w="6940" w:type="dxa"/>
          </w:tcPr>
          <w:p w14:paraId="1962ED3C" w14:textId="77777777" w:rsidR="002321A0" w:rsidRDefault="002321A0" w:rsidP="002321A0">
            <w:pPr>
              <w:pStyle w:val="Bezmezer"/>
              <w:spacing w:line="276" w:lineRule="auto"/>
            </w:pPr>
            <w:r>
              <w:t>Zlínský kraj</w:t>
            </w:r>
          </w:p>
          <w:p w14:paraId="0333D464" w14:textId="56AAEE44" w:rsidR="002321A0" w:rsidRDefault="002321A0" w:rsidP="002321A0">
            <w:pPr>
              <w:pStyle w:val="Bezmezer"/>
              <w:spacing w:line="276" w:lineRule="auto"/>
            </w:pPr>
            <w:r w:rsidRPr="00BC0BE0">
              <w:t>se sídlem ve Zlíně, tř. T. Bati 21, PSČ 761 90</w:t>
            </w:r>
          </w:p>
          <w:p w14:paraId="7667BFA4" w14:textId="29F9E7DC" w:rsidR="002321A0" w:rsidRDefault="002321A0" w:rsidP="002321A0">
            <w:pPr>
              <w:pStyle w:val="Bezmezer"/>
              <w:spacing w:line="276" w:lineRule="auto"/>
            </w:pPr>
            <w:r w:rsidRPr="00BC0BE0">
              <w:t>zastupuje:</w:t>
            </w:r>
            <w:r>
              <w:t> </w:t>
            </w:r>
            <w:r w:rsidR="00736A2B">
              <w:t>Ing. Radim Holiš</w:t>
            </w:r>
            <w:r w:rsidRPr="00BC0BE0">
              <w:t>, hejtman</w:t>
            </w:r>
            <w:r>
              <w:t xml:space="preserve"> </w:t>
            </w:r>
          </w:p>
          <w:p w14:paraId="052FE315" w14:textId="4B68DD32" w:rsidR="002321A0" w:rsidRDefault="002321A0" w:rsidP="002321A0">
            <w:pPr>
              <w:pStyle w:val="Bezmezer"/>
              <w:spacing w:line="276" w:lineRule="auto"/>
            </w:pPr>
            <w:r>
              <w:t>IČO: 70891320</w:t>
            </w:r>
          </w:p>
          <w:p w14:paraId="1927416C" w14:textId="2347783E" w:rsidR="002321A0" w:rsidRDefault="002321A0" w:rsidP="002321A0">
            <w:pPr>
              <w:pStyle w:val="Bezmezer"/>
              <w:spacing w:line="276" w:lineRule="auto"/>
            </w:pPr>
            <w:r w:rsidRPr="00BC0BE0">
              <w:t>bankovní spojení:</w:t>
            </w:r>
            <w:r>
              <w:t> </w:t>
            </w:r>
            <w:r w:rsidR="00736A2B">
              <w:rPr>
                <w:rFonts w:cs="Arial"/>
                <w:szCs w:val="20"/>
              </w:rPr>
              <w:t>Česká spořitelna a.s., č. účtu 1827552/0800</w:t>
            </w:r>
          </w:p>
          <w:p w14:paraId="27616957" w14:textId="120586D5" w:rsidR="002321A0" w:rsidRDefault="002321A0" w:rsidP="002321A0">
            <w:pPr>
              <w:pStyle w:val="Bezmezer"/>
              <w:spacing w:line="276" w:lineRule="auto"/>
            </w:pPr>
            <w:r w:rsidRPr="00BC0BE0">
              <w:t>(dále</w:t>
            </w:r>
            <w:r>
              <w:t xml:space="preserve"> i</w:t>
            </w:r>
            <w:r w:rsidRPr="00BC0BE0">
              <w:t xml:space="preserve"> jen „</w:t>
            </w:r>
            <w:r w:rsidRPr="002563AC">
              <w:rPr>
                <w:b/>
              </w:rPr>
              <w:t>poskytovatel</w:t>
            </w:r>
            <w:r w:rsidRPr="00BC0BE0">
              <w:t>“)</w:t>
            </w:r>
          </w:p>
        </w:tc>
      </w:tr>
    </w:tbl>
    <w:p w14:paraId="2727947E" w14:textId="77777777" w:rsidR="00CB1B5B" w:rsidRDefault="0077026D" w:rsidP="00E82920">
      <w:pPr>
        <w:pStyle w:val="Bezmezer"/>
        <w:spacing w:line="276" w:lineRule="auto"/>
      </w:pPr>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116E2AE0" w14:textId="77777777" w:rsidTr="00347047">
        <w:tc>
          <w:tcPr>
            <w:tcW w:w="2122" w:type="dxa"/>
          </w:tcPr>
          <w:p w14:paraId="1D18D164" w14:textId="19B88555" w:rsidR="002321A0" w:rsidRDefault="002321A0" w:rsidP="00347047">
            <w:pPr>
              <w:pStyle w:val="Bezmezer"/>
              <w:spacing w:line="276" w:lineRule="auto"/>
            </w:pPr>
            <w:r w:rsidRPr="00BC0BE0">
              <w:t>Příjemce dotace</w:t>
            </w:r>
            <w:r>
              <w:t>:</w:t>
            </w:r>
          </w:p>
        </w:tc>
        <w:tc>
          <w:tcPr>
            <w:tcW w:w="6940" w:type="dxa"/>
          </w:tcPr>
          <w:p w14:paraId="381E894A" w14:textId="77777777" w:rsidR="00736A2B" w:rsidRPr="000D68AE" w:rsidRDefault="00736A2B" w:rsidP="00736A2B">
            <w:pPr>
              <w:pStyle w:val="Bezmezer"/>
              <w:spacing w:line="276" w:lineRule="auto"/>
              <w:rPr>
                <w:i/>
                <w:color w:val="5B9BD5" w:themeColor="accent1"/>
                <w:sz w:val="16"/>
                <w:szCs w:val="16"/>
              </w:rPr>
            </w:pPr>
            <w:r w:rsidRPr="00737B7E">
              <w:rPr>
                <w:rFonts w:cs="Arial"/>
                <w:b/>
              </w:rPr>
              <w:t>Energetická agentura Zlínského kraje, o.p.s.</w:t>
            </w:r>
            <w:r w:rsidRPr="00BC0BE0">
              <w:t xml:space="preserve"> </w:t>
            </w:r>
          </w:p>
          <w:p w14:paraId="06859F9F" w14:textId="77777777" w:rsidR="00736A2B" w:rsidRPr="00BC0BE0" w:rsidRDefault="00736A2B" w:rsidP="00736A2B">
            <w:pPr>
              <w:pStyle w:val="Bezmezer"/>
              <w:spacing w:line="276" w:lineRule="auto"/>
            </w:pPr>
            <w:r w:rsidRPr="00BC0BE0">
              <w:t>sídlo:</w:t>
            </w:r>
            <w:r>
              <w:t> </w:t>
            </w:r>
            <w:r>
              <w:rPr>
                <w:rFonts w:cs="Arial"/>
                <w:szCs w:val="20"/>
              </w:rPr>
              <w:t xml:space="preserve">Zlín, </w:t>
            </w:r>
            <w:r w:rsidRPr="005E0C11">
              <w:rPr>
                <w:rFonts w:cs="Arial"/>
                <w:szCs w:val="20"/>
              </w:rPr>
              <w:t>tř.T.Bati 21, PSČ 761 90</w:t>
            </w:r>
            <w:r w:rsidRPr="00BC0BE0">
              <w:t xml:space="preserve"> </w:t>
            </w:r>
          </w:p>
          <w:p w14:paraId="4F495208" w14:textId="77777777" w:rsidR="00736A2B" w:rsidRPr="0077026D" w:rsidRDefault="00736A2B" w:rsidP="00736A2B">
            <w:pPr>
              <w:pStyle w:val="Bezmezer"/>
              <w:spacing w:line="276" w:lineRule="auto"/>
              <w:rPr>
                <w:i/>
                <w:color w:val="5B9BD5" w:themeColor="accent1"/>
                <w:sz w:val="16"/>
                <w:szCs w:val="16"/>
              </w:rPr>
            </w:pPr>
            <w:r w:rsidRPr="00BC0BE0">
              <w:t>typ příjemce:</w:t>
            </w:r>
            <w:r>
              <w:t> </w:t>
            </w:r>
            <w:r w:rsidRPr="005E0C11">
              <w:rPr>
                <w:rFonts w:cs="Arial"/>
                <w:szCs w:val="20"/>
              </w:rPr>
              <w:t>obecně prospěšná společnost</w:t>
            </w:r>
            <w:r w:rsidRPr="00BC0BE0">
              <w:t xml:space="preserve"> </w:t>
            </w:r>
          </w:p>
          <w:p w14:paraId="4ADCCA62" w14:textId="77777777" w:rsidR="00736A2B" w:rsidRPr="0077026D" w:rsidRDefault="00736A2B" w:rsidP="00736A2B">
            <w:pPr>
              <w:pStyle w:val="Bezmezer"/>
              <w:spacing w:line="276" w:lineRule="auto"/>
              <w:rPr>
                <w:i/>
                <w:color w:val="5B9BD5" w:themeColor="accent1"/>
                <w:sz w:val="16"/>
                <w:szCs w:val="16"/>
              </w:rPr>
            </w:pPr>
            <w:r w:rsidRPr="00BC0BE0">
              <w:t>IČO:</w:t>
            </w:r>
            <w:r>
              <w:t> </w:t>
            </w:r>
            <w:r w:rsidRPr="005E0C11">
              <w:rPr>
                <w:rFonts w:cs="Arial"/>
                <w:szCs w:val="20"/>
              </w:rPr>
              <w:t>27688313</w:t>
            </w:r>
            <w:r w:rsidRPr="00BC0BE0">
              <w:t xml:space="preserve"> </w:t>
            </w:r>
          </w:p>
          <w:p w14:paraId="134CE466" w14:textId="77777777" w:rsidR="00736A2B" w:rsidRPr="00BC0BE0" w:rsidRDefault="00736A2B" w:rsidP="00736A2B">
            <w:pPr>
              <w:pStyle w:val="Bezmezer"/>
              <w:spacing w:line="276" w:lineRule="auto"/>
            </w:pPr>
            <w:r>
              <w:t>bankovní spojení: </w:t>
            </w:r>
            <w:r w:rsidRPr="005E0C11">
              <w:rPr>
                <w:rFonts w:cs="Arial"/>
                <w:szCs w:val="20"/>
              </w:rPr>
              <w:t>Komerční banka, a.s., č.ú. 35-6801600257/0100</w:t>
            </w:r>
          </w:p>
          <w:p w14:paraId="07E2EBE2" w14:textId="77777777" w:rsidR="00736A2B" w:rsidRDefault="00736A2B" w:rsidP="00736A2B">
            <w:pPr>
              <w:pStyle w:val="Bezmezer"/>
              <w:spacing w:line="276" w:lineRule="auto"/>
              <w:rPr>
                <w:i/>
                <w:color w:val="5B9BD5" w:themeColor="accent1"/>
                <w:sz w:val="16"/>
                <w:szCs w:val="16"/>
              </w:rPr>
            </w:pPr>
            <w:r w:rsidRPr="005E0C11">
              <w:rPr>
                <w:rFonts w:cs="Arial"/>
              </w:rPr>
              <w:t>zapsána v rejstříku obecně prospěšných společností u Krajského soudu v Brně, oddíl O, vložka 300</w:t>
            </w:r>
          </w:p>
          <w:p w14:paraId="58BE3D12" w14:textId="77777777" w:rsidR="00736A2B" w:rsidRDefault="00736A2B" w:rsidP="00736A2B">
            <w:pPr>
              <w:pStyle w:val="Bezmezer"/>
              <w:spacing w:line="276" w:lineRule="auto"/>
            </w:pPr>
            <w:r>
              <w:t>zastoupen: </w:t>
            </w:r>
            <w:r w:rsidRPr="005E0C11">
              <w:rPr>
                <w:rFonts w:cs="Arial"/>
                <w:szCs w:val="20"/>
              </w:rPr>
              <w:t>Ing. Miroslava Knotková, ředitelka</w:t>
            </w:r>
            <w:r w:rsidRPr="00BC0BE0">
              <w:t xml:space="preserve"> </w:t>
            </w:r>
          </w:p>
          <w:p w14:paraId="27F8DE20" w14:textId="29590FC2" w:rsidR="002321A0" w:rsidRDefault="002321A0" w:rsidP="00736A2B">
            <w:pPr>
              <w:pStyle w:val="Bezmezer"/>
              <w:spacing w:line="276" w:lineRule="auto"/>
            </w:pPr>
            <w:r w:rsidRPr="00BC0BE0">
              <w:t>(dále</w:t>
            </w:r>
            <w:r w:rsidR="00A33037">
              <w:t xml:space="preserve"> i</w:t>
            </w:r>
            <w:r w:rsidRPr="00BC0BE0">
              <w:t xml:space="preserve"> jen „</w:t>
            </w:r>
            <w:r w:rsidRPr="002563AC">
              <w:rPr>
                <w:b/>
              </w:rPr>
              <w:t>příjemce</w:t>
            </w:r>
            <w:r w:rsidRPr="00BC0BE0">
              <w:t>“)</w:t>
            </w:r>
          </w:p>
        </w:tc>
      </w:tr>
    </w:tbl>
    <w:p w14:paraId="702FD38B" w14:textId="3E8971EA" w:rsidR="00192793" w:rsidRDefault="00192793" w:rsidP="00192793">
      <w:pPr>
        <w:pStyle w:val="Nadpis1"/>
        <w:numPr>
          <w:ilvl w:val="0"/>
          <w:numId w:val="0"/>
        </w:numPr>
        <w:ind w:left="431"/>
      </w:pPr>
      <w:r>
        <w:t>Preambule</w:t>
      </w:r>
    </w:p>
    <w:p w14:paraId="39E3EB7C" w14:textId="783BED8E" w:rsidR="00192793" w:rsidRPr="00192793" w:rsidRDefault="00192793" w:rsidP="00192793">
      <w:pPr>
        <w:pStyle w:val="Textpodrovnlnk"/>
      </w:pPr>
      <w:r w:rsidRPr="00192793">
        <w:t>Na základě Pověření k poskytování služeb obecné</w:t>
      </w:r>
      <w:r>
        <w:t xml:space="preserve">ho hospodářského zájmu ze dne </w:t>
      </w:r>
      <w:r w:rsidR="00736A2B">
        <w:t>23.11.2021</w:t>
      </w:r>
      <w:r w:rsidRPr="00192793">
        <w:t xml:space="preserve"> (dále </w:t>
      </w:r>
      <w:r>
        <w:t xml:space="preserve">i </w:t>
      </w:r>
      <w:r w:rsidRPr="00192793">
        <w:t>jen „</w:t>
      </w:r>
      <w:r w:rsidRPr="00192793">
        <w:rPr>
          <w:b/>
        </w:rPr>
        <w:t>pověření</w:t>
      </w:r>
      <w:r w:rsidRPr="00192793">
        <w:t>“) byl příjemce pověřen poskytovatelem poskytováním služeb obecného hospodářského zájmu (dále jen „</w:t>
      </w:r>
      <w:r w:rsidRPr="00192793">
        <w:rPr>
          <w:b/>
        </w:rPr>
        <w:t>SOHZ</w:t>
      </w:r>
      <w:r w:rsidRPr="00192793">
        <w:t>“). Za zajištění poskytování SOHZ je nyní příjemci poskytnuta vyrovnávací platba ve formě dotace. Jelikož jsou tímto splněny podmínky Rozhodnutí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 které bylo publikováno v Úředním věstníku EU dne 11. 1. 2012, lze tuto vyrovnávací platbu ve formě dotace, považovat za veřejnou podporou slučitelnou s vnitřním trhem, která nepodléhá ohlašovací povinnosti ve smyslu čl. 108 odst. 3 Smlouvy o fungování Evropské unie</w:t>
      </w:r>
    </w:p>
    <w:p w14:paraId="3CA0C8B2" w14:textId="13D8688E" w:rsidR="0077026D" w:rsidRPr="00C7203C" w:rsidRDefault="0077026D" w:rsidP="00C7203C">
      <w:pPr>
        <w:pStyle w:val="Nadpis1"/>
      </w:pPr>
      <w:r w:rsidRPr="00C7203C">
        <w:t>Předmět smlouvy</w:t>
      </w:r>
    </w:p>
    <w:p w14:paraId="7F4039BD" w14:textId="1DFC68AD" w:rsidR="0077026D" w:rsidRPr="00735C58" w:rsidRDefault="0077026D" w:rsidP="00C7203C">
      <w:pPr>
        <w:pStyle w:val="2rove"/>
        <w:rPr>
          <w:rStyle w:val="Kvbruaodstrann"/>
        </w:rPr>
      </w:pPr>
      <w:r w:rsidRPr="0013520D">
        <w:t xml:space="preserve">Poskytovatel se zavazuje poskytnout příjemci </w:t>
      </w:r>
      <w:r w:rsidR="00192793">
        <w:t xml:space="preserve">vyrovnávací platbu ve formě </w:t>
      </w:r>
      <w:r w:rsidR="00736A2B">
        <w:t>n</w:t>
      </w:r>
      <w:r w:rsidRPr="003D6A1A">
        <w:rPr>
          <w:b/>
        </w:rPr>
        <w:t>einvestiční</w:t>
      </w:r>
      <w:r w:rsidR="0017738B" w:rsidRPr="0013520D">
        <w:t xml:space="preserve"> </w:t>
      </w:r>
      <w:r w:rsidRPr="003D6A1A">
        <w:rPr>
          <w:b/>
        </w:rPr>
        <w:t>dotac</w:t>
      </w:r>
      <w:r w:rsidR="00192793">
        <w:rPr>
          <w:b/>
        </w:rPr>
        <w:t>e</w:t>
      </w:r>
      <w:r w:rsidRPr="0013520D">
        <w:t xml:space="preserve"> z</w:t>
      </w:r>
      <w:r w:rsidR="00192793">
        <w:t xml:space="preserve"> rozpočtu </w:t>
      </w:r>
      <w:r w:rsidRPr="0013520D">
        <w:t>Zlínského kraje (dále jen „</w:t>
      </w:r>
      <w:r w:rsidRPr="002563AC">
        <w:rPr>
          <w:b/>
        </w:rPr>
        <w:t>dotace</w:t>
      </w:r>
      <w:r w:rsidRPr="0013520D">
        <w:t>“) do výše</w:t>
      </w:r>
      <w:r w:rsidR="00736A2B">
        <w:t xml:space="preserve"> 8.405.000,-</w:t>
      </w:r>
      <w:r w:rsidRPr="0013520D">
        <w:t xml:space="preserve"> Kč, (slovy:</w:t>
      </w:r>
      <w:r w:rsidR="002321A0">
        <w:t> </w:t>
      </w:r>
      <w:r w:rsidR="00736A2B">
        <w:t>osmmilionučtyřistapěttisíckorunčeských</w:t>
      </w:r>
      <w:r w:rsidRPr="0013520D">
        <w:t xml:space="preserve">) na </w:t>
      </w:r>
      <w:r w:rsidR="00735C58" w:rsidRPr="00C0563D">
        <w:t>financování poskytování SOHZ vymezených</w:t>
      </w:r>
      <w:r w:rsidR="00735C58">
        <w:t xml:space="preserve"> </w:t>
      </w:r>
      <w:r w:rsidR="00735C58" w:rsidRPr="00C0563D">
        <w:t>v příloze č. 1 této smlouvy</w:t>
      </w:r>
      <w:r w:rsidR="00735C58">
        <w:t xml:space="preserve"> v roce </w:t>
      </w:r>
      <w:r w:rsidR="00736A2B">
        <w:t>2024</w:t>
      </w:r>
    </w:p>
    <w:p w14:paraId="614E5E83" w14:textId="7242DB90" w:rsidR="00E14143" w:rsidRPr="00C7203C" w:rsidRDefault="00735C58" w:rsidP="00C7203C">
      <w:pPr>
        <w:pStyle w:val="Nadpis1"/>
      </w:pPr>
      <w:r>
        <w:t>Doba, v níž je poskytování SOHZ financováno</w:t>
      </w:r>
    </w:p>
    <w:p w14:paraId="1E460C7B" w14:textId="05D42231" w:rsidR="00735C58" w:rsidRDefault="00735C58" w:rsidP="00735C58">
      <w:pPr>
        <w:pStyle w:val="2rove"/>
      </w:pPr>
      <w:r>
        <w:t xml:space="preserve">Dotaci je možné použít na úhradu nákladů vzniklých v období od </w:t>
      </w:r>
      <w:r w:rsidR="00736A2B">
        <w:t xml:space="preserve">1.1.2024 </w:t>
      </w:r>
      <w:r>
        <w:t xml:space="preserve">do </w:t>
      </w:r>
      <w:r w:rsidR="00736A2B">
        <w:t>31.12.2024</w:t>
      </w:r>
      <w:r>
        <w:t xml:space="preserve">, </w:t>
      </w:r>
      <w:r w:rsidRPr="00C0563D">
        <w:t xml:space="preserve">vztahujících se ke stanovenému účelu poskytnutí dle </w:t>
      </w:r>
      <w:r w:rsidR="00727B14">
        <w:t>čl</w:t>
      </w:r>
      <w:r w:rsidRPr="00C0563D">
        <w:t xml:space="preserve">. 1.1, které budou uhrazeny nejpozději do </w:t>
      </w:r>
      <w:r w:rsidR="00736A2B">
        <w:t>31.1.2025</w:t>
      </w:r>
    </w:p>
    <w:p w14:paraId="5FF18E6E" w14:textId="77777777" w:rsidR="008E7B6E" w:rsidRDefault="008E7B6E" w:rsidP="00C7203C">
      <w:pPr>
        <w:pStyle w:val="Nadpis1"/>
      </w:pPr>
      <w:r w:rsidRPr="00C7203C">
        <w:lastRenderedPageBreak/>
        <w:t>Monitorovací</w:t>
      </w:r>
      <w:r w:rsidRPr="0013520D">
        <w:t xml:space="preserve"> indikátory</w:t>
      </w:r>
    </w:p>
    <w:p w14:paraId="1FED9085" w14:textId="0854083C" w:rsidR="00736A2B" w:rsidRDefault="004F6476" w:rsidP="00E17A49">
      <w:pPr>
        <w:pStyle w:val="2rove"/>
        <w:numPr>
          <w:ilvl w:val="0"/>
          <w:numId w:val="0"/>
        </w:numPr>
        <w:ind w:left="431"/>
        <w:jc w:val="left"/>
      </w:pPr>
      <w:r>
        <w:t xml:space="preserve">3.1. </w:t>
      </w:r>
      <w:r w:rsidR="008E7B6E" w:rsidRPr="0013520D">
        <w:t xml:space="preserve">Během </w:t>
      </w:r>
      <w:r w:rsidR="00735C58">
        <w:t xml:space="preserve">poskytování SOHZ </w:t>
      </w:r>
      <w:r w:rsidR="008E7B6E" w:rsidRPr="0013520D">
        <w:t>se příjemce zavazuje</w:t>
      </w:r>
      <w:r w:rsidR="00736A2B">
        <w:t>:</w:t>
      </w:r>
      <w:r w:rsidR="008E7B6E" w:rsidRPr="0013520D">
        <w:t xml:space="preserve"> </w:t>
      </w:r>
      <w:r w:rsidR="00D65F4F">
        <w:t>naplnit</w:t>
      </w:r>
      <w:r w:rsidR="008E7B6E" w:rsidRPr="0013520D">
        <w:t xml:space="preserve"> </w:t>
      </w:r>
      <w:r w:rsidR="008E7B6E" w:rsidRPr="00736A2B">
        <w:rPr>
          <w:b/>
        </w:rPr>
        <w:t>monitorovací indikátory</w:t>
      </w:r>
      <w:r w:rsidR="008E7B6E" w:rsidRPr="0013520D">
        <w:t xml:space="preserve">, jejichž minimální závazné hodnoty jsou uvedeny </w:t>
      </w:r>
      <w:r w:rsidRPr="004F6476">
        <w:t>v následující tabulce</w:t>
      </w:r>
      <w:r w:rsidR="008E7B6E" w:rsidRPr="0013520D">
        <w:t xml:space="preserve">, a to nejpozději k datu ukončení </w:t>
      </w:r>
      <w:r w:rsidR="00735C58">
        <w:t xml:space="preserve">poskytování SOHZ. </w:t>
      </w:r>
    </w:p>
    <w:p w14:paraId="6AF75CEB" w14:textId="77777777" w:rsidR="004F6476" w:rsidRDefault="004F6476" w:rsidP="00E17A49">
      <w:pPr>
        <w:pStyle w:val="2rove"/>
        <w:numPr>
          <w:ilvl w:val="0"/>
          <w:numId w:val="0"/>
        </w:numPr>
        <w:ind w:left="431"/>
        <w:jc w:val="left"/>
      </w:pPr>
    </w:p>
    <w:tbl>
      <w:tblPr>
        <w:tblW w:w="461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640"/>
        <w:gridCol w:w="5454"/>
        <w:gridCol w:w="850"/>
        <w:gridCol w:w="1418"/>
      </w:tblGrid>
      <w:tr w:rsidR="004F6476" w:rsidRPr="0085591B" w14:paraId="586E64D1" w14:textId="77777777" w:rsidTr="004F6476">
        <w:trPr>
          <w:trHeight w:val="672"/>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61CEDFD9" w14:textId="77777777" w:rsidR="004F6476" w:rsidRPr="0085591B" w:rsidRDefault="004F6476" w:rsidP="000B66BA">
            <w:pPr>
              <w:widowControl w:val="0"/>
              <w:tabs>
                <w:tab w:val="left" w:pos="360"/>
                <w:tab w:val="left" w:pos="8928"/>
              </w:tabs>
              <w:jc w:val="center"/>
              <w:rPr>
                <w:rFonts w:cs="Arial"/>
                <w:b/>
                <w:snapToGrid w:val="0"/>
                <w:sz w:val="16"/>
                <w:szCs w:val="16"/>
              </w:rPr>
            </w:pPr>
            <w:r w:rsidRPr="0085591B">
              <w:rPr>
                <w:rFonts w:cs="Arial"/>
                <w:b/>
                <w:snapToGrid w:val="0"/>
                <w:sz w:val="16"/>
                <w:szCs w:val="16"/>
              </w:rPr>
              <w:t>MONITOROVACÍ INDIKÁTORY - VÝSTUPY AKTIVITY</w:t>
            </w:r>
          </w:p>
        </w:tc>
      </w:tr>
      <w:tr w:rsidR="004F6476" w:rsidRPr="0085591B" w14:paraId="3AF5AB4F" w14:textId="77777777" w:rsidTr="004F6476">
        <w:trPr>
          <w:trHeight w:val="412"/>
        </w:trPr>
        <w:tc>
          <w:tcPr>
            <w:tcW w:w="383"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1E1E8FBA" w14:textId="77777777" w:rsidR="004F6476" w:rsidRPr="0085591B" w:rsidRDefault="004F6476" w:rsidP="000B66BA">
            <w:pPr>
              <w:widowControl w:val="0"/>
              <w:tabs>
                <w:tab w:val="left" w:pos="360"/>
                <w:tab w:val="left" w:pos="8928"/>
              </w:tabs>
              <w:jc w:val="center"/>
              <w:rPr>
                <w:rFonts w:cs="Arial"/>
                <w:snapToGrid w:val="0"/>
                <w:sz w:val="16"/>
                <w:szCs w:val="16"/>
              </w:rPr>
            </w:pPr>
            <w:r w:rsidRPr="0085591B">
              <w:rPr>
                <w:rFonts w:cs="Arial"/>
                <w:snapToGrid w:val="0"/>
                <w:sz w:val="16"/>
                <w:szCs w:val="16"/>
              </w:rPr>
              <w:t>poř. číslo</w:t>
            </w:r>
          </w:p>
        </w:tc>
        <w:tc>
          <w:tcPr>
            <w:tcW w:w="3261"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157C9855" w14:textId="77777777" w:rsidR="004F6476" w:rsidRPr="0085591B" w:rsidRDefault="004F6476" w:rsidP="000B66BA">
            <w:pPr>
              <w:widowControl w:val="0"/>
              <w:tabs>
                <w:tab w:val="left" w:pos="360"/>
                <w:tab w:val="left" w:pos="8928"/>
              </w:tabs>
              <w:jc w:val="center"/>
              <w:rPr>
                <w:rFonts w:cs="Arial"/>
                <w:snapToGrid w:val="0"/>
                <w:sz w:val="16"/>
                <w:szCs w:val="16"/>
              </w:rPr>
            </w:pPr>
            <w:r w:rsidRPr="0085591B">
              <w:rPr>
                <w:rFonts w:cs="Arial"/>
                <w:snapToGrid w:val="0"/>
                <w:sz w:val="16"/>
                <w:szCs w:val="16"/>
              </w:rPr>
              <w:t>Výstup</w:t>
            </w:r>
          </w:p>
        </w:tc>
        <w:tc>
          <w:tcPr>
            <w:tcW w:w="508"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67ECAC79" w14:textId="77777777" w:rsidR="004F6476" w:rsidRPr="0085591B" w:rsidRDefault="004F6476" w:rsidP="000B66BA">
            <w:pPr>
              <w:widowControl w:val="0"/>
              <w:tabs>
                <w:tab w:val="left" w:pos="360"/>
                <w:tab w:val="left" w:pos="8928"/>
              </w:tabs>
              <w:jc w:val="center"/>
              <w:rPr>
                <w:rFonts w:cs="Arial"/>
                <w:snapToGrid w:val="0"/>
                <w:sz w:val="16"/>
                <w:szCs w:val="16"/>
              </w:rPr>
            </w:pPr>
            <w:r w:rsidRPr="0085591B">
              <w:rPr>
                <w:rFonts w:cs="Arial"/>
                <w:snapToGrid w:val="0"/>
                <w:sz w:val="16"/>
                <w:szCs w:val="16"/>
              </w:rPr>
              <w:t>Měrná jednotka</w:t>
            </w:r>
          </w:p>
        </w:tc>
        <w:tc>
          <w:tcPr>
            <w:tcW w:w="848"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7DA1959D" w14:textId="77777777" w:rsidR="004F6476" w:rsidRPr="0085591B" w:rsidRDefault="004F6476" w:rsidP="000B66BA">
            <w:pPr>
              <w:widowControl w:val="0"/>
              <w:tabs>
                <w:tab w:val="left" w:pos="360"/>
                <w:tab w:val="left" w:pos="8928"/>
              </w:tabs>
              <w:jc w:val="center"/>
              <w:rPr>
                <w:rFonts w:cs="Arial"/>
                <w:snapToGrid w:val="0"/>
                <w:sz w:val="16"/>
                <w:szCs w:val="16"/>
              </w:rPr>
            </w:pPr>
            <w:r w:rsidRPr="0085591B">
              <w:rPr>
                <w:rFonts w:cs="Arial"/>
                <w:snapToGrid w:val="0"/>
                <w:sz w:val="16"/>
                <w:szCs w:val="16"/>
              </w:rPr>
              <w:t>Minimální závazná hodnota</w:t>
            </w:r>
          </w:p>
        </w:tc>
      </w:tr>
      <w:tr w:rsidR="004F6476" w:rsidRPr="0085591B" w14:paraId="25B90C93" w14:textId="77777777" w:rsidTr="004F6476">
        <w:trPr>
          <w:trHeight w:val="246"/>
        </w:trPr>
        <w:tc>
          <w:tcPr>
            <w:tcW w:w="383" w:type="pct"/>
            <w:tcBorders>
              <w:top w:val="single" w:sz="4" w:space="0" w:color="808080"/>
              <w:left w:val="single" w:sz="4" w:space="0" w:color="808080"/>
              <w:bottom w:val="dotted" w:sz="4" w:space="0" w:color="auto"/>
              <w:right w:val="dotted" w:sz="4" w:space="0" w:color="auto"/>
            </w:tcBorders>
            <w:shd w:val="clear" w:color="auto" w:fill="FFFFFF" w:themeFill="background1"/>
            <w:vAlign w:val="center"/>
          </w:tcPr>
          <w:p w14:paraId="7DB9D887"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sidRPr="0085591B">
              <w:rPr>
                <w:rFonts w:cs="Arial"/>
                <w:snapToGrid w:val="0"/>
                <w:sz w:val="18"/>
                <w:szCs w:val="18"/>
              </w:rPr>
              <w:t>1</w:t>
            </w:r>
          </w:p>
        </w:tc>
        <w:tc>
          <w:tcPr>
            <w:tcW w:w="3261" w:type="pct"/>
            <w:tcBorders>
              <w:top w:val="single" w:sz="4" w:space="0" w:color="808080"/>
              <w:left w:val="dotted" w:sz="4" w:space="0" w:color="auto"/>
              <w:bottom w:val="dotted" w:sz="4" w:space="0" w:color="auto"/>
              <w:right w:val="dotted" w:sz="4" w:space="0" w:color="auto"/>
            </w:tcBorders>
            <w:shd w:val="clear" w:color="auto" w:fill="FFFFFF" w:themeFill="background1"/>
            <w:vAlign w:val="center"/>
          </w:tcPr>
          <w:p w14:paraId="5DB4A349" w14:textId="77777777" w:rsidR="004F6476" w:rsidRPr="0085591B" w:rsidRDefault="004F6476" w:rsidP="000B66BA">
            <w:pPr>
              <w:widowControl w:val="0"/>
              <w:tabs>
                <w:tab w:val="left" w:pos="360"/>
                <w:tab w:val="left" w:pos="8928"/>
              </w:tabs>
              <w:spacing w:after="120"/>
              <w:rPr>
                <w:rFonts w:cs="Arial"/>
                <w:snapToGrid w:val="0"/>
                <w:sz w:val="18"/>
                <w:szCs w:val="18"/>
              </w:rPr>
            </w:pPr>
            <w:r w:rsidRPr="00915D68">
              <w:rPr>
                <w:rFonts w:cs="Arial"/>
                <w:snapToGrid w:val="0"/>
              </w:rPr>
              <w:t>workshop zaměřený na napomáhání rozvoje území Zlínského kraje, podpoře zvyšování účinnosti a soběstačnosti ve využívání energie a rozvoje zaměstnanosti</w:t>
            </w:r>
          </w:p>
        </w:tc>
        <w:tc>
          <w:tcPr>
            <w:tcW w:w="508" w:type="pct"/>
            <w:tcBorders>
              <w:top w:val="single" w:sz="4" w:space="0" w:color="808080"/>
              <w:left w:val="dotted" w:sz="4" w:space="0" w:color="auto"/>
              <w:bottom w:val="dotted" w:sz="4" w:space="0" w:color="auto"/>
              <w:right w:val="dotted" w:sz="4" w:space="0" w:color="auto"/>
            </w:tcBorders>
            <w:shd w:val="clear" w:color="auto" w:fill="FFFFFF" w:themeFill="background1"/>
            <w:vAlign w:val="center"/>
          </w:tcPr>
          <w:p w14:paraId="75E90540"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akce</w:t>
            </w:r>
          </w:p>
        </w:tc>
        <w:tc>
          <w:tcPr>
            <w:tcW w:w="848" w:type="pct"/>
            <w:tcBorders>
              <w:top w:val="single" w:sz="4" w:space="0" w:color="808080"/>
              <w:left w:val="dotted" w:sz="4" w:space="0" w:color="auto"/>
              <w:bottom w:val="dotted" w:sz="4" w:space="0" w:color="auto"/>
              <w:right w:val="single" w:sz="4" w:space="0" w:color="808080"/>
            </w:tcBorders>
            <w:shd w:val="clear" w:color="auto" w:fill="FFFFFF" w:themeFill="background1"/>
            <w:vAlign w:val="center"/>
          </w:tcPr>
          <w:p w14:paraId="077B715F"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3</w:t>
            </w:r>
          </w:p>
        </w:tc>
      </w:tr>
      <w:tr w:rsidR="004F6476" w:rsidRPr="0085591B" w14:paraId="277453C5" w14:textId="77777777" w:rsidTr="004F6476">
        <w:trPr>
          <w:trHeight w:val="276"/>
        </w:trPr>
        <w:tc>
          <w:tcPr>
            <w:tcW w:w="383" w:type="pct"/>
            <w:tcBorders>
              <w:top w:val="dotted" w:sz="4" w:space="0" w:color="auto"/>
              <w:left w:val="single" w:sz="4" w:space="0" w:color="808080"/>
              <w:bottom w:val="dotted" w:sz="4" w:space="0" w:color="auto"/>
              <w:right w:val="dotted" w:sz="4" w:space="0" w:color="auto"/>
            </w:tcBorders>
            <w:shd w:val="clear" w:color="auto" w:fill="FFFFFF" w:themeFill="background1"/>
            <w:vAlign w:val="center"/>
          </w:tcPr>
          <w:p w14:paraId="47242CAF"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sidRPr="0085591B">
              <w:rPr>
                <w:rFonts w:cs="Arial"/>
                <w:snapToGrid w:val="0"/>
                <w:sz w:val="18"/>
                <w:szCs w:val="18"/>
              </w:rPr>
              <w:t>2</w:t>
            </w:r>
          </w:p>
        </w:tc>
        <w:tc>
          <w:tcPr>
            <w:tcW w:w="3261"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1D301C7" w14:textId="77777777" w:rsidR="004F6476" w:rsidRPr="0085591B" w:rsidRDefault="004F6476" w:rsidP="000B66BA">
            <w:pPr>
              <w:widowControl w:val="0"/>
              <w:tabs>
                <w:tab w:val="left" w:pos="360"/>
                <w:tab w:val="left" w:pos="8928"/>
              </w:tabs>
              <w:spacing w:after="120"/>
              <w:rPr>
                <w:rFonts w:cs="Arial"/>
                <w:snapToGrid w:val="0"/>
                <w:sz w:val="18"/>
                <w:szCs w:val="18"/>
              </w:rPr>
            </w:pPr>
            <w:r w:rsidRPr="005E0C11">
              <w:rPr>
                <w:rFonts w:cs="Arial"/>
                <w:snapToGrid w:val="0"/>
              </w:rPr>
              <w:t xml:space="preserve">vedení energetického managementu </w:t>
            </w:r>
            <w:r>
              <w:rPr>
                <w:rFonts w:cs="Arial"/>
                <w:snapToGrid w:val="0"/>
              </w:rPr>
              <w:t>u organizací Zlínského kraje</w:t>
            </w:r>
          </w:p>
        </w:tc>
        <w:tc>
          <w:tcPr>
            <w:tcW w:w="508"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6F7FEB8"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sidRPr="0085591B">
              <w:rPr>
                <w:rFonts w:cs="Arial"/>
                <w:snapToGrid w:val="0"/>
                <w:sz w:val="18"/>
                <w:szCs w:val="18"/>
              </w:rPr>
              <w:t>ks</w:t>
            </w:r>
          </w:p>
        </w:tc>
        <w:tc>
          <w:tcPr>
            <w:tcW w:w="848" w:type="pct"/>
            <w:tcBorders>
              <w:top w:val="dotted" w:sz="4" w:space="0" w:color="auto"/>
              <w:left w:val="dotted" w:sz="4" w:space="0" w:color="auto"/>
              <w:bottom w:val="dotted" w:sz="4" w:space="0" w:color="auto"/>
              <w:right w:val="single" w:sz="4" w:space="0" w:color="808080"/>
            </w:tcBorders>
            <w:shd w:val="clear" w:color="auto" w:fill="FFFFFF" w:themeFill="background1"/>
            <w:vAlign w:val="center"/>
          </w:tcPr>
          <w:p w14:paraId="12F3A101"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sidRPr="0085591B">
              <w:rPr>
                <w:rFonts w:cs="Arial"/>
                <w:snapToGrid w:val="0"/>
                <w:sz w:val="18"/>
                <w:szCs w:val="18"/>
              </w:rPr>
              <w:t>1</w:t>
            </w:r>
          </w:p>
        </w:tc>
      </w:tr>
      <w:tr w:rsidR="004F6476" w:rsidRPr="0085591B" w14:paraId="589786E2" w14:textId="77777777" w:rsidTr="004F6476">
        <w:trPr>
          <w:trHeight w:val="276"/>
        </w:trPr>
        <w:tc>
          <w:tcPr>
            <w:tcW w:w="383" w:type="pct"/>
            <w:tcBorders>
              <w:top w:val="dotted" w:sz="4" w:space="0" w:color="auto"/>
              <w:left w:val="single" w:sz="4" w:space="0" w:color="808080"/>
              <w:bottom w:val="dotted" w:sz="4" w:space="0" w:color="auto"/>
              <w:right w:val="dotted" w:sz="4" w:space="0" w:color="auto"/>
            </w:tcBorders>
            <w:shd w:val="clear" w:color="auto" w:fill="FFFFFF" w:themeFill="background1"/>
            <w:vAlign w:val="center"/>
          </w:tcPr>
          <w:p w14:paraId="34BE6D15"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3</w:t>
            </w:r>
          </w:p>
        </w:tc>
        <w:tc>
          <w:tcPr>
            <w:tcW w:w="3261"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86B812B" w14:textId="77777777" w:rsidR="004F6476" w:rsidRPr="005E0C11" w:rsidRDefault="004F6476" w:rsidP="000B66BA">
            <w:pPr>
              <w:widowControl w:val="0"/>
              <w:tabs>
                <w:tab w:val="left" w:pos="360"/>
                <w:tab w:val="left" w:pos="8928"/>
              </w:tabs>
              <w:spacing w:after="120"/>
              <w:rPr>
                <w:rFonts w:cs="Arial"/>
                <w:snapToGrid w:val="0"/>
              </w:rPr>
            </w:pPr>
            <w:r>
              <w:rPr>
                <w:rFonts w:cs="Arial"/>
                <w:snapToGrid w:val="0"/>
              </w:rPr>
              <w:t>vedení databáze společného nakupování elektřiny a zemního plynu pro organizace zřizované ZK</w:t>
            </w:r>
          </w:p>
        </w:tc>
        <w:tc>
          <w:tcPr>
            <w:tcW w:w="508"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F470D7D"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ks</w:t>
            </w:r>
          </w:p>
        </w:tc>
        <w:tc>
          <w:tcPr>
            <w:tcW w:w="848" w:type="pct"/>
            <w:tcBorders>
              <w:top w:val="dotted" w:sz="4" w:space="0" w:color="auto"/>
              <w:left w:val="dotted" w:sz="4" w:space="0" w:color="auto"/>
              <w:bottom w:val="dotted" w:sz="4" w:space="0" w:color="auto"/>
              <w:right w:val="single" w:sz="4" w:space="0" w:color="808080"/>
            </w:tcBorders>
            <w:shd w:val="clear" w:color="auto" w:fill="FFFFFF" w:themeFill="background1"/>
            <w:vAlign w:val="center"/>
          </w:tcPr>
          <w:p w14:paraId="03DD371A"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1</w:t>
            </w:r>
          </w:p>
        </w:tc>
      </w:tr>
      <w:tr w:rsidR="004F6476" w:rsidRPr="0085591B" w14:paraId="7337BCC4" w14:textId="77777777" w:rsidTr="004F6476">
        <w:trPr>
          <w:trHeight w:val="276"/>
        </w:trPr>
        <w:tc>
          <w:tcPr>
            <w:tcW w:w="383" w:type="pct"/>
            <w:tcBorders>
              <w:top w:val="dotted" w:sz="4" w:space="0" w:color="auto"/>
              <w:left w:val="single" w:sz="4" w:space="0" w:color="808080"/>
              <w:bottom w:val="dotted" w:sz="4" w:space="0" w:color="auto"/>
              <w:right w:val="dotted" w:sz="4" w:space="0" w:color="auto"/>
            </w:tcBorders>
            <w:shd w:val="clear" w:color="auto" w:fill="FFFFFF" w:themeFill="background1"/>
            <w:vAlign w:val="center"/>
          </w:tcPr>
          <w:p w14:paraId="481E6CE9"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4</w:t>
            </w:r>
          </w:p>
        </w:tc>
        <w:tc>
          <w:tcPr>
            <w:tcW w:w="3261"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244F432" w14:textId="77777777" w:rsidR="004F6476" w:rsidRPr="0085591B" w:rsidRDefault="004F6476" w:rsidP="000B66BA">
            <w:pPr>
              <w:widowControl w:val="0"/>
              <w:tabs>
                <w:tab w:val="left" w:pos="360"/>
                <w:tab w:val="left" w:pos="8928"/>
              </w:tabs>
              <w:spacing w:after="120"/>
              <w:rPr>
                <w:rFonts w:cs="Arial"/>
                <w:snapToGrid w:val="0"/>
                <w:sz w:val="18"/>
                <w:szCs w:val="18"/>
              </w:rPr>
            </w:pPr>
            <w:r w:rsidRPr="00915D68">
              <w:rPr>
                <w:rFonts w:cs="Arial"/>
                <w:snapToGrid w:val="0"/>
              </w:rPr>
              <w:t>zajištění publicity příkladů dobré praxe k podpoře zvyšování účinnosti a soběstačnosti ve využívání energie a rozvoje zaměstnanosti</w:t>
            </w:r>
          </w:p>
        </w:tc>
        <w:tc>
          <w:tcPr>
            <w:tcW w:w="508"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A58FBEE"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ks</w:t>
            </w:r>
          </w:p>
        </w:tc>
        <w:tc>
          <w:tcPr>
            <w:tcW w:w="848" w:type="pct"/>
            <w:tcBorders>
              <w:top w:val="dotted" w:sz="4" w:space="0" w:color="auto"/>
              <w:left w:val="dotted" w:sz="4" w:space="0" w:color="auto"/>
              <w:bottom w:val="dotted" w:sz="4" w:space="0" w:color="auto"/>
              <w:right w:val="single" w:sz="4" w:space="0" w:color="808080"/>
            </w:tcBorders>
            <w:shd w:val="clear" w:color="auto" w:fill="FFFFFF" w:themeFill="background1"/>
            <w:vAlign w:val="center"/>
          </w:tcPr>
          <w:p w14:paraId="02C5A42B"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3</w:t>
            </w:r>
          </w:p>
        </w:tc>
      </w:tr>
      <w:tr w:rsidR="004F6476" w:rsidRPr="0085591B" w14:paraId="6BF5A9E3" w14:textId="77777777" w:rsidTr="004F6476">
        <w:trPr>
          <w:trHeight w:val="276"/>
        </w:trPr>
        <w:tc>
          <w:tcPr>
            <w:tcW w:w="383" w:type="pct"/>
            <w:tcBorders>
              <w:top w:val="dotted" w:sz="4" w:space="0" w:color="auto"/>
              <w:left w:val="single" w:sz="4" w:space="0" w:color="808080"/>
              <w:bottom w:val="dotted" w:sz="4" w:space="0" w:color="auto"/>
              <w:right w:val="dotted" w:sz="4" w:space="0" w:color="auto"/>
            </w:tcBorders>
            <w:shd w:val="clear" w:color="auto" w:fill="FFFFFF" w:themeFill="background1"/>
            <w:vAlign w:val="center"/>
          </w:tcPr>
          <w:p w14:paraId="3C519F6B"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5</w:t>
            </w:r>
          </w:p>
        </w:tc>
        <w:tc>
          <w:tcPr>
            <w:tcW w:w="3261"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25DB226" w14:textId="77777777" w:rsidR="004F6476" w:rsidRPr="0085591B" w:rsidRDefault="004F6476" w:rsidP="000B66BA">
            <w:pPr>
              <w:widowControl w:val="0"/>
              <w:tabs>
                <w:tab w:val="left" w:pos="360"/>
                <w:tab w:val="left" w:pos="8928"/>
              </w:tabs>
              <w:spacing w:after="120"/>
              <w:rPr>
                <w:rFonts w:cs="Arial"/>
                <w:snapToGrid w:val="0"/>
                <w:sz w:val="18"/>
                <w:szCs w:val="18"/>
              </w:rPr>
            </w:pPr>
            <w:r w:rsidRPr="00915D68">
              <w:rPr>
                <w:rFonts w:cs="Arial"/>
                <w:snapToGrid w:val="0"/>
              </w:rPr>
              <w:t>aktualizace webových stránek EAZK zaměřených na napomáhání rozvoje území Zlínského kraje, podpoře zvyšování účinnosti a soběstačnosti ve využívání energie a rozvoje zaměstnanosti</w:t>
            </w:r>
          </w:p>
        </w:tc>
        <w:tc>
          <w:tcPr>
            <w:tcW w:w="508"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F883351"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ks</w:t>
            </w:r>
          </w:p>
        </w:tc>
        <w:tc>
          <w:tcPr>
            <w:tcW w:w="848" w:type="pct"/>
            <w:tcBorders>
              <w:top w:val="dotted" w:sz="4" w:space="0" w:color="auto"/>
              <w:left w:val="dotted" w:sz="4" w:space="0" w:color="auto"/>
              <w:bottom w:val="dotted" w:sz="4" w:space="0" w:color="auto"/>
              <w:right w:val="single" w:sz="4" w:space="0" w:color="808080"/>
            </w:tcBorders>
            <w:shd w:val="clear" w:color="auto" w:fill="FFFFFF" w:themeFill="background1"/>
            <w:vAlign w:val="center"/>
          </w:tcPr>
          <w:p w14:paraId="2725B0A0"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1</w:t>
            </w:r>
          </w:p>
        </w:tc>
      </w:tr>
      <w:tr w:rsidR="004F6476" w:rsidRPr="0085591B" w14:paraId="504371A3" w14:textId="77777777" w:rsidTr="004F6476">
        <w:trPr>
          <w:trHeight w:val="276"/>
        </w:trPr>
        <w:tc>
          <w:tcPr>
            <w:tcW w:w="383" w:type="pct"/>
            <w:tcBorders>
              <w:top w:val="dotted" w:sz="4" w:space="0" w:color="auto"/>
              <w:left w:val="single" w:sz="4" w:space="0" w:color="808080"/>
              <w:bottom w:val="dotted" w:sz="4" w:space="0" w:color="auto"/>
              <w:right w:val="dotted" w:sz="4" w:space="0" w:color="auto"/>
            </w:tcBorders>
            <w:shd w:val="clear" w:color="auto" w:fill="FFFFFF" w:themeFill="background1"/>
            <w:vAlign w:val="center"/>
          </w:tcPr>
          <w:p w14:paraId="4A835968"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6</w:t>
            </w:r>
          </w:p>
        </w:tc>
        <w:tc>
          <w:tcPr>
            <w:tcW w:w="3261"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C09D302" w14:textId="77777777" w:rsidR="004F6476" w:rsidRPr="0085591B" w:rsidRDefault="004F6476" w:rsidP="000B66BA">
            <w:pPr>
              <w:widowControl w:val="0"/>
              <w:tabs>
                <w:tab w:val="left" w:pos="360"/>
                <w:tab w:val="left" w:pos="8928"/>
              </w:tabs>
              <w:spacing w:after="120"/>
              <w:rPr>
                <w:rFonts w:cs="Arial"/>
                <w:snapToGrid w:val="0"/>
                <w:sz w:val="18"/>
                <w:szCs w:val="18"/>
              </w:rPr>
            </w:pPr>
            <w:r w:rsidRPr="005E0C11">
              <w:rPr>
                <w:rFonts w:cs="Arial"/>
                <w:snapToGrid w:val="0"/>
              </w:rPr>
              <w:t>konzultace k úsporám energií s</w:t>
            </w:r>
            <w:r>
              <w:rPr>
                <w:rFonts w:cs="Arial"/>
                <w:snapToGrid w:val="0"/>
              </w:rPr>
              <w:t> </w:t>
            </w:r>
            <w:r w:rsidRPr="005E0C11">
              <w:rPr>
                <w:rFonts w:cs="Arial"/>
                <w:snapToGrid w:val="0"/>
              </w:rPr>
              <w:t>obcemi</w:t>
            </w:r>
            <w:r>
              <w:rPr>
                <w:rFonts w:cs="Arial"/>
                <w:snapToGrid w:val="0"/>
              </w:rPr>
              <w:t>, krajskými organizacemi,</w:t>
            </w:r>
            <w:r w:rsidRPr="005E0C11">
              <w:rPr>
                <w:rFonts w:cs="Arial"/>
                <w:snapToGrid w:val="0"/>
              </w:rPr>
              <w:t xml:space="preserve"> neziskovými organizacemi</w:t>
            </w:r>
            <w:r>
              <w:rPr>
                <w:rFonts w:cs="Arial"/>
                <w:snapToGrid w:val="0"/>
              </w:rPr>
              <w:t>, občany a dalšími subjekty Zlínského kraje</w:t>
            </w:r>
          </w:p>
        </w:tc>
        <w:tc>
          <w:tcPr>
            <w:tcW w:w="508"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FF0C09B"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ks</w:t>
            </w:r>
          </w:p>
        </w:tc>
        <w:tc>
          <w:tcPr>
            <w:tcW w:w="848" w:type="pct"/>
            <w:tcBorders>
              <w:top w:val="dotted" w:sz="4" w:space="0" w:color="auto"/>
              <w:left w:val="dotted" w:sz="4" w:space="0" w:color="auto"/>
              <w:bottom w:val="dotted" w:sz="4" w:space="0" w:color="auto"/>
              <w:right w:val="single" w:sz="4" w:space="0" w:color="808080"/>
            </w:tcBorders>
            <w:shd w:val="clear" w:color="auto" w:fill="FFFFFF" w:themeFill="background1"/>
            <w:vAlign w:val="center"/>
          </w:tcPr>
          <w:p w14:paraId="2219BBB9"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100</w:t>
            </w:r>
          </w:p>
        </w:tc>
      </w:tr>
      <w:tr w:rsidR="004F6476" w:rsidRPr="0085591B" w14:paraId="4008ED9B" w14:textId="77777777" w:rsidTr="004F6476">
        <w:trPr>
          <w:trHeight w:val="276"/>
        </w:trPr>
        <w:tc>
          <w:tcPr>
            <w:tcW w:w="383" w:type="pct"/>
            <w:tcBorders>
              <w:top w:val="dotted" w:sz="4" w:space="0" w:color="auto"/>
              <w:left w:val="single" w:sz="4" w:space="0" w:color="808080"/>
              <w:bottom w:val="dotted" w:sz="4" w:space="0" w:color="auto"/>
              <w:right w:val="dotted" w:sz="4" w:space="0" w:color="auto"/>
            </w:tcBorders>
            <w:shd w:val="clear" w:color="auto" w:fill="FFFFFF" w:themeFill="background1"/>
            <w:vAlign w:val="center"/>
          </w:tcPr>
          <w:p w14:paraId="466B545A"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7</w:t>
            </w:r>
          </w:p>
        </w:tc>
        <w:tc>
          <w:tcPr>
            <w:tcW w:w="3261"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E8FEE3E" w14:textId="77777777" w:rsidR="004F6476" w:rsidRPr="0085591B" w:rsidRDefault="004F6476" w:rsidP="000B66BA">
            <w:pPr>
              <w:widowControl w:val="0"/>
              <w:tabs>
                <w:tab w:val="left" w:pos="360"/>
                <w:tab w:val="left" w:pos="8928"/>
              </w:tabs>
              <w:spacing w:after="120"/>
              <w:rPr>
                <w:rFonts w:cs="Arial"/>
                <w:snapToGrid w:val="0"/>
                <w:sz w:val="18"/>
                <w:szCs w:val="18"/>
              </w:rPr>
            </w:pPr>
            <w:r w:rsidRPr="005E0C11">
              <w:rPr>
                <w:rFonts w:cs="Arial"/>
                <w:snapToGrid w:val="0"/>
              </w:rPr>
              <w:t>podání žádostí o financování nových projektů zaměřených na úspory energie a využití obnovitelných a druhotných zdrojů</w:t>
            </w:r>
          </w:p>
        </w:tc>
        <w:tc>
          <w:tcPr>
            <w:tcW w:w="508"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2B3896F"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ks</w:t>
            </w:r>
          </w:p>
        </w:tc>
        <w:tc>
          <w:tcPr>
            <w:tcW w:w="848" w:type="pct"/>
            <w:tcBorders>
              <w:top w:val="dotted" w:sz="4" w:space="0" w:color="auto"/>
              <w:left w:val="dotted" w:sz="4" w:space="0" w:color="auto"/>
              <w:bottom w:val="dotted" w:sz="4" w:space="0" w:color="auto"/>
              <w:right w:val="single" w:sz="4" w:space="0" w:color="808080"/>
            </w:tcBorders>
            <w:shd w:val="clear" w:color="auto" w:fill="FFFFFF" w:themeFill="background1"/>
            <w:vAlign w:val="center"/>
          </w:tcPr>
          <w:p w14:paraId="0CAC10B0" w14:textId="77777777" w:rsidR="004F6476" w:rsidRPr="0085591B"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10</w:t>
            </w:r>
          </w:p>
        </w:tc>
      </w:tr>
      <w:tr w:rsidR="004F6476" w:rsidRPr="0085591B" w14:paraId="7D0FA62E" w14:textId="77777777" w:rsidTr="004F6476">
        <w:trPr>
          <w:trHeight w:val="276"/>
        </w:trPr>
        <w:tc>
          <w:tcPr>
            <w:tcW w:w="383" w:type="pct"/>
            <w:tcBorders>
              <w:top w:val="dotted" w:sz="4" w:space="0" w:color="auto"/>
              <w:left w:val="single" w:sz="4" w:space="0" w:color="808080"/>
              <w:bottom w:val="dotted" w:sz="4" w:space="0" w:color="auto"/>
              <w:right w:val="dotted" w:sz="4" w:space="0" w:color="auto"/>
            </w:tcBorders>
            <w:shd w:val="clear" w:color="auto" w:fill="FFFFFF" w:themeFill="background1"/>
            <w:vAlign w:val="center"/>
          </w:tcPr>
          <w:p w14:paraId="28B759C6" w14:textId="395182C1" w:rsidR="004F6476"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8</w:t>
            </w:r>
          </w:p>
        </w:tc>
        <w:tc>
          <w:tcPr>
            <w:tcW w:w="3261"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CFBD3A7" w14:textId="77777777" w:rsidR="004F6476" w:rsidRPr="00915D68" w:rsidRDefault="004F6476" w:rsidP="000B66BA">
            <w:pPr>
              <w:widowControl w:val="0"/>
              <w:tabs>
                <w:tab w:val="left" w:pos="360"/>
                <w:tab w:val="left" w:pos="8928"/>
              </w:tabs>
              <w:spacing w:after="120"/>
              <w:rPr>
                <w:rFonts w:cs="Arial"/>
                <w:snapToGrid w:val="0"/>
                <w:sz w:val="18"/>
                <w:szCs w:val="18"/>
              </w:rPr>
            </w:pPr>
            <w:r>
              <w:rPr>
                <w:rFonts w:cs="Arial"/>
                <w:snapToGrid w:val="0"/>
                <w:sz w:val="18"/>
                <w:szCs w:val="18"/>
              </w:rPr>
              <w:t>realizace projektu ePLANET</w:t>
            </w:r>
          </w:p>
        </w:tc>
        <w:tc>
          <w:tcPr>
            <w:tcW w:w="508" w:type="pc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3F37587" w14:textId="77777777" w:rsidR="004F6476"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ks</w:t>
            </w:r>
          </w:p>
        </w:tc>
        <w:tc>
          <w:tcPr>
            <w:tcW w:w="848" w:type="pct"/>
            <w:tcBorders>
              <w:top w:val="dotted" w:sz="4" w:space="0" w:color="auto"/>
              <w:left w:val="dotted" w:sz="4" w:space="0" w:color="auto"/>
              <w:bottom w:val="dotted" w:sz="4" w:space="0" w:color="auto"/>
              <w:right w:val="single" w:sz="4" w:space="0" w:color="808080"/>
            </w:tcBorders>
            <w:shd w:val="clear" w:color="auto" w:fill="FFFFFF" w:themeFill="background1"/>
            <w:vAlign w:val="center"/>
          </w:tcPr>
          <w:p w14:paraId="2DF076F0" w14:textId="77777777" w:rsidR="004F6476" w:rsidRDefault="004F6476" w:rsidP="000B66BA">
            <w:pPr>
              <w:widowControl w:val="0"/>
              <w:tabs>
                <w:tab w:val="left" w:pos="360"/>
                <w:tab w:val="left" w:pos="8928"/>
              </w:tabs>
              <w:spacing w:after="120"/>
              <w:jc w:val="center"/>
              <w:rPr>
                <w:rFonts w:cs="Arial"/>
                <w:snapToGrid w:val="0"/>
                <w:sz w:val="18"/>
                <w:szCs w:val="18"/>
              </w:rPr>
            </w:pPr>
            <w:r>
              <w:rPr>
                <w:rFonts w:cs="Arial"/>
                <w:snapToGrid w:val="0"/>
                <w:sz w:val="18"/>
                <w:szCs w:val="18"/>
              </w:rPr>
              <w:t>1</w:t>
            </w:r>
          </w:p>
        </w:tc>
      </w:tr>
    </w:tbl>
    <w:p w14:paraId="625E96DF" w14:textId="77777777" w:rsidR="004F6476" w:rsidRDefault="004F6476" w:rsidP="00E17A49">
      <w:pPr>
        <w:pStyle w:val="2rove"/>
        <w:numPr>
          <w:ilvl w:val="0"/>
          <w:numId w:val="0"/>
        </w:numPr>
        <w:ind w:left="431"/>
        <w:jc w:val="left"/>
      </w:pPr>
    </w:p>
    <w:p w14:paraId="730FC811" w14:textId="6CEEE670" w:rsidR="004F6476" w:rsidRDefault="00185091" w:rsidP="00185091">
      <w:pPr>
        <w:pStyle w:val="2rove"/>
        <w:numPr>
          <w:ilvl w:val="0"/>
          <w:numId w:val="0"/>
        </w:numPr>
      </w:pPr>
      <w:r w:rsidRPr="00185091">
        <w:t xml:space="preserve">3,2. </w:t>
      </w:r>
      <w:r w:rsidR="004F6476" w:rsidRPr="00185091">
        <w:t>Částečné nenaplnění monitorovacího in</w:t>
      </w:r>
      <w:r w:rsidR="004F6476" w:rsidRPr="0013520D">
        <w:t xml:space="preserve">dikátoru uvedeného v tabulce v předchozím odstavci, </w:t>
      </w:r>
      <w:r w:rsidR="004F6476" w:rsidRPr="008D3891">
        <w:rPr>
          <w:b/>
        </w:rPr>
        <w:t xml:space="preserve">maximálně však o </w:t>
      </w:r>
      <w:r w:rsidR="00C16CD0">
        <w:rPr>
          <w:b/>
        </w:rPr>
        <w:t>5</w:t>
      </w:r>
      <w:r w:rsidR="004F6476" w:rsidRPr="008D3891">
        <w:rPr>
          <w:b/>
        </w:rPr>
        <w:t xml:space="preserve"> %</w:t>
      </w:r>
      <w:r w:rsidR="004F6476" w:rsidRPr="0013520D">
        <w:t>, zůstane-li zachován účel a smysl projektu, nebude považováno za porušení podmínek smlouvy.</w:t>
      </w:r>
      <w:r w:rsidR="004F6476">
        <w:t xml:space="preserve"> </w:t>
      </w:r>
      <w:r w:rsidR="004F6476" w:rsidRPr="000417D8">
        <w:t xml:space="preserve">V případě </w:t>
      </w:r>
      <w:r w:rsidR="004F6476">
        <w:t xml:space="preserve">překročení uvedené tolerance částečného nenaplnění </w:t>
      </w:r>
      <w:r w:rsidR="004F6476" w:rsidRPr="000417D8">
        <w:t>monitorovacích indikátorů se jedná o podstatné nenaplnění monitorovacích indikátorů</w:t>
      </w:r>
      <w:r w:rsidR="004F6476">
        <w:rPr>
          <w:i/>
          <w:color w:val="5B9BD5" w:themeColor="accent1"/>
          <w:sz w:val="16"/>
          <w:szCs w:val="16"/>
        </w:rPr>
        <w:t>.</w:t>
      </w:r>
    </w:p>
    <w:p w14:paraId="1C5E91E5" w14:textId="77777777" w:rsidR="004F6476" w:rsidRPr="008E7B6E" w:rsidRDefault="004F6476" w:rsidP="00E17A49">
      <w:pPr>
        <w:pStyle w:val="2rove"/>
        <w:numPr>
          <w:ilvl w:val="0"/>
          <w:numId w:val="0"/>
        </w:numPr>
        <w:ind w:left="431"/>
        <w:jc w:val="left"/>
      </w:pPr>
    </w:p>
    <w:p w14:paraId="115BE40A" w14:textId="08462130" w:rsidR="00530D1A" w:rsidRDefault="00530D1A" w:rsidP="00C7203C">
      <w:pPr>
        <w:pStyle w:val="Nadpis1"/>
      </w:pPr>
      <w:r w:rsidRPr="00C7203C">
        <w:t>Financování</w:t>
      </w:r>
      <w:r>
        <w:t xml:space="preserve"> </w:t>
      </w:r>
      <w:r w:rsidR="00075720">
        <w:t>poskytování SOHZ</w:t>
      </w:r>
    </w:p>
    <w:p w14:paraId="0D48150C" w14:textId="38DF1330" w:rsidR="00D712E8" w:rsidRPr="003D6A1A" w:rsidRDefault="00530D1A" w:rsidP="00D712E8">
      <w:pPr>
        <w:pStyle w:val="2rove"/>
        <w:rPr>
          <w:b/>
        </w:rPr>
      </w:pPr>
      <w:r w:rsidRPr="0013520D">
        <w:t xml:space="preserve">Dotace bude příjemci poskytnuta na účet uvedený v záhlaví této smlouvy následujícím způsobem: </w:t>
      </w:r>
    </w:p>
    <w:p w14:paraId="215C36CB" w14:textId="45E91BB9" w:rsidR="00530D1A" w:rsidRPr="0013520D" w:rsidRDefault="00530D1A" w:rsidP="00D712E8">
      <w:pPr>
        <w:pStyle w:val="3rove-kodstrann"/>
        <w:numPr>
          <w:ilvl w:val="0"/>
          <w:numId w:val="0"/>
        </w:numPr>
        <w:ind w:left="1304"/>
      </w:pPr>
      <w:r w:rsidRPr="003D6A1A">
        <w:rPr>
          <w:b/>
        </w:rPr>
        <w:t>do 30 pracovních dnů po nabytí účinnosti této smlouvy</w:t>
      </w:r>
      <w:r w:rsidRPr="0013520D">
        <w:t xml:space="preserve"> bude vyplacena </w:t>
      </w:r>
      <w:r w:rsidRPr="003D6A1A">
        <w:rPr>
          <w:b/>
        </w:rPr>
        <w:t>první část</w:t>
      </w:r>
      <w:r w:rsidRPr="0013520D">
        <w:t xml:space="preserve"> dotace ve výši</w:t>
      </w:r>
      <w:r w:rsidR="002321A0">
        <w:t> </w:t>
      </w:r>
      <w:r w:rsidR="00D712E8">
        <w:t>2.805.000</w:t>
      </w:r>
      <w:r>
        <w:t xml:space="preserve"> </w:t>
      </w:r>
      <w:r w:rsidRPr="0013520D">
        <w:t>Kč (slovy:</w:t>
      </w:r>
      <w:r w:rsidR="002321A0">
        <w:t> </w:t>
      </w:r>
      <w:r w:rsidR="00D712E8">
        <w:t>dvamilionyosmsetpěttisíckorunčeských</w:t>
      </w:r>
      <w:r w:rsidRPr="0013520D">
        <w:t xml:space="preserve">), </w:t>
      </w:r>
      <w:r w:rsidRPr="003D6A1A">
        <w:rPr>
          <w:b/>
        </w:rPr>
        <w:t>druhá část</w:t>
      </w:r>
      <w:r w:rsidRPr="0013520D">
        <w:t xml:space="preserve"> dotace ve výši</w:t>
      </w:r>
      <w:r w:rsidR="002321A0">
        <w:t> </w:t>
      </w:r>
      <w:r w:rsidR="00D712E8">
        <w:t>2.800.000</w:t>
      </w:r>
      <w:r w:rsidRPr="0013520D">
        <w:t xml:space="preserve"> Kč (slovy:</w:t>
      </w:r>
      <w:r w:rsidR="002321A0">
        <w:t> </w:t>
      </w:r>
      <w:r w:rsidR="00D712E8">
        <w:t>dvamilionyosmsettisíckorunčeských</w:t>
      </w:r>
      <w:r w:rsidRPr="0013520D">
        <w:t xml:space="preserve">) bude vyplacena </w:t>
      </w:r>
      <w:r w:rsidRPr="003D6A1A">
        <w:rPr>
          <w:b/>
        </w:rPr>
        <w:t>v termínu do</w:t>
      </w:r>
      <w:r w:rsidR="002321A0">
        <w:rPr>
          <w:b/>
        </w:rPr>
        <w:t> </w:t>
      </w:r>
      <w:r w:rsidR="00D712E8">
        <w:rPr>
          <w:b/>
        </w:rPr>
        <w:t>20.5.2024</w:t>
      </w:r>
      <w:r>
        <w:t>,</w:t>
      </w:r>
      <w:r w:rsidRPr="0013520D">
        <w:t xml:space="preserve"> </w:t>
      </w:r>
      <w:r w:rsidRPr="003D6A1A">
        <w:rPr>
          <w:b/>
        </w:rPr>
        <w:t>třetí část</w:t>
      </w:r>
      <w:r w:rsidRPr="0013520D">
        <w:t xml:space="preserve"> dotace ve výši</w:t>
      </w:r>
      <w:r w:rsidR="002321A0">
        <w:t> </w:t>
      </w:r>
      <w:r w:rsidR="00D712E8">
        <w:t>2.800.000</w:t>
      </w:r>
      <w:r w:rsidRPr="0013520D">
        <w:t xml:space="preserve"> Kč (slovy:</w:t>
      </w:r>
      <w:r w:rsidR="002321A0">
        <w:t> </w:t>
      </w:r>
      <w:r w:rsidR="00D712E8">
        <w:t>dvamilionyosmsettisíckorunčeských</w:t>
      </w:r>
      <w:r w:rsidRPr="0013520D">
        <w:t xml:space="preserve">) bude vyplacena </w:t>
      </w:r>
      <w:r w:rsidRPr="003D6A1A">
        <w:rPr>
          <w:b/>
        </w:rPr>
        <w:t>v termínu do</w:t>
      </w:r>
      <w:r w:rsidR="002321A0">
        <w:rPr>
          <w:b/>
        </w:rPr>
        <w:t> </w:t>
      </w:r>
      <w:r w:rsidR="00D712E8">
        <w:rPr>
          <w:b/>
        </w:rPr>
        <w:t xml:space="preserve">20.8.2024.  </w:t>
      </w:r>
      <w:r w:rsidRPr="0013520D">
        <w:t xml:space="preserve"> </w:t>
      </w:r>
    </w:p>
    <w:p w14:paraId="1C097517" w14:textId="6D0F436A" w:rsidR="00313DE9" w:rsidRPr="0013520D" w:rsidRDefault="00313DE9" w:rsidP="00D712E8">
      <w:pPr>
        <w:pStyle w:val="3rove-kodstrann"/>
        <w:numPr>
          <w:ilvl w:val="0"/>
          <w:numId w:val="0"/>
        </w:numPr>
        <w:ind w:left="1304"/>
      </w:pPr>
    </w:p>
    <w:p w14:paraId="40E9BA56" w14:textId="57C36813" w:rsidR="00D47986" w:rsidRPr="00D47986" w:rsidRDefault="00CB78A2" w:rsidP="00D47986">
      <w:pPr>
        <w:pStyle w:val="2rove"/>
      </w:pPr>
      <w:r w:rsidRPr="003D6A1A">
        <w:rPr>
          <w:b/>
        </w:rPr>
        <w:t xml:space="preserve">Předpokládané celkové způsobilé </w:t>
      </w:r>
      <w:r w:rsidR="00075720">
        <w:rPr>
          <w:b/>
        </w:rPr>
        <w:t xml:space="preserve">náklady </w:t>
      </w:r>
      <w:r w:rsidR="00075720" w:rsidRPr="00075720">
        <w:t>vynaložené při poskytování SOHZ</w:t>
      </w:r>
      <w:r w:rsidRPr="0013520D">
        <w:t xml:space="preserve"> činí</w:t>
      </w:r>
      <w:r w:rsidR="002321A0">
        <w:t> </w:t>
      </w:r>
      <w:r w:rsidR="00D712E8">
        <w:t>10.782.065,77</w:t>
      </w:r>
      <w:r w:rsidR="002C00E2">
        <w:t xml:space="preserve"> Kč</w:t>
      </w:r>
      <w:r w:rsidR="00D712E8">
        <w:t>.</w:t>
      </w:r>
      <w:r w:rsidR="00075720">
        <w:t xml:space="preserve"> </w:t>
      </w:r>
      <w:r w:rsidRPr="0013520D">
        <w:t xml:space="preserve"> </w:t>
      </w:r>
      <w:r w:rsidR="00D47986" w:rsidRPr="00C0563D">
        <w:t xml:space="preserve">Pokud budou skutečné prokazatelné způsobilé náklady příjemce vzniklé </w:t>
      </w:r>
      <w:r w:rsidR="00D47986" w:rsidRPr="00C0563D">
        <w:lastRenderedPageBreak/>
        <w:t xml:space="preserve">v souvislosti s poskytováním SOHZ po odečtení výnosů z SOHZ vyšší než částka, na kterou vznikl příjemci nárok dle této smlouvy, uhradí příjemce částku tohoto překročení z vlastních nebo jiných zdrojů, pokud se poskytovatel nerozhodne vzniklý rozdíl kompenzovat prostřednictvím písemného dodatku. Smluvní strany berou na vědomí, že hodnota čistých nákladů podle čl. IV odst. 3 </w:t>
      </w:r>
      <w:r w:rsidR="00D47986" w:rsidRPr="00D47986">
        <w:rPr>
          <w:b/>
        </w:rPr>
        <w:t>pověření</w:t>
      </w:r>
      <w:r w:rsidR="00D47986" w:rsidRPr="00C0563D">
        <w:t xml:space="preserve"> nesmí být překročena.</w:t>
      </w:r>
      <w:r w:rsidR="00D47986">
        <w:t xml:space="preserve"> </w:t>
      </w:r>
      <w:r w:rsidR="00D47986" w:rsidRPr="00D47986">
        <w:rPr>
          <w:rFonts w:cs="Arial"/>
          <w:szCs w:val="20"/>
        </w:rPr>
        <w:t xml:space="preserve">V případě, že příjemce dodrží podmínky pro čerpání dotace stanovené touto smlouvou, ale na základě závěrečné zprávy s vyúčtováním </w:t>
      </w:r>
      <w:r w:rsidR="00D47986">
        <w:rPr>
          <w:rFonts w:cs="Arial"/>
          <w:szCs w:val="20"/>
        </w:rPr>
        <w:t>dotace</w:t>
      </w:r>
      <w:r w:rsidR="00D47986" w:rsidRPr="00D47986">
        <w:rPr>
          <w:rFonts w:cs="Arial"/>
          <w:szCs w:val="20"/>
        </w:rPr>
        <w:t xml:space="preserve">, bude zjištěno, že byla poskytnuta </w:t>
      </w:r>
      <w:r w:rsidR="00D47986">
        <w:rPr>
          <w:rFonts w:cs="Arial"/>
          <w:szCs w:val="20"/>
        </w:rPr>
        <w:t xml:space="preserve">dotace </w:t>
      </w:r>
      <w:r w:rsidR="00D47986" w:rsidRPr="00D47986">
        <w:rPr>
          <w:rFonts w:cs="Arial"/>
          <w:szCs w:val="20"/>
        </w:rPr>
        <w:t>(záloha na ni) vyšší než činí hodnota čistýc</w:t>
      </w:r>
      <w:r w:rsidR="00D47986">
        <w:rPr>
          <w:rFonts w:cs="Arial"/>
          <w:szCs w:val="20"/>
        </w:rPr>
        <w:t xml:space="preserve">h nákladů podle čl. IV odst. 3 </w:t>
      </w:r>
      <w:r w:rsidR="00D47986" w:rsidRPr="00D47986">
        <w:rPr>
          <w:rFonts w:cs="Arial"/>
          <w:b/>
          <w:szCs w:val="20"/>
        </w:rPr>
        <w:t>pověření</w:t>
      </w:r>
      <w:r w:rsidR="00D47986" w:rsidRPr="00D47986">
        <w:rPr>
          <w:rFonts w:cs="Arial"/>
          <w:szCs w:val="20"/>
        </w:rPr>
        <w:t xml:space="preserve">, je příjemce povinen o této skutečnosti poskytovatele informovat a takovou nadměrnou platbu vrátit, a to způsobem a v termínu určeném poskytovatelem v </w:t>
      </w:r>
      <w:r w:rsidR="00D47986" w:rsidRPr="00D47986">
        <w:rPr>
          <w:rFonts w:cs="Arial"/>
          <w:b/>
          <w:szCs w:val="20"/>
        </w:rPr>
        <w:t>pověření</w:t>
      </w:r>
      <w:r w:rsidR="00D47986" w:rsidRPr="00D47986">
        <w:rPr>
          <w:rFonts w:cs="Arial"/>
          <w:szCs w:val="20"/>
        </w:rPr>
        <w:t xml:space="preserve"> čl. IV  odst. 10.</w:t>
      </w:r>
    </w:p>
    <w:p w14:paraId="6C44F694" w14:textId="44E86CAE" w:rsidR="00CB78A2" w:rsidRDefault="00CB78A2" w:rsidP="00C7203C">
      <w:pPr>
        <w:pStyle w:val="2rove"/>
      </w:pPr>
      <w:r w:rsidRPr="00C557DB">
        <w:t xml:space="preserve">Po </w:t>
      </w:r>
      <w:r w:rsidR="0036448F">
        <w:t>u</w:t>
      </w:r>
      <w:r w:rsidRPr="00C557DB">
        <w:t xml:space="preserve">končení </w:t>
      </w:r>
      <w:r w:rsidR="00B20C4A">
        <w:t xml:space="preserve">doby, v níž je poskytování SOHZ financováno </w:t>
      </w:r>
      <w:r w:rsidR="0036448F">
        <w:t xml:space="preserve">dle </w:t>
      </w:r>
      <w:r w:rsidR="00727B14">
        <w:t>čl</w:t>
      </w:r>
      <w:r w:rsidR="0036448F">
        <w:t>. 2.</w:t>
      </w:r>
      <w:r w:rsidR="00B20C4A">
        <w:t>1</w:t>
      </w:r>
      <w:r w:rsidRPr="00C557DB">
        <w:t xml:space="preserve"> je příjemce povinen předložit Odboru</w:t>
      </w:r>
      <w:r w:rsidR="002321A0">
        <w:t> </w:t>
      </w:r>
      <w:r w:rsidR="00D712E8">
        <w:t>strategického rozvoje kraje</w:t>
      </w:r>
      <w:r w:rsidRPr="00727B14">
        <w:rPr>
          <w:rStyle w:val="Kvbruaodstrann"/>
        </w:rPr>
        <w:t xml:space="preserve"> </w:t>
      </w:r>
      <w:r w:rsidRPr="00C557DB">
        <w:t xml:space="preserve">Krajského úřadu Zlínského kraje </w:t>
      </w:r>
      <w:r w:rsidR="00CD6632">
        <w:rPr>
          <w:b/>
        </w:rPr>
        <w:t>z</w:t>
      </w:r>
      <w:r w:rsidR="00CD6632" w:rsidRPr="003D6A1A">
        <w:rPr>
          <w:b/>
        </w:rPr>
        <w:t xml:space="preserve">ávěrečnou </w:t>
      </w:r>
      <w:r w:rsidRPr="003D6A1A">
        <w:rPr>
          <w:b/>
        </w:rPr>
        <w:t>zprávu</w:t>
      </w:r>
      <w:r w:rsidR="0060034F">
        <w:rPr>
          <w:b/>
        </w:rPr>
        <w:t xml:space="preserve"> s vyúčtováním vyrovnávací platby </w:t>
      </w:r>
      <w:r w:rsidR="0060034F" w:rsidRPr="0060034F">
        <w:t>(dále i jen „</w:t>
      </w:r>
      <w:r w:rsidR="0060034F">
        <w:rPr>
          <w:b/>
        </w:rPr>
        <w:t>závěrečná zpráva</w:t>
      </w:r>
      <w:r w:rsidR="0060034F" w:rsidRPr="0060034F">
        <w:t>“)</w:t>
      </w:r>
      <w:r w:rsidRPr="0060034F">
        <w:t>,</w:t>
      </w:r>
      <w:r w:rsidRPr="003D6A1A">
        <w:rPr>
          <w:b/>
        </w:rPr>
        <w:t xml:space="preserve"> </w:t>
      </w:r>
      <w:r w:rsidRPr="0060034F">
        <w:t>a to</w:t>
      </w:r>
      <w:r w:rsidRPr="003D6A1A">
        <w:rPr>
          <w:b/>
        </w:rPr>
        <w:t xml:space="preserve"> nejpozději do</w:t>
      </w:r>
      <w:r w:rsidR="002321A0">
        <w:rPr>
          <w:b/>
        </w:rPr>
        <w:t> </w:t>
      </w:r>
      <w:r w:rsidR="00D712E8">
        <w:rPr>
          <w:b/>
        </w:rPr>
        <w:t>2</w:t>
      </w:r>
      <w:r w:rsidR="00587133">
        <w:rPr>
          <w:b/>
        </w:rPr>
        <w:t>8</w:t>
      </w:r>
      <w:r w:rsidR="00D712E8">
        <w:rPr>
          <w:b/>
        </w:rPr>
        <w:t>.2.202</w:t>
      </w:r>
      <w:r w:rsidR="0000696F">
        <w:rPr>
          <w:b/>
        </w:rPr>
        <w:t>5</w:t>
      </w:r>
      <w:r w:rsidR="00D712E8">
        <w:rPr>
          <w:b/>
        </w:rPr>
        <w:t>.</w:t>
      </w:r>
      <w:r w:rsidR="00727B14" w:rsidRPr="00727B14">
        <w:rPr>
          <w:rFonts w:cs="Arial"/>
          <w:szCs w:val="16"/>
        </w:rPr>
        <w:t xml:space="preserve"> </w:t>
      </w:r>
      <w:r w:rsidR="00727B14" w:rsidRPr="00C0563D">
        <w:rPr>
          <w:rFonts w:cs="Arial"/>
          <w:szCs w:val="16"/>
        </w:rPr>
        <w:t xml:space="preserve">V případě, že dojde k ukončení nebo změně této </w:t>
      </w:r>
      <w:r w:rsidR="00727B14">
        <w:rPr>
          <w:rFonts w:cs="Arial"/>
          <w:szCs w:val="16"/>
        </w:rPr>
        <w:t>s</w:t>
      </w:r>
      <w:r w:rsidR="00727B14" w:rsidRPr="00C0563D">
        <w:rPr>
          <w:rFonts w:cs="Arial"/>
          <w:szCs w:val="16"/>
        </w:rPr>
        <w:t xml:space="preserve">mlouvy a tato skutečnost bude mít vliv na výši </w:t>
      </w:r>
      <w:r w:rsidR="00727B14">
        <w:rPr>
          <w:rFonts w:cs="Arial"/>
          <w:szCs w:val="16"/>
        </w:rPr>
        <w:t>dotace</w:t>
      </w:r>
      <w:r w:rsidR="00727B14" w:rsidRPr="00C0563D">
        <w:rPr>
          <w:rFonts w:cs="Arial"/>
          <w:szCs w:val="16"/>
        </w:rPr>
        <w:t xml:space="preserve">, je příjemce povinen předložit </w:t>
      </w:r>
      <w:r w:rsidR="00727B14">
        <w:rPr>
          <w:rFonts w:cs="Arial"/>
          <w:szCs w:val="16"/>
        </w:rPr>
        <w:t>závěrečnou zprávu</w:t>
      </w:r>
      <w:r w:rsidR="00727B14" w:rsidRPr="00C0563D">
        <w:rPr>
          <w:rFonts w:cs="Arial"/>
          <w:szCs w:val="16"/>
        </w:rPr>
        <w:t xml:space="preserve"> do 30 kalendářních dnů od účinnosti ukončení nebo změny </w:t>
      </w:r>
      <w:r w:rsidR="00727B14">
        <w:rPr>
          <w:rFonts w:cs="Arial"/>
          <w:szCs w:val="16"/>
        </w:rPr>
        <w:t>s</w:t>
      </w:r>
      <w:r w:rsidR="00727B14" w:rsidRPr="00C0563D">
        <w:rPr>
          <w:rFonts w:cs="Arial"/>
          <w:szCs w:val="16"/>
        </w:rPr>
        <w:t>mlouvy</w:t>
      </w:r>
      <w:r w:rsidR="00727B14">
        <w:rPr>
          <w:rFonts w:cs="Arial"/>
          <w:szCs w:val="16"/>
        </w:rPr>
        <w:t>.</w:t>
      </w:r>
    </w:p>
    <w:p w14:paraId="6DCF458F" w14:textId="70B00C81" w:rsidR="00CD2022" w:rsidRDefault="00D712E8" w:rsidP="00727B14">
      <w:pPr>
        <w:pStyle w:val="2rove"/>
      </w:pPr>
      <w:r w:rsidRPr="000A0560">
        <w:rPr>
          <w:rFonts w:cs="Arial"/>
        </w:rPr>
        <w:t xml:space="preserve">Závěrečnou zprávou se rozumí předložení formuláře s výčtem všech příjmů a s výčtem všech způsobilých nákladů vynaložených při poskytování SOHZ a předložení dokladů prokazujících zúčtování ve formě výpisu z oddělené účetní evidence dle jednotlivých účetních dokladů (s uvedením čísla dokladu, účtu, částky, účelu, data). Příjemce dále doloží </w:t>
      </w:r>
      <w:r w:rsidRPr="000A0560">
        <w:rPr>
          <w:rFonts w:cs="Arial"/>
          <w:szCs w:val="20"/>
        </w:rPr>
        <w:t xml:space="preserve">zprávu auditora za rok 2023, účetní závěrku za rok 2023, </w:t>
      </w:r>
      <w:r w:rsidRPr="000A0560">
        <w:rPr>
          <w:rFonts w:cs="Arial"/>
        </w:rPr>
        <w:t xml:space="preserve">a roční rekapitulaci vyúčtování mezd (včetně zákonných odvodů sociálního a zdravotního pojištění), přičemž za zúčtovací doklady se nepovažují tzv. zálohové faktury. </w:t>
      </w:r>
      <w:r w:rsidR="00727B14">
        <w:rPr>
          <w:rFonts w:cs="Arial"/>
        </w:rPr>
        <w:t xml:space="preserve"> </w:t>
      </w:r>
      <w:r w:rsidR="00A439DD" w:rsidRPr="00F575F2">
        <w:rPr>
          <w:b/>
        </w:rPr>
        <w:t xml:space="preserve">Formulář </w:t>
      </w:r>
      <w:r w:rsidR="00F575F2" w:rsidRPr="00F575F2">
        <w:rPr>
          <w:b/>
        </w:rPr>
        <w:t xml:space="preserve">závěrečné </w:t>
      </w:r>
      <w:r w:rsidR="00A439DD" w:rsidRPr="00F575F2">
        <w:rPr>
          <w:b/>
        </w:rPr>
        <w:t>zprávy</w:t>
      </w:r>
      <w:r w:rsidR="00A439DD">
        <w:t xml:space="preserve"> bude příjemci zaslán kontaktní osobou poskytovatele na vyžádání</w:t>
      </w:r>
      <w:r>
        <w:t>.</w:t>
      </w:r>
      <w:r w:rsidR="00A439DD">
        <w:t xml:space="preserve"> </w:t>
      </w:r>
    </w:p>
    <w:p w14:paraId="5EB47DE6" w14:textId="57D7E6C5" w:rsidR="005B1088" w:rsidRDefault="00357941" w:rsidP="00C7203C">
      <w:pPr>
        <w:pStyle w:val="2rove"/>
      </w:pPr>
      <w:r w:rsidRPr="00774F80">
        <w:t xml:space="preserve">V případě, že poskytovatel neshledá v předložené </w:t>
      </w:r>
      <w:r w:rsidR="00553A54">
        <w:t>z</w:t>
      </w:r>
      <w:r w:rsidRPr="00774F80">
        <w:t>ávěrečné zprávě nedostatky či nesrovnalosti, schválí ji do 30 pracovních dnů ode dne jejího předložení.</w:t>
      </w:r>
      <w:r>
        <w:t xml:space="preserve"> </w:t>
      </w:r>
      <w:r w:rsidRPr="00774F80">
        <w:t>Budou-li shledány nedostatky či nesrovnalosti, bude příjemce</w:t>
      </w:r>
      <w:r w:rsidR="00B64E1E">
        <w:t xml:space="preserve"> v této lhůtě</w:t>
      </w:r>
      <w:r w:rsidR="00432A5A">
        <w:t xml:space="preserve"> poskytovatelem</w:t>
      </w:r>
      <w:r w:rsidRPr="00774F80">
        <w:t xml:space="preserve"> vyzván k jejich odstranění, a to </w:t>
      </w:r>
      <w:r w:rsidR="00F13C74">
        <w:t xml:space="preserve">do </w:t>
      </w:r>
      <w:r w:rsidRPr="00774F80">
        <w:t>20 pracovních dnů ode dne doručení výzvy.</w:t>
      </w:r>
      <w:r w:rsidR="00B64E1E">
        <w:t xml:space="preserve"> V případě, že</w:t>
      </w:r>
      <w:r w:rsidR="00F13C74">
        <w:t xml:space="preserve"> příjemce v této lhůtě nedostatky či nesrovnalosti neodstraní, bude opětovně poskytovatelem vyzván </w:t>
      </w:r>
      <w:r w:rsidR="00432A5A">
        <w:t>k jejich odstranění v </w:t>
      </w:r>
      <w:r w:rsidR="00F13C74">
        <w:t>náhradní lhůtě do 20 pracovních dnů</w:t>
      </w:r>
      <w:r w:rsidR="00F13C74" w:rsidRPr="00F13C74">
        <w:t xml:space="preserve"> </w:t>
      </w:r>
      <w:r w:rsidR="000B11E0">
        <w:t>ode</w:t>
      </w:r>
      <w:r w:rsidR="00F13C74" w:rsidRPr="00F13C74">
        <w:t xml:space="preserve"> </w:t>
      </w:r>
      <w:r w:rsidR="00F13C74" w:rsidRPr="00774F80">
        <w:t>dne doručení výzvy</w:t>
      </w:r>
      <w:r w:rsidR="00F13C74">
        <w:t xml:space="preserve"> </w:t>
      </w:r>
      <w:r w:rsidR="00432A5A">
        <w:t>příjemci</w:t>
      </w:r>
      <w:r w:rsidR="00F13C74">
        <w:t xml:space="preserve">. </w:t>
      </w:r>
    </w:p>
    <w:p w14:paraId="4B4C1047" w14:textId="7175EF0E" w:rsidR="009514A5" w:rsidRDefault="009514A5" w:rsidP="00C7203C">
      <w:pPr>
        <w:pStyle w:val="2rove"/>
      </w:pPr>
      <w:r>
        <w:t xml:space="preserve">V termínu pro předložení </w:t>
      </w:r>
      <w:r w:rsidR="00553A54">
        <w:t>z</w:t>
      </w:r>
      <w:r>
        <w:t xml:space="preserve">ávěrečné zprávy </w:t>
      </w:r>
      <w:r w:rsidRPr="003D6A1A">
        <w:rPr>
          <w:b/>
        </w:rPr>
        <w:t>dle čl. 4.</w:t>
      </w:r>
      <w:r w:rsidR="00553A54">
        <w:rPr>
          <w:b/>
        </w:rPr>
        <w:t xml:space="preserve">3 </w:t>
      </w:r>
      <w:r w:rsidRPr="003D6A1A">
        <w:rPr>
          <w:b/>
        </w:rPr>
        <w:t>vrátí příjemce nevyčerpané finanční prostředky</w:t>
      </w:r>
      <w:r w:rsidR="00727B14">
        <w:t xml:space="preserve"> na účet poskytovatele.</w:t>
      </w:r>
    </w:p>
    <w:p w14:paraId="258D73FC" w14:textId="77777777" w:rsidR="00CB78A2" w:rsidRDefault="00D64AB1" w:rsidP="00C7203C">
      <w:pPr>
        <w:pStyle w:val="Nadpis1"/>
      </w:pPr>
      <w:r>
        <w:t xml:space="preserve">Podmínky </w:t>
      </w:r>
      <w:r w:rsidRPr="00C7203C">
        <w:t>použití</w:t>
      </w:r>
      <w:r>
        <w:t xml:space="preserve"> dotace</w:t>
      </w:r>
    </w:p>
    <w:p w14:paraId="3EA73F26" w14:textId="77777777" w:rsidR="00D64AB1" w:rsidRDefault="00D64AB1" w:rsidP="00C7203C">
      <w:pPr>
        <w:pStyle w:val="2rove"/>
      </w:pPr>
      <w:r w:rsidRPr="00F70832">
        <w:t>Příjemce je oprávněn použít dotaci pouze k účelu uvedenému v</w:t>
      </w:r>
      <w:r>
        <w:t> </w:t>
      </w:r>
      <w:r w:rsidRPr="00F70832">
        <w:t>č</w:t>
      </w:r>
      <w:r>
        <w:t>l.</w:t>
      </w:r>
      <w:r w:rsidRPr="00F70832">
        <w:t xml:space="preserve"> </w:t>
      </w:r>
      <w:r>
        <w:t>1</w:t>
      </w:r>
      <w:r w:rsidRPr="00F70832">
        <w:t>.</w:t>
      </w:r>
    </w:p>
    <w:p w14:paraId="684D439F" w14:textId="5E101DDD" w:rsidR="00D143CD" w:rsidRPr="00B007CA" w:rsidRDefault="00D64AB1" w:rsidP="0015233F">
      <w:pPr>
        <w:pStyle w:val="2rove"/>
      </w:pPr>
      <w:r w:rsidRPr="00FE3B42">
        <w:rPr>
          <w:b/>
        </w:rPr>
        <w:t xml:space="preserve">Způsobilými </w:t>
      </w:r>
      <w:r w:rsidR="00FE3B42" w:rsidRPr="00FE3B42">
        <w:rPr>
          <w:b/>
        </w:rPr>
        <w:t>náklady</w:t>
      </w:r>
      <w:r w:rsidRPr="00D64AB1">
        <w:t xml:space="preserve"> jsou proplacená plnění, jež souvisejí s účelem, na který je dotace poskytnuta, a vyhovují zásadám účelnosti, efektivnosti a hospodárnosti podle zákona č. 320/2001 Sb., o finanční kontrole, ve znění pozdějších předpisů. </w:t>
      </w:r>
      <w:r w:rsidR="00EA1D72" w:rsidRPr="008E7B6E">
        <w:t xml:space="preserve">Způsobilé </w:t>
      </w:r>
      <w:r w:rsidR="009B032D">
        <w:t>náklady</w:t>
      </w:r>
      <w:r w:rsidR="00EA1D72" w:rsidRPr="008E7B6E">
        <w:t xml:space="preserve"> musí </w:t>
      </w:r>
      <w:r w:rsidR="00FE3B42">
        <w:t xml:space="preserve">být vynaloženy </w:t>
      </w:r>
      <w:r w:rsidR="00EA1D72" w:rsidRPr="008E7B6E">
        <w:t xml:space="preserve">v době </w:t>
      </w:r>
      <w:r w:rsidR="00FE3B42">
        <w:t xml:space="preserve">financování poskytování SOHZ dle čl. 2.1. </w:t>
      </w:r>
    </w:p>
    <w:p w14:paraId="56D64BAD" w14:textId="52628123" w:rsidR="00BD6C23" w:rsidRPr="00BD6C23" w:rsidRDefault="00430948" w:rsidP="00771A67">
      <w:pPr>
        <w:pStyle w:val="2rove"/>
      </w:pPr>
      <w:r w:rsidRPr="003D6A1A">
        <w:rPr>
          <w:b/>
        </w:rPr>
        <w:t xml:space="preserve">Nezpůsobilými </w:t>
      </w:r>
      <w:r w:rsidR="009B032D">
        <w:rPr>
          <w:b/>
        </w:rPr>
        <w:t>náklady</w:t>
      </w:r>
      <w:r>
        <w:t xml:space="preserve"> jsou zejména:</w:t>
      </w:r>
      <w:r w:rsidR="00C93792">
        <w:t xml:space="preserve"> </w:t>
      </w:r>
    </w:p>
    <w:p w14:paraId="4F5307DD" w14:textId="77777777" w:rsidR="00D712E8" w:rsidRDefault="00D712E8" w:rsidP="00D712E8">
      <w:pPr>
        <w:pStyle w:val="3rove-trval"/>
      </w:pPr>
      <w:r w:rsidRPr="00C0563D">
        <w:rPr>
          <w:rFonts w:cs="Arial"/>
          <w:szCs w:val="20"/>
        </w:rPr>
        <w:t>v čase a místě neobvyklé mzdové či platové náklad</w:t>
      </w:r>
      <w:r>
        <w:rPr>
          <w:rFonts w:cs="Arial"/>
          <w:szCs w:val="20"/>
        </w:rPr>
        <w:t>y</w:t>
      </w:r>
      <w:r w:rsidRPr="002F5064">
        <w:rPr>
          <w:i/>
          <w:color w:val="5B9BD5" w:themeColor="accent1"/>
          <w:sz w:val="16"/>
          <w:szCs w:val="16"/>
        </w:rPr>
        <w:t>)</w:t>
      </w:r>
    </w:p>
    <w:p w14:paraId="3F618F30" w14:textId="77777777" w:rsidR="00D712E8" w:rsidRDefault="00D712E8" w:rsidP="00D712E8">
      <w:pPr>
        <w:pStyle w:val="3rove-trval"/>
      </w:pPr>
      <w:r>
        <w:rPr>
          <w:rFonts w:cs="Arial"/>
          <w:szCs w:val="20"/>
        </w:rPr>
        <w:t>náklady</w:t>
      </w:r>
      <w:r w:rsidRPr="008A7F56">
        <w:rPr>
          <w:rFonts w:cs="Arial"/>
          <w:szCs w:val="20"/>
        </w:rPr>
        <w:t xml:space="preserve"> na zaměstnance, ke kterým nejsou zaměstnavatelé povinni dle zvláštních právních předpisů (příspěvky na penzijní/životní pojištění, příspěvky na rekreaci apod.)</w:t>
      </w:r>
      <w:r>
        <w:t>,</w:t>
      </w:r>
    </w:p>
    <w:p w14:paraId="1CBEFF7A" w14:textId="77777777" w:rsidR="00D712E8" w:rsidRDefault="00D712E8" w:rsidP="00D712E8">
      <w:pPr>
        <w:pStyle w:val="3rove-trval"/>
      </w:pPr>
      <w:r w:rsidRPr="00C0563D">
        <w:t>odstupné ve smyslu zákoníku práce</w:t>
      </w:r>
    </w:p>
    <w:p w14:paraId="665BB965" w14:textId="77777777" w:rsidR="00D712E8" w:rsidRDefault="00D712E8" w:rsidP="00D712E8">
      <w:pPr>
        <w:pStyle w:val="3rove-trval"/>
      </w:pPr>
      <w:r w:rsidRPr="00C0563D">
        <w:t>odměny členů statutárních či kontrolních orgánů u příjemce, který je právnickou osobou</w:t>
      </w:r>
    </w:p>
    <w:p w14:paraId="67E43BDE" w14:textId="77777777" w:rsidR="00D712E8" w:rsidRDefault="00D712E8" w:rsidP="00D712E8">
      <w:pPr>
        <w:pStyle w:val="3rove-trval"/>
      </w:pPr>
      <w:r>
        <w:t xml:space="preserve">náklady na </w:t>
      </w:r>
      <w:r w:rsidRPr="008A7F56">
        <w:t xml:space="preserve">školení a kurzy, které nesouvisí s účelem, na který je </w:t>
      </w:r>
      <w:r>
        <w:t>dotace</w:t>
      </w:r>
    </w:p>
    <w:p w14:paraId="39D9AE3B" w14:textId="77777777" w:rsidR="00D712E8" w:rsidRDefault="00D712E8" w:rsidP="00D712E8">
      <w:pPr>
        <w:pStyle w:val="3rove-trval"/>
      </w:pPr>
      <w:r>
        <w:t>peněžní a věcné dary</w:t>
      </w:r>
    </w:p>
    <w:p w14:paraId="6EFDED90" w14:textId="77777777" w:rsidR="00D712E8" w:rsidRDefault="00D712E8" w:rsidP="00D712E8">
      <w:pPr>
        <w:pStyle w:val="3rove-trval"/>
      </w:pPr>
      <w:r>
        <w:t>úhrada ztrát z minulých let</w:t>
      </w:r>
    </w:p>
    <w:p w14:paraId="1E8FAF3E" w14:textId="77777777" w:rsidR="00D712E8" w:rsidRDefault="00D712E8" w:rsidP="00D712E8">
      <w:pPr>
        <w:pStyle w:val="3rove-trval"/>
      </w:pPr>
      <w:r>
        <w:t>tvorba rezerv</w:t>
      </w:r>
    </w:p>
    <w:p w14:paraId="09428FCE" w14:textId="77777777" w:rsidR="00D712E8" w:rsidRDefault="00D712E8" w:rsidP="00D712E8">
      <w:pPr>
        <w:pStyle w:val="3rove-trval"/>
      </w:pPr>
      <w:r>
        <w:t>tvorba kapitálového jmění (zisku)</w:t>
      </w:r>
    </w:p>
    <w:p w14:paraId="599380BD" w14:textId="77777777" w:rsidR="00D712E8" w:rsidRDefault="00D712E8" w:rsidP="00D712E8">
      <w:pPr>
        <w:pStyle w:val="3rove-trval"/>
      </w:pPr>
      <w:r>
        <w:t>úhrada cestovních náhrad nad rámec vymezený zákonem č. 262/2006 Sb., zákoník práce, ve znění pozdějších předpisů</w:t>
      </w:r>
    </w:p>
    <w:p w14:paraId="0ABEC7A0" w14:textId="77777777" w:rsidR="00D712E8" w:rsidRDefault="00D712E8" w:rsidP="00D712E8">
      <w:pPr>
        <w:pStyle w:val="3rove-trval"/>
      </w:pPr>
      <w:r>
        <w:t>dotace jiným fyzickým či právnickým osobám</w:t>
      </w:r>
    </w:p>
    <w:p w14:paraId="53FD0D5B" w14:textId="77777777" w:rsidR="00D712E8" w:rsidRDefault="00D712E8" w:rsidP="00D712E8">
      <w:pPr>
        <w:pStyle w:val="3rove-trval"/>
      </w:pPr>
      <w:r>
        <w:t>poskytování úvěrů, půjček či návratných finančních výpomocí</w:t>
      </w:r>
    </w:p>
    <w:p w14:paraId="2DF639CC" w14:textId="77777777" w:rsidR="00D712E8" w:rsidRDefault="00D712E8" w:rsidP="00D712E8">
      <w:pPr>
        <w:pStyle w:val="3rove-trval"/>
      </w:pPr>
      <w:r w:rsidRPr="00566C2C">
        <w:lastRenderedPageBreak/>
        <w:t>dlužný úrok, pokuty a finanční sankce</w:t>
      </w:r>
    </w:p>
    <w:p w14:paraId="5A140380" w14:textId="77777777" w:rsidR="00D712E8" w:rsidRDefault="00D712E8" w:rsidP="00D712E8">
      <w:pPr>
        <w:pStyle w:val="3rove-trval"/>
      </w:pPr>
      <w:r>
        <w:t>úhrada mank a náhrad škod</w:t>
      </w:r>
    </w:p>
    <w:p w14:paraId="4CD72EC6" w14:textId="77777777" w:rsidR="00D712E8" w:rsidRDefault="00D712E8" w:rsidP="00D712E8">
      <w:pPr>
        <w:pStyle w:val="3rove-trval"/>
      </w:pPr>
      <w:r>
        <w:t>odpisy majetku</w:t>
      </w:r>
    </w:p>
    <w:p w14:paraId="762A43A2" w14:textId="77777777" w:rsidR="00D712E8" w:rsidRDefault="00D712E8" w:rsidP="00D712E8">
      <w:pPr>
        <w:pStyle w:val="3rove-trval"/>
      </w:pPr>
      <w:r>
        <w:t xml:space="preserve"> výdaje na rekondiční a rekreační pobyty</w:t>
      </w:r>
    </w:p>
    <w:p w14:paraId="4E7198A9" w14:textId="77777777" w:rsidR="00D712E8" w:rsidRDefault="00D712E8" w:rsidP="00D712E8">
      <w:pPr>
        <w:pStyle w:val="3rove-trval"/>
      </w:pPr>
      <w:r>
        <w:t>účetně nedoložitelné výdaje</w:t>
      </w:r>
    </w:p>
    <w:p w14:paraId="76FA5A24" w14:textId="77777777" w:rsidR="00D712E8" w:rsidRDefault="00D712E8" w:rsidP="00D712E8">
      <w:pPr>
        <w:pStyle w:val="3rove-trval"/>
      </w:pPr>
      <w:r>
        <w:t>úhrada směnek</w:t>
      </w:r>
    </w:p>
    <w:p w14:paraId="7D61139B" w14:textId="77777777" w:rsidR="00D712E8" w:rsidRDefault="00D712E8" w:rsidP="00D712E8">
      <w:pPr>
        <w:pStyle w:val="3rove-trval"/>
      </w:pPr>
      <w:r>
        <w:t>akontace leasingu, leasingové splátky</w:t>
      </w:r>
    </w:p>
    <w:p w14:paraId="103A1D51" w14:textId="77777777" w:rsidR="00D712E8" w:rsidRDefault="00D712E8" w:rsidP="00D712E8">
      <w:pPr>
        <w:pStyle w:val="3rove-trval"/>
      </w:pPr>
      <w:r>
        <w:t>převod podílu na výsledku hospodaření společníkům</w:t>
      </w:r>
    </w:p>
    <w:p w14:paraId="5FB8B083" w14:textId="28011074" w:rsidR="00BD6C23" w:rsidRDefault="00BD6C23" w:rsidP="00D712E8">
      <w:pPr>
        <w:pStyle w:val="3rove-trval"/>
        <w:numPr>
          <w:ilvl w:val="0"/>
          <w:numId w:val="0"/>
        </w:numPr>
        <w:ind w:left="1304"/>
      </w:pPr>
    </w:p>
    <w:p w14:paraId="34A8F332" w14:textId="349E6902" w:rsidR="00963551" w:rsidRDefault="003117ED" w:rsidP="003117ED">
      <w:pPr>
        <w:pStyle w:val="2rove"/>
      </w:pPr>
      <w:r w:rsidRPr="00C0563D">
        <w:rPr>
          <w:rFonts w:cs="Arial"/>
        </w:rPr>
        <w:t>Příjemce je povinen vést pro každou SOHZ oddělenou účetní evidenci a výkaznictví, a to od zahájení poskytování SOHZ. Musí být jednoznačně prokazatelné, zda konkrétní náklady nebo příjem je vykazován na podporovanou SOHZ a skutečně odpovídá charakteru SOHZ. Subjekty, které vedou daňovou evidenci v souladu se zákonem č. 586/1992 Sb., o daních z příjmů, ve znění pozdějších předpisů, jsou povinny použít jiný prokazatelný způsob vedení evidence o finančních tocích SOHZ. Doklady prokazující využití vyrovnávací platby musí být viditelně označeny „</w:t>
      </w:r>
      <w:r w:rsidRPr="003117ED">
        <w:rPr>
          <w:rFonts w:cs="Arial"/>
          <w:b/>
        </w:rPr>
        <w:t>Dotace ZK</w:t>
      </w:r>
      <w:r w:rsidRPr="00C0563D">
        <w:rPr>
          <w:rFonts w:cs="Arial"/>
        </w:rPr>
        <w:t>“ (označeny musí být již originály dokladů). Příjemce je povinen umožnit poskytovateli na základě jeho požadavku provedení kontroly všech prvotních účetních dokladů za účelem prověření předloženého vyúčtování SOHZ. Zlínský kraj bude vykonávat u příjemce kontrolu vyplývající ze zákona č. 320/2001 Sb., o finanční kontrole, ve znění pozdějších předpisů.</w:t>
      </w:r>
      <w:r w:rsidRPr="003117ED">
        <w:rPr>
          <w:rStyle w:val="Kvbruaodstrann"/>
        </w:rPr>
        <w:t xml:space="preserve"> </w:t>
      </w:r>
    </w:p>
    <w:p w14:paraId="646D8E6C" w14:textId="0E2B780B" w:rsidR="00B24D28" w:rsidRDefault="00B24D28" w:rsidP="00963551">
      <w:pPr>
        <w:pStyle w:val="2rove"/>
      </w:pPr>
      <w:r w:rsidRPr="00A103DD">
        <w:t>Ustanovení o dani z přidané hodnoty</w:t>
      </w:r>
      <w:r>
        <w:t xml:space="preserve"> (dále jen „</w:t>
      </w:r>
      <w:r w:rsidRPr="00641673">
        <w:rPr>
          <w:b/>
        </w:rPr>
        <w:t>DPH</w:t>
      </w:r>
      <w:r>
        <w:t>“)</w:t>
      </w:r>
      <w:r w:rsidRPr="00A103DD">
        <w:t xml:space="preserve"> dle zákona č. 235/2004 </w:t>
      </w:r>
      <w:r w:rsidR="004B6331">
        <w:t>Sb., o dani z</w:t>
      </w:r>
      <w:r w:rsidR="002321A0">
        <w:t> </w:t>
      </w:r>
      <w:r w:rsidR="004B6331">
        <w:t>přidané hodnoty, ve znění pozdějších předpisů (dále jen „</w:t>
      </w:r>
      <w:r w:rsidR="004B6331" w:rsidRPr="00641673">
        <w:rPr>
          <w:b/>
        </w:rPr>
        <w:t>zákon o DPH</w:t>
      </w:r>
      <w:r w:rsidR="004B6331">
        <w:t>“)</w:t>
      </w:r>
      <w:r>
        <w:t>:</w:t>
      </w:r>
    </w:p>
    <w:p w14:paraId="59FDC343" w14:textId="13D7D906" w:rsidR="00B24D28" w:rsidRDefault="00B24D28" w:rsidP="00C37053">
      <w:pPr>
        <w:pStyle w:val="3rove-trval"/>
      </w:pPr>
      <w:r w:rsidRPr="00A103DD">
        <w:t xml:space="preserve">DPH je pro příjemce způsobilým </w:t>
      </w:r>
      <w:r w:rsidR="00794BBB">
        <w:t>nákladem</w:t>
      </w:r>
      <w:r w:rsidRPr="00A103DD">
        <w:t>, pokud příjemce není plátcem DPH nebo příjemci nevzniká nárok na odpočet DPH</w:t>
      </w:r>
      <w:r>
        <w:t>;</w:t>
      </w:r>
    </w:p>
    <w:p w14:paraId="7738CF1B" w14:textId="4E4C44F4" w:rsidR="00B24D28" w:rsidRDefault="00B24D28" w:rsidP="00C37053">
      <w:pPr>
        <w:pStyle w:val="3rove-trval"/>
      </w:pPr>
      <w:r>
        <w:t>v</w:t>
      </w:r>
      <w:r w:rsidRPr="00A103DD">
        <w:t xml:space="preserve"> případě, že </w:t>
      </w:r>
      <w:r w:rsidR="00794BBB">
        <w:t xml:space="preserve">náklady </w:t>
      </w:r>
      <w:r w:rsidRPr="00A103DD">
        <w:t xml:space="preserve">projektu jsou způsobilými </w:t>
      </w:r>
      <w:r w:rsidR="00794BBB">
        <w:t xml:space="preserve">náklady </w:t>
      </w:r>
      <w:r w:rsidRPr="00A103DD">
        <w:t xml:space="preserve">pouze z části, pak je DPH způsobilým </w:t>
      </w:r>
      <w:r w:rsidR="00794BBB">
        <w:t xml:space="preserve">nákladem </w:t>
      </w:r>
      <w:r w:rsidRPr="00A103DD">
        <w:t>ze stejné části</w:t>
      </w:r>
      <w:r>
        <w:t>;</w:t>
      </w:r>
    </w:p>
    <w:p w14:paraId="596E42FB" w14:textId="29A7BAA1" w:rsidR="00B24D28" w:rsidRDefault="00B24D28" w:rsidP="00C37053">
      <w:pPr>
        <w:pStyle w:val="3rove-trval"/>
      </w:pPr>
      <w:r>
        <w:t>p</w:t>
      </w:r>
      <w:r w:rsidRPr="00A103DD">
        <w:t xml:space="preserve">okud má příjemce nárok na odpočet v poměrné části nebo dle koeficientu, bude způsobilým </w:t>
      </w:r>
      <w:r w:rsidR="00794BBB">
        <w:t xml:space="preserve">nákladem </w:t>
      </w:r>
      <w:r w:rsidRPr="00A103DD">
        <w:t>část oprávněně neuplatněné DPH</w:t>
      </w:r>
      <w:r>
        <w:t>;</w:t>
      </w:r>
    </w:p>
    <w:p w14:paraId="760C80E8" w14:textId="5ED48878" w:rsidR="00B24D28" w:rsidRDefault="00B24D28" w:rsidP="00C37053">
      <w:pPr>
        <w:pStyle w:val="3rove-trval"/>
      </w:pPr>
      <w:r>
        <w:t>v</w:t>
      </w:r>
      <w:r w:rsidRPr="00A103DD">
        <w:t xml:space="preserve"> případě, že před předložením </w:t>
      </w:r>
      <w:r w:rsidR="00794BBB">
        <w:t>z</w:t>
      </w:r>
      <w:r w:rsidRPr="00A103DD">
        <w:t xml:space="preserve">ávěrečné zprávy dojde ke změně nároku na odpočet, musí příjemce tuto skutečnost promítnout do </w:t>
      </w:r>
      <w:r w:rsidR="00794BBB">
        <w:t>z</w:t>
      </w:r>
      <w:r w:rsidRPr="00A103DD">
        <w:t xml:space="preserve">ávěrečné zprávy. Způsobilým </w:t>
      </w:r>
      <w:r w:rsidR="00794BBB">
        <w:t xml:space="preserve">nákladem </w:t>
      </w:r>
      <w:r w:rsidRPr="00A103DD">
        <w:t>je pak pouze oprávněně neuplatněná DPH</w:t>
      </w:r>
      <w:r>
        <w:t>;</w:t>
      </w:r>
    </w:p>
    <w:p w14:paraId="58BA296F" w14:textId="259974C9" w:rsidR="00B24D28" w:rsidRDefault="00B24D28" w:rsidP="00C37053">
      <w:pPr>
        <w:pStyle w:val="3rove-trval"/>
      </w:pPr>
      <w:r>
        <w:t>p</w:t>
      </w:r>
      <w:r w:rsidRPr="00A103DD">
        <w:t xml:space="preserve">okud příjemce není plátcem DPH, </w:t>
      </w:r>
      <w:r w:rsidR="00794BBB">
        <w:t>ale stane se jím po předložení z</w:t>
      </w:r>
      <w:r w:rsidRPr="00A103DD">
        <w:t>ávěrečné zprávy, a</w:t>
      </w:r>
      <w:r w:rsidR="002321A0">
        <w:t> </w:t>
      </w:r>
      <w:r w:rsidRPr="00A103DD">
        <w:t xml:space="preserve">vznikne mu ve vztahu ke způsobilým </w:t>
      </w:r>
      <w:r w:rsidR="00794BBB">
        <w:t xml:space="preserve">nákladům </w:t>
      </w:r>
      <w:r w:rsidRPr="00A103DD">
        <w:t>nárok na uplatnění odpočtu DPH, je povinen tuto skutečnost neprodleně oznámit poskytovateli a do 30 dnů od podání přiznání k DPH, v němž si nárokuje odpočet, částku DPH vrátit na účet poskytovatele</w:t>
      </w:r>
      <w:r>
        <w:t>;</w:t>
      </w:r>
    </w:p>
    <w:p w14:paraId="78D4698D" w14:textId="67B8E6BE" w:rsidR="00B24D28" w:rsidRDefault="00B24D28" w:rsidP="00C37053">
      <w:pPr>
        <w:pStyle w:val="3rove-trval"/>
      </w:pPr>
      <w:r>
        <w:t>j</w:t>
      </w:r>
      <w:r w:rsidRPr="00A103DD">
        <w:t>estliže se příjemce stane plátcem DPH v</w:t>
      </w:r>
      <w:r w:rsidR="003042E9">
        <w:t> </w:t>
      </w:r>
      <w:r w:rsidRPr="00A103DD">
        <w:t>průběhu</w:t>
      </w:r>
      <w:r w:rsidR="003042E9">
        <w:t xml:space="preserve"> doby</w:t>
      </w:r>
      <w:r w:rsidR="00794BBB">
        <w:t>, v níž je poskytování SOHZ financováno</w:t>
      </w:r>
      <w:r w:rsidRPr="00A103DD">
        <w:t>, je povinen tuto skutečnost</w:t>
      </w:r>
      <w:r w:rsidR="00A75A68">
        <w:t xml:space="preserve"> </w:t>
      </w:r>
      <w:r w:rsidR="000B11E0">
        <w:t xml:space="preserve">nejpozději se závěrečnou zprávou </w:t>
      </w:r>
      <w:r w:rsidR="00760945">
        <w:t xml:space="preserve">oznámit </w:t>
      </w:r>
      <w:r w:rsidR="00A75A68">
        <w:t>poskytovateli</w:t>
      </w:r>
      <w:r>
        <w:t>;</w:t>
      </w:r>
    </w:p>
    <w:p w14:paraId="4B876FB0" w14:textId="31B11792" w:rsidR="00963551" w:rsidRDefault="00B24D28" w:rsidP="00963551">
      <w:pPr>
        <w:pStyle w:val="3rove-trval"/>
      </w:pPr>
      <w:r>
        <w:t>v</w:t>
      </w:r>
      <w:r w:rsidRPr="00A103DD">
        <w:t xml:space="preserve"> případech, kdy je příjemce plátcem DPH a dotace bude použita v rámci ekonomické činnosti pro úhradu </w:t>
      </w:r>
      <w:r w:rsidR="00794BBB">
        <w:t xml:space="preserve">nákladů </w:t>
      </w:r>
      <w:r w:rsidRPr="00A103DD">
        <w:t xml:space="preserve">z titulu plnění, pro které je plátce povinen použít režim přenesení daňové povinnosti dle zákona </w:t>
      </w:r>
      <w:r w:rsidR="004B6331">
        <w:t>o DPH</w:t>
      </w:r>
      <w:r w:rsidRPr="00A103DD">
        <w:t xml:space="preserve">, a </w:t>
      </w:r>
      <w:r w:rsidR="0058284A">
        <w:t>DPH</w:t>
      </w:r>
      <w:r w:rsidRPr="00A103DD">
        <w:t xml:space="preserve"> je způsobilým </w:t>
      </w:r>
      <w:r w:rsidR="00794BBB">
        <w:t>nákladem</w:t>
      </w:r>
      <w:r w:rsidRPr="00A103DD">
        <w:t xml:space="preserve">,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05CC8A8" w14:textId="4F402270" w:rsidR="00B64E1E" w:rsidRDefault="00CD2C76" w:rsidP="00963551">
      <w:pPr>
        <w:pStyle w:val="2rove"/>
      </w:pPr>
      <w:r w:rsidRPr="00AC7A82">
        <w:t>U veřejné zakázky, která podléhá zákonu č. 134/2016 Sb., o zadávání veřejných zakázek, ve znění pozdějších předpisů, je příjemce povinen při výběru dodavatelů, kteří se budou podílet na</w:t>
      </w:r>
      <w:r w:rsidR="00794BBB" w:rsidRPr="00C0563D">
        <w:rPr>
          <w:rFonts w:cs="Arial"/>
        </w:rPr>
        <w:t xml:space="preserve"> poskytování SOHZ</w:t>
      </w:r>
      <w:r w:rsidRPr="00AC7A82">
        <w:t>,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r>
        <w:t>.</w:t>
      </w:r>
    </w:p>
    <w:p w14:paraId="25FA9519" w14:textId="7ABB2AA4" w:rsidR="00FC2E44" w:rsidRDefault="00610168" w:rsidP="00C37053">
      <w:pPr>
        <w:pStyle w:val="2rove"/>
      </w:pPr>
      <w:r w:rsidRPr="00AC7A82">
        <w:t>Příjemce je povinen do 15 dnů oznámit poskytovateli vstup právnické osoby do likvidace, zahájení insolvenčního řízení, exekučního řízení, či řízení o výkonu rozhodnutí</w:t>
      </w:r>
      <w:r>
        <w:t xml:space="preserve">. </w:t>
      </w:r>
      <w:r w:rsidR="00FC2E44">
        <w:t xml:space="preserve">Příjemce je povinen oznámit poskytovateli přeměnu právnické osoby do 15 dnů ode dne rozhodnutí příslušného orgánu. </w:t>
      </w:r>
    </w:p>
    <w:p w14:paraId="1936A6D1" w14:textId="77777777" w:rsidR="00FC2E44" w:rsidRDefault="00FC2E44" w:rsidP="00C37053">
      <w:pPr>
        <w:pStyle w:val="2rove"/>
      </w:pPr>
      <w:r>
        <w:t xml:space="preserve"> </w:t>
      </w:r>
      <w:r w:rsidR="00A233FD">
        <w:t>Příjemce je dále povinen:</w:t>
      </w:r>
    </w:p>
    <w:p w14:paraId="60AA6562" w14:textId="77777777" w:rsidR="00A233FD" w:rsidRDefault="00A233FD" w:rsidP="00C37053">
      <w:pPr>
        <w:pStyle w:val="3rove-trval"/>
      </w:pPr>
      <w:r>
        <w:t>zajistit, aby všechny údaje, které uvádí poskytovateli, byly vždy úplné a pravdivé,</w:t>
      </w:r>
    </w:p>
    <w:p w14:paraId="0400490E" w14:textId="1946826D" w:rsidR="00A233FD" w:rsidRDefault="00BD6C23" w:rsidP="00C37053">
      <w:pPr>
        <w:pStyle w:val="3rove-trval"/>
      </w:pPr>
      <w:r>
        <w:lastRenderedPageBreak/>
        <w:t>zabezpečit archivaci veškeré dokumentace k </w:t>
      </w:r>
      <w:r w:rsidR="00794BBB">
        <w:t>SOHZ</w:t>
      </w:r>
      <w:r>
        <w:t xml:space="preserve"> včetně účetnictví o </w:t>
      </w:r>
      <w:r w:rsidR="00794BBB">
        <w:t>SOHZ</w:t>
      </w:r>
      <w:r>
        <w:t xml:space="preserve"> po dobu 10 let </w:t>
      </w:r>
      <w:r w:rsidR="00F82245">
        <w:t xml:space="preserve">ode dne </w:t>
      </w:r>
      <w:r w:rsidR="00F82245" w:rsidRPr="00B007CA">
        <w:t xml:space="preserve">ukončení doby </w:t>
      </w:r>
      <w:r w:rsidR="00794BBB">
        <w:t xml:space="preserve">poskytování SOHZ dle </w:t>
      </w:r>
      <w:r w:rsidR="00794BBB" w:rsidRPr="00794BBB">
        <w:rPr>
          <w:b/>
        </w:rPr>
        <w:t>pověření</w:t>
      </w:r>
      <w:r w:rsidR="00794BBB" w:rsidRPr="00794BBB">
        <w:t>,</w:t>
      </w:r>
    </w:p>
    <w:p w14:paraId="19FF5982" w14:textId="14317E4B" w:rsidR="00A233FD" w:rsidRDefault="00A233FD" w:rsidP="00C37053">
      <w:pPr>
        <w:pStyle w:val="3rove-trval"/>
      </w:pPr>
      <w:r>
        <w:t xml:space="preserve">dohodnout s dodavateli v rámci </w:t>
      </w:r>
      <w:r w:rsidR="00794BBB">
        <w:t xml:space="preserve">poskytování SOHZ </w:t>
      </w:r>
      <w:r>
        <w:t xml:space="preserve">fakturační podmínky tak, aby byla doložena účelovost faktur včetně specifikace jednotlivých </w:t>
      </w:r>
      <w:r w:rsidR="00794BBB">
        <w:t>nákladů</w:t>
      </w:r>
      <w:r>
        <w:t>,</w:t>
      </w:r>
    </w:p>
    <w:p w14:paraId="2EB9C248" w14:textId="5A94E38B" w:rsidR="00CB78A2" w:rsidRDefault="00357941" w:rsidP="00C37053">
      <w:pPr>
        <w:pStyle w:val="Nadpis1"/>
      </w:pPr>
      <w:r w:rsidRPr="00C37053">
        <w:t>Sankce</w:t>
      </w:r>
    </w:p>
    <w:p w14:paraId="275F0AF7" w14:textId="04377C2B" w:rsidR="00D64AB1" w:rsidRDefault="00D64AB1" w:rsidP="00C37053">
      <w:pPr>
        <w:pStyle w:val="2rove"/>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w:t>
      </w:r>
      <w:r w:rsidR="001E22BF" w:rsidRPr="00641673">
        <w:rPr>
          <w:b/>
        </w:rPr>
        <w:t>zákon o rozpočtových pravidlech územních rozpočtů</w:t>
      </w:r>
      <w:r w:rsidR="001E22BF">
        <w:t>“)</w:t>
      </w:r>
      <w:r>
        <w:t>.</w:t>
      </w:r>
    </w:p>
    <w:p w14:paraId="57785EFB" w14:textId="2F822B19" w:rsidR="002D215A" w:rsidRPr="00C61735" w:rsidRDefault="002D215A"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3FE0B0CE" w14:textId="77777777" w:rsidR="002D215A" w:rsidRDefault="002D215A" w:rsidP="00C37053">
      <w:pPr>
        <w:pStyle w:val="3rove-trval"/>
      </w:pPr>
      <w:r>
        <w:t>příjemce nedodrží účel dotace,</w:t>
      </w:r>
    </w:p>
    <w:p w14:paraId="29EB9EB6" w14:textId="0607C1B7" w:rsidR="002D215A" w:rsidRPr="00D11E31" w:rsidRDefault="002D215A" w:rsidP="00C37053">
      <w:pPr>
        <w:pStyle w:val="3rove-trval"/>
      </w:pPr>
      <w:r w:rsidRPr="00D11E31">
        <w:t xml:space="preserve">příjemce </w:t>
      </w:r>
      <w:r>
        <w:t xml:space="preserve">vůbec </w:t>
      </w:r>
      <w:r w:rsidRPr="00D11E31">
        <w:t xml:space="preserve">nedoloží úhrady </w:t>
      </w:r>
      <w:r w:rsidR="009B032D">
        <w:t>nákladů</w:t>
      </w:r>
      <w:r w:rsidRPr="00D11E31">
        <w:t>,</w:t>
      </w:r>
    </w:p>
    <w:p w14:paraId="4F3477B8" w14:textId="12A5FCEE" w:rsidR="002D215A" w:rsidRPr="00D11E31" w:rsidRDefault="002D215A" w:rsidP="00C37053">
      <w:pPr>
        <w:pStyle w:val="3rove-trval"/>
      </w:pPr>
      <w:r w:rsidRPr="00D11E31">
        <w:t>dojde k podstatnému nenaplnění monit</w:t>
      </w:r>
      <w:r>
        <w:t>orovacího indikátoru dle čl. 3.</w:t>
      </w:r>
      <w:r w:rsidR="003C70F7">
        <w:t>2</w:t>
      </w:r>
      <w:r w:rsidR="00472255">
        <w:t xml:space="preserve"> </w:t>
      </w:r>
    </w:p>
    <w:p w14:paraId="2AE1B240" w14:textId="1C9B0457" w:rsidR="002D215A" w:rsidRPr="00D11E31" w:rsidRDefault="002D215A" w:rsidP="00C37053">
      <w:pPr>
        <w:pStyle w:val="3rove-trval"/>
      </w:pPr>
      <w:r w:rsidRPr="00D11E31">
        <w:t xml:space="preserve">příjemce nepředloží </w:t>
      </w:r>
      <w:r w:rsidR="007E7130">
        <w:t>z</w:t>
      </w:r>
      <w:r w:rsidRPr="00D11E31">
        <w:t>ávěrečnou zprávu ani ve lhůtě 30 pracovních dní po uplyn</w:t>
      </w:r>
      <w:r w:rsidR="00472255">
        <w:t>utí lhůty dle čl. 4.3</w:t>
      </w:r>
      <w:r w:rsidRPr="00D11E31">
        <w:t>,</w:t>
      </w:r>
    </w:p>
    <w:p w14:paraId="2F800403" w14:textId="77777777" w:rsidR="002D215A" w:rsidRDefault="002D215A" w:rsidP="00C37053">
      <w:pPr>
        <w:pStyle w:val="3rove-trval"/>
      </w:pPr>
      <w:r w:rsidRPr="00D11E31">
        <w:t>příjemce poruší povinnost dle čl. 5.7 nebo 5.8,</w:t>
      </w:r>
    </w:p>
    <w:p w14:paraId="1E26630F" w14:textId="7896F6F8" w:rsidR="00B60582" w:rsidRPr="00D11E31" w:rsidRDefault="00B60582"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Pr="00B60582">
        <w:rPr>
          <w:b/>
        </w:rPr>
        <w:t xml:space="preserve"> </w:t>
      </w:r>
      <w:r w:rsidRPr="00B43670">
        <w:rPr>
          <w:b/>
        </w:rPr>
        <w:t>ve výši</w:t>
      </w:r>
      <w:r>
        <w:rPr>
          <w:b/>
        </w:rPr>
        <w:t xml:space="preserve"> neoprávněně použitých nebo zadržených peněžních prostředků</w:t>
      </w:r>
      <w:r w:rsidRPr="00D262BB">
        <w:t>, se považuje zejména</w:t>
      </w:r>
      <w:r>
        <w:t xml:space="preserve"> pokud:</w:t>
      </w:r>
    </w:p>
    <w:p w14:paraId="48FC3C99" w14:textId="1D05EABB" w:rsidR="002D215A" w:rsidRDefault="002D215A" w:rsidP="00C37053">
      <w:pPr>
        <w:pStyle w:val="3rove-trval"/>
        <w:rPr>
          <w:i/>
        </w:rPr>
      </w:pPr>
      <w:r>
        <w:t xml:space="preserve">příjemce neodstraní nedostatky v předložené </w:t>
      </w:r>
      <w:r w:rsidR="001F53B9">
        <w:t xml:space="preserve">závěrečné </w:t>
      </w:r>
      <w:r>
        <w:t>zprávě ani v náhradní lhůtě dle čl. 4.</w:t>
      </w:r>
      <w:r w:rsidR="00472255">
        <w:t>5</w:t>
      </w:r>
      <w:r>
        <w:t>, výše odvodu se v tomto případě rovná výši neoprávněně použitých nebo zadržených peněžních prostředků,</w:t>
      </w:r>
    </w:p>
    <w:p w14:paraId="0FAD8FD4" w14:textId="22D7C146" w:rsidR="002D215A" w:rsidRPr="00C61735" w:rsidRDefault="000D31A2" w:rsidP="00C37053">
      <w:pPr>
        <w:pStyle w:val="3rove-trval"/>
      </w:pPr>
      <w:r>
        <w:t>příjemce v rozporu s čl. 5</w:t>
      </w:r>
      <w:r w:rsidR="00582FA9">
        <w:t>.2 uhradí náklady později než v době, kdy je poskytování SOHZ financováno dle čl. 2.1</w:t>
      </w:r>
      <w:r w:rsidR="007C2258">
        <w:t xml:space="preserve">. Za toto </w:t>
      </w:r>
      <w:r w:rsidR="00EB1154">
        <w:t>porušení bude</w:t>
      </w:r>
      <w:r w:rsidR="002D215A">
        <w:t xml:space="preserve"> příjemci uložen odvod ve výši takto opožděně uhrazené částky způsobilých </w:t>
      </w:r>
      <w:r w:rsidR="00582FA9">
        <w:t>nákladů</w:t>
      </w:r>
      <w:r w:rsidR="002D215A">
        <w:t>.</w:t>
      </w:r>
      <w:r w:rsidR="006120A4">
        <w:t xml:space="preserve"> </w:t>
      </w:r>
    </w:p>
    <w:p w14:paraId="60273C9A" w14:textId="486BBB7D" w:rsidR="008D0B91" w:rsidRDefault="00357941" w:rsidP="00BE1E84">
      <w:pPr>
        <w:pStyle w:val="2rove"/>
      </w:pPr>
      <w:r>
        <w:t>O</w:t>
      </w:r>
      <w:r w:rsidR="00077168">
        <w:t xml:space="preserve"> </w:t>
      </w:r>
      <w:r w:rsidR="00077168" w:rsidRPr="00582FA9">
        <w:rPr>
          <w:b/>
        </w:rPr>
        <w:t>méně závažné</w:t>
      </w:r>
      <w:r w:rsidRPr="00582FA9">
        <w:rPr>
          <w:b/>
        </w:rPr>
        <w:t xml:space="preserve"> porušení</w:t>
      </w:r>
      <w:r>
        <w:t xml:space="preserve"> rozpočtové kázně dle § 22 zákona </w:t>
      </w:r>
      <w:r w:rsidR="001E22BF">
        <w:t>o rozpočtových pravidlech územních rozpočtů</w:t>
      </w:r>
      <w:r>
        <w:t xml:space="preserve">, za které bude příjemci uložen snížený </w:t>
      </w:r>
      <w:r w:rsidRPr="00582FA9">
        <w:rPr>
          <w:b/>
        </w:rPr>
        <w:t xml:space="preserve">odvod ve výši </w:t>
      </w:r>
      <w:r w:rsidR="008D0B91" w:rsidRPr="00582FA9">
        <w:rPr>
          <w:b/>
        </w:rPr>
        <w:t>5</w:t>
      </w:r>
      <w:r w:rsidRPr="00582FA9">
        <w:rPr>
          <w:b/>
        </w:rPr>
        <w:t xml:space="preserve"> %</w:t>
      </w:r>
      <w:r>
        <w:t xml:space="preserve"> z poskytnuté dotace</w:t>
      </w:r>
      <w:r w:rsidR="008D0B91">
        <w:t>,</w:t>
      </w:r>
      <w:r w:rsidR="00077168">
        <w:t xml:space="preserve"> se jedná v případě, kdy</w:t>
      </w:r>
      <w:r w:rsidR="00582FA9">
        <w:t xml:space="preserve"> </w:t>
      </w:r>
      <w:r w:rsidR="007E7130">
        <w:t>příjemce předloží z</w:t>
      </w:r>
      <w:r w:rsidR="00485683">
        <w:t xml:space="preserve">ávěrečnou zprávu </w:t>
      </w:r>
      <w:r w:rsidR="004D67D0">
        <w:t xml:space="preserve">ve lhůtě </w:t>
      </w:r>
      <w:r w:rsidR="009954FF">
        <w:t xml:space="preserve">do </w:t>
      </w:r>
      <w:r w:rsidR="004D67D0">
        <w:t>30 pracovních d</w:t>
      </w:r>
      <w:r w:rsidR="00582FA9">
        <w:t>ní po uplynutí lhůty dle čl. 4.3</w:t>
      </w:r>
      <w:r w:rsidR="008D0B91">
        <w:t>,</w:t>
      </w:r>
    </w:p>
    <w:p w14:paraId="72C5316E" w14:textId="77F0BCE4" w:rsidR="00F50470" w:rsidRDefault="004D7E38" w:rsidP="001A5CBA">
      <w:pPr>
        <w:pStyle w:val="2rove"/>
      </w:pPr>
      <w:r>
        <w:t xml:space="preserve">O </w:t>
      </w:r>
      <w:r w:rsidRPr="00F71788">
        <w:rPr>
          <w:b/>
        </w:rPr>
        <w:t>méně závažné porušení</w:t>
      </w:r>
      <w:r>
        <w:t xml:space="preserve"> rozpočtové kázně dle § 22 zákona o rozpočtových pravidlech územních rozpočtů, </w:t>
      </w:r>
      <w:r w:rsidR="00F50470">
        <w:t>se</w:t>
      </w:r>
      <w:r w:rsidR="0056114B">
        <w:t xml:space="preserve"> dále</w:t>
      </w:r>
      <w:r w:rsidR="00F50470">
        <w:t xml:space="preserve"> jedná v případě, kdy</w:t>
      </w:r>
      <w:r w:rsidR="00F71788">
        <w:t xml:space="preserve"> </w:t>
      </w:r>
      <w:r w:rsidR="00F50470">
        <w:t xml:space="preserve">příjemce odstraní nedostatky či nesrovnalosti v závěrečné zprávě </w:t>
      </w:r>
      <w:r w:rsidR="00582FA9">
        <w:t>až v náhradní lhůtě dle čl. 4.5</w:t>
      </w:r>
      <w:r w:rsidR="00C276DF">
        <w:t>. Příjemci bude uložen snížený odvod ve výši</w:t>
      </w:r>
      <w:r w:rsidR="00F50470">
        <w:t xml:space="preserve"> 5 % z částky dotace, které se týkaly odstran</w:t>
      </w:r>
      <w:r w:rsidR="00C276DF">
        <w:t>ěné nedostatky či nesrovnalosti;</w:t>
      </w:r>
      <w:r w:rsidR="00F50470">
        <w:t xml:space="preserve"> pokud takový rozsah nelze stanovit, bude</w:t>
      </w:r>
      <w:r w:rsidR="00C276DF">
        <w:t xml:space="preserve"> mu</w:t>
      </w:r>
      <w:r w:rsidR="00F50470">
        <w:t xml:space="preserve"> uložen odvod ve výši 5% ze schválené dotace, </w:t>
      </w:r>
    </w:p>
    <w:p w14:paraId="55CF5BFB" w14:textId="2E018DC1" w:rsidR="005B3156" w:rsidRDefault="005B3156" w:rsidP="00C37053">
      <w:pPr>
        <w:pStyle w:val="2rove"/>
      </w:pPr>
      <w:r>
        <w:t>Nastane-li situace, za kterou by byl příjemci uložen odvod podle tohoto článku, ale peněžní prostředky dotace ještě nebyly poskytnuty, odvod nebude příjemci uložen. Namísto toho bude v odpovídající výši zkrácena dotace.</w:t>
      </w:r>
    </w:p>
    <w:p w14:paraId="07B82C56" w14:textId="77777777" w:rsidR="004E4E47" w:rsidRDefault="004E4E47" w:rsidP="00C37053">
      <w:pPr>
        <w:pStyle w:val="Nadpis1"/>
      </w:pPr>
      <w:r>
        <w:t>Změny podmínek smlouvy</w:t>
      </w:r>
    </w:p>
    <w:p w14:paraId="3F8984DB" w14:textId="68CF401A" w:rsidR="004E4E47" w:rsidRDefault="00D9597D" w:rsidP="00C37053">
      <w:pPr>
        <w:pStyle w:val="2rove"/>
      </w:pPr>
      <w:r>
        <w:t>Příjemce může</w:t>
      </w:r>
      <w:r w:rsidRPr="00D9597D">
        <w:t xml:space="preserve"> změnit projekt bez předchozího souhlasu poskytovatele za předpokladu, že změny nejsou podstatného charakteru</w:t>
      </w:r>
      <w:r w:rsidR="004A3A15">
        <w:t>, a za podmínky zachování smyslu a účelu projektu. Nepodstatné změny projektu je příjemce povinen písemně oznámit poskytovateli bez zbytečného odkladu, nejpozději v </w:t>
      </w:r>
      <w:r w:rsidR="00F71788">
        <w:t>z</w:t>
      </w:r>
      <w:r w:rsidR="004A3A15">
        <w:t>ávěrečné zprávě. Nepodstatnými změnami jsou</w:t>
      </w:r>
      <w:r>
        <w:t>:</w:t>
      </w:r>
    </w:p>
    <w:p w14:paraId="19BAA672" w14:textId="392A5021" w:rsidR="00D9597D" w:rsidRDefault="00747C54" w:rsidP="00C37053">
      <w:pPr>
        <w:pStyle w:val="3rove-trval"/>
      </w:pPr>
      <w:r>
        <w:t xml:space="preserve">změna adresy nebo </w:t>
      </w:r>
      <w:r w:rsidR="00D9597D" w:rsidRPr="00A960B0">
        <w:t>sídla příjemce</w:t>
      </w:r>
      <w:r w:rsidR="00F71788">
        <w:t>,</w:t>
      </w:r>
    </w:p>
    <w:p w14:paraId="28901192" w14:textId="77777777" w:rsidR="00D9597D" w:rsidRDefault="00747C54" w:rsidP="00C37053">
      <w:pPr>
        <w:pStyle w:val="3rove-trval"/>
      </w:pPr>
      <w:r>
        <w:t xml:space="preserve">změna statutárního orgánu nebo </w:t>
      </w:r>
      <w:r w:rsidR="00D9597D" w:rsidRPr="00A960B0">
        <w:t>kontaktní osoby</w:t>
      </w:r>
      <w:r w:rsidR="00D9597D">
        <w:t>,</w:t>
      </w:r>
    </w:p>
    <w:p w14:paraId="39FEE3AF" w14:textId="0266DBC3" w:rsidR="00D9597D" w:rsidRPr="00EB1154" w:rsidRDefault="00F71788" w:rsidP="00C37053">
      <w:pPr>
        <w:pStyle w:val="3rove-trval"/>
      </w:pPr>
      <w:r>
        <w:t>změna názvu příjemce,</w:t>
      </w:r>
    </w:p>
    <w:p w14:paraId="56A18FA8" w14:textId="5CE10E81" w:rsidR="00D9597D" w:rsidRDefault="00D9597D" w:rsidP="00C37053">
      <w:pPr>
        <w:pStyle w:val="3rove-trval"/>
      </w:pPr>
      <w:r w:rsidRPr="00A960B0">
        <w:t>částečné nenaplnění monitorovacích indikátorů</w:t>
      </w:r>
      <w:r w:rsidR="00F71788">
        <w:t xml:space="preserve"> dle čl. 3.</w:t>
      </w:r>
      <w:r w:rsidR="003C70F7">
        <w:t>2</w:t>
      </w:r>
    </w:p>
    <w:p w14:paraId="47FDFC6B" w14:textId="77777777" w:rsidR="005651A6" w:rsidRDefault="005651A6" w:rsidP="00C37053">
      <w:pPr>
        <w:pStyle w:val="2rove"/>
      </w:pPr>
      <w:r>
        <w:t>Změnu bankovního spojení oznámí příjemce poskytova</w:t>
      </w:r>
      <w:r w:rsidR="007A3EEB">
        <w:t>teli písemně ve lhůtě do 15 dní ode dne, kdy ke změně došlo.</w:t>
      </w:r>
      <w:r w:rsidR="007A3EEB" w:rsidRPr="007A3EEB">
        <w:t xml:space="preserve"> </w:t>
      </w:r>
      <w:r w:rsidR="007A3EEB">
        <w:t xml:space="preserve">Informace o změně účtu příjemce je pro poskytovatele závazná ode dne, kdy byla poskytovateli doručena. </w:t>
      </w:r>
    </w:p>
    <w:p w14:paraId="75C97287" w14:textId="77777777" w:rsidR="005651A6" w:rsidRDefault="00DE64D6" w:rsidP="00C37053">
      <w:pPr>
        <w:pStyle w:val="2rove"/>
      </w:pPr>
      <w:r>
        <w:t xml:space="preserve">V </w:t>
      </w:r>
      <w:r w:rsidRPr="001C3D21">
        <w:t xml:space="preserve">případě podstatných změn projektu musí příjemce písemně požádat poskytovatele o změnu smlouvy formou dodatku ke smlouvě, přičemž žádost o změnu smlouvy musí být řádně </w:t>
      </w:r>
      <w:r w:rsidRPr="001C3D21">
        <w:lastRenderedPageBreak/>
        <w:t>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r>
        <w:t>.</w:t>
      </w:r>
    </w:p>
    <w:p w14:paraId="4C3BA731" w14:textId="77777777" w:rsidR="00DE64D6" w:rsidRDefault="00DE64D6" w:rsidP="00E82920">
      <w:pPr>
        <w:pStyle w:val="Nadpis1"/>
        <w:spacing w:line="276" w:lineRule="auto"/>
      </w:pPr>
      <w:r>
        <w:t>Ukončení smlouvy</w:t>
      </w:r>
    </w:p>
    <w:p w14:paraId="2789F046" w14:textId="77777777" w:rsidR="00971B6C" w:rsidRDefault="00971B6C" w:rsidP="002321A0">
      <w:pPr>
        <w:pStyle w:val="2rove"/>
      </w:pPr>
      <w:r>
        <w:t>Smlouvu lze ukončit na základě písemné dohody obou smluvních stran nebo písemnou výpovědí smlouvy, a to za podmínek dále stanovených.</w:t>
      </w:r>
    </w:p>
    <w:p w14:paraId="71D36F5D" w14:textId="77777777" w:rsidR="00971B6C" w:rsidRDefault="00971B6C" w:rsidP="002321A0">
      <w:pPr>
        <w:pStyle w:val="2rove"/>
      </w:pPr>
      <w:r>
        <w:t>Poskytovatel je oprávněn vypovědět smlouvu jak před proplacením, tak i po proplacení dotace.</w:t>
      </w:r>
    </w:p>
    <w:p w14:paraId="57643CFE" w14:textId="6652DD89" w:rsidR="00971B6C" w:rsidRDefault="00971B6C" w:rsidP="002321A0">
      <w:pPr>
        <w:pStyle w:val="2rove"/>
      </w:pPr>
      <w:r>
        <w:t xml:space="preserve">Výpovědním důvodem je porušení povinností příjemcem stanovených touto smlouvou nebo obecně závaznými právními předpisy. </w:t>
      </w:r>
      <w:r w:rsidR="00504796">
        <w:t>Porušením se rozumí zejména, pokud:</w:t>
      </w:r>
    </w:p>
    <w:p w14:paraId="60FD4179" w14:textId="028620E9" w:rsidR="00766DAA" w:rsidRDefault="007E7130" w:rsidP="002321A0">
      <w:pPr>
        <w:pStyle w:val="3rove-trval"/>
      </w:pPr>
      <w:r>
        <w:t xml:space="preserve">příjemce </w:t>
      </w:r>
      <w:r w:rsidR="00766DAA">
        <w:t>nedodrží účel dotace,</w:t>
      </w:r>
    </w:p>
    <w:p w14:paraId="3B84C001" w14:textId="6DB533E5" w:rsidR="00504796" w:rsidRDefault="007E7130" w:rsidP="002321A0">
      <w:pPr>
        <w:pStyle w:val="3rove-trval"/>
      </w:pPr>
      <w:r>
        <w:t xml:space="preserve">příjemce </w:t>
      </w:r>
      <w:r w:rsidR="00504796">
        <w:t>svým jednáním poruší rozpočtovou kázeň</w:t>
      </w:r>
      <w:r w:rsidR="004F1656">
        <w:t xml:space="preserve"> zejména dle </w:t>
      </w:r>
      <w:r w:rsidR="00F50470">
        <w:t xml:space="preserve">čl. </w:t>
      </w:r>
      <w:r w:rsidR="00426BE6">
        <w:t>6</w:t>
      </w:r>
      <w:r w:rsidR="004F1656">
        <w:t>.</w:t>
      </w:r>
      <w:r w:rsidR="00CC6CBC">
        <w:t>2</w:t>
      </w:r>
      <w:r w:rsidR="004942FC">
        <w:t>,</w:t>
      </w:r>
      <w:r w:rsidR="00504796">
        <w:t xml:space="preserve"> </w:t>
      </w:r>
      <w:r w:rsidR="00F50470">
        <w:t xml:space="preserve">ve smyslu </w:t>
      </w:r>
      <w:r w:rsidR="00504796">
        <w:t xml:space="preserve">zákona </w:t>
      </w:r>
      <w:r w:rsidR="001E22BF">
        <w:t>o</w:t>
      </w:r>
      <w:r w:rsidR="002321A0">
        <w:t> </w:t>
      </w:r>
      <w:r w:rsidR="001E22BF">
        <w:t>rozpočtových pravidlech územních rozpočtů,</w:t>
      </w:r>
    </w:p>
    <w:p w14:paraId="3CCBCD73" w14:textId="3B3A3EF1" w:rsidR="00F50470" w:rsidRDefault="00F50470" w:rsidP="002321A0">
      <w:pPr>
        <w:pStyle w:val="3rove-trval"/>
      </w:pPr>
      <w:r>
        <w:t xml:space="preserve">se </w:t>
      </w:r>
      <w:r w:rsidR="007E7130">
        <w:t xml:space="preserve">příjemce </w:t>
      </w:r>
      <w:r>
        <w:t>opozdí s předložením závěrečné zprávy o více než 30 pracovn</w:t>
      </w:r>
      <w:r w:rsidR="00426BE6">
        <w:t>ích dnů oproti lhůtě dle čl. 4.3</w:t>
      </w:r>
      <w:r>
        <w:t>,</w:t>
      </w:r>
    </w:p>
    <w:p w14:paraId="586C8C36" w14:textId="77777777" w:rsidR="00504796" w:rsidRDefault="00504796" w:rsidP="002321A0">
      <w:pPr>
        <w:pStyle w:val="3rove-trval"/>
      </w:pPr>
      <w:r>
        <w:t xml:space="preserve">je on sám, případně jako právnická osoba či některá osoba tvořící statutární orgán příjemce odsouzen/a za trestný čin, </w:t>
      </w:r>
      <w:r w:rsidRPr="00504796">
        <w:t>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14:paraId="574BCD01" w14:textId="27E4FE15" w:rsidR="00504796" w:rsidRDefault="00504796" w:rsidP="002321A0">
      <w:pPr>
        <w:pStyle w:val="3rove-trval"/>
      </w:pPr>
      <w:r w:rsidRPr="00BC32A3">
        <w:t xml:space="preserve">bylo </w:t>
      </w:r>
      <w:r>
        <w:t xml:space="preserve">vůči příjemci </w:t>
      </w:r>
      <w:r w:rsidRPr="00BC32A3">
        <w:t>zahájeno insolvenční řízení podle zákona č. 182/2006 Sb., o úpadku a</w:t>
      </w:r>
      <w:r w:rsidR="002321A0">
        <w:t> </w:t>
      </w:r>
      <w:r w:rsidRPr="00BC32A3">
        <w:t>způsobech jeho řešení, ve znění pozdějších předpisů, exekuční řízení či řízení o</w:t>
      </w:r>
      <w:r w:rsidR="002321A0">
        <w:t> </w:t>
      </w:r>
      <w:r w:rsidRPr="00BC32A3">
        <w:t>výkonu rozhodnutí</w:t>
      </w:r>
      <w:r>
        <w:t>,</w:t>
      </w:r>
    </w:p>
    <w:p w14:paraId="120493F4" w14:textId="11A1A500" w:rsidR="00504796" w:rsidRDefault="007E7130" w:rsidP="002321A0">
      <w:pPr>
        <w:pStyle w:val="3rove-trval"/>
      </w:pPr>
      <w:r>
        <w:t xml:space="preserve">příjemce </w:t>
      </w:r>
      <w:r w:rsidR="00504796" w:rsidRPr="00BC32A3">
        <w:t>uvedl nepravdivé, neúplné nebo zkreslené údaje, na které se váže uzavření této smlouvy</w:t>
      </w:r>
      <w:r w:rsidR="00504796">
        <w:t>,</w:t>
      </w:r>
    </w:p>
    <w:p w14:paraId="54ACC364" w14:textId="622282AA" w:rsidR="00504796" w:rsidRDefault="00504796" w:rsidP="002321A0">
      <w:pPr>
        <w:pStyle w:val="3rove-trval"/>
      </w:pPr>
      <w:r w:rsidRPr="00BC32A3">
        <w:t xml:space="preserve">je </w:t>
      </w:r>
      <w:r w:rsidR="007E7130">
        <w:t xml:space="preserve">příjemce </w:t>
      </w:r>
      <w:r w:rsidRPr="00BC32A3">
        <w:t>v</w:t>
      </w:r>
      <w:r>
        <w:t> </w:t>
      </w:r>
      <w:r w:rsidRPr="00BC32A3">
        <w:t>likvidaci</w:t>
      </w:r>
      <w:r>
        <w:t>,</w:t>
      </w:r>
    </w:p>
    <w:p w14:paraId="02D0C5AC" w14:textId="0EB65DDB" w:rsidR="00504796" w:rsidRDefault="007E7130" w:rsidP="002321A0">
      <w:pPr>
        <w:pStyle w:val="3rove-trval"/>
      </w:pPr>
      <w:r>
        <w:t xml:space="preserve">příjemce </w:t>
      </w:r>
      <w:r w:rsidR="00504796" w:rsidRPr="00BC32A3">
        <w:t>změní právní formu a stane se tak nezpůsobilým příjemcem pro danou oblast podpory</w:t>
      </w:r>
      <w:r w:rsidR="00504796">
        <w:t>,</w:t>
      </w:r>
    </w:p>
    <w:p w14:paraId="1E3C1201" w14:textId="220431C8" w:rsidR="00504796" w:rsidRDefault="007E7130" w:rsidP="002321A0">
      <w:pPr>
        <w:pStyle w:val="3rove-trval"/>
      </w:pPr>
      <w:r>
        <w:t xml:space="preserve">příjemce </w:t>
      </w:r>
      <w:r w:rsidR="00504796"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00504796" w:rsidRPr="00BC32A3">
        <w:t>realizace) může poskytovatel smlouvu vypovědět i bez učinění předchozí výzvy k</w:t>
      </w:r>
      <w:r w:rsidR="001C6112">
        <w:t> </w:t>
      </w:r>
      <w:r w:rsidR="00504796" w:rsidRPr="00BC32A3">
        <w:t>nápravě</w:t>
      </w:r>
      <w:r w:rsidR="001C6112">
        <w:t>,</w:t>
      </w:r>
    </w:p>
    <w:p w14:paraId="018B84E4" w14:textId="45BBBC46" w:rsidR="00504796" w:rsidRPr="00426BE6" w:rsidRDefault="007E7130" w:rsidP="002321A0">
      <w:pPr>
        <w:pStyle w:val="3rove-trval"/>
        <w:rPr>
          <w:rStyle w:val="Kvbruaodstrann"/>
          <w:i w:val="0"/>
          <w:color w:val="auto"/>
          <w:sz w:val="20"/>
          <w:szCs w:val="22"/>
        </w:rPr>
      </w:pPr>
      <w:r>
        <w:t xml:space="preserve">příjemce </w:t>
      </w:r>
      <w:r w:rsidR="00D449CF">
        <w:t xml:space="preserve">podstatně </w:t>
      </w:r>
      <w:r w:rsidR="001C6112" w:rsidRPr="001C6112">
        <w:t>nenaplní monitorovací indikátor</w:t>
      </w:r>
      <w:r w:rsidR="00D449CF">
        <w:t xml:space="preserve"> dle čl. 3.</w:t>
      </w:r>
      <w:r w:rsidR="003C70F7">
        <w:t>2</w:t>
      </w:r>
    </w:p>
    <w:p w14:paraId="1BA35132" w14:textId="673A7AAE" w:rsidR="00D26A61" w:rsidRPr="00D26A61" w:rsidRDefault="007E7130" w:rsidP="00C24A88">
      <w:pPr>
        <w:pStyle w:val="3rove-trval"/>
      </w:pPr>
      <w:r>
        <w:t xml:space="preserve">příjemci </w:t>
      </w:r>
      <w:r w:rsidR="00D26A61" w:rsidRPr="00D26A61">
        <w:t xml:space="preserve">zanikne </w:t>
      </w:r>
      <w:r w:rsidR="00D26A61">
        <w:t>pověření,</w:t>
      </w:r>
    </w:p>
    <w:p w14:paraId="45E986F9" w14:textId="12F18408" w:rsidR="00426BE6" w:rsidRDefault="007E7130" w:rsidP="00D318E3">
      <w:pPr>
        <w:pStyle w:val="3rove-trval"/>
      </w:pPr>
      <w:r>
        <w:t xml:space="preserve">příjemce </w:t>
      </w:r>
      <w:r w:rsidR="00D26A61" w:rsidRPr="00D26A61">
        <w:t>neumožní poskytovateli provedení kontroly</w:t>
      </w:r>
      <w:r w:rsidR="00D26A61">
        <w:t>.</w:t>
      </w:r>
    </w:p>
    <w:p w14:paraId="20238DC4" w14:textId="77777777" w:rsidR="001C6112" w:rsidRDefault="00EC4D55" w:rsidP="002321A0">
      <w:pPr>
        <w:pStyle w:val="2rove"/>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0F02581F" w14:textId="77777777" w:rsidR="00EC4D55" w:rsidRDefault="00EC4D55" w:rsidP="002321A0">
      <w:pPr>
        <w:pStyle w:val="2rove"/>
      </w:pPr>
      <w:r w:rsidRPr="00BC32A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14:paraId="67FB4E6A" w14:textId="77777777" w:rsidR="00EC4D55" w:rsidRDefault="00EC4D55" w:rsidP="002321A0">
      <w:pPr>
        <w:pStyle w:val="2rove"/>
      </w:pPr>
      <w:r w:rsidRPr="00BC32A3">
        <w:t>Výpověď smlouvy musí být učiněna písemně a musí v ní být uvedeny důvody jejího udělení.</w:t>
      </w:r>
    </w:p>
    <w:p w14:paraId="2EFC1858" w14:textId="1A2CFE15" w:rsidR="00EC4D55" w:rsidRDefault="00EC4D55" w:rsidP="002321A0">
      <w:pPr>
        <w:pStyle w:val="2rove"/>
      </w:pPr>
      <w:r w:rsidRPr="00BC32A3">
        <w:t>Výpovědní doba činí jeden měsíc a začne běžet od prvního dne měsíce následujícího po měsíci, v němž byla výpověď doručena příjemci. Účinky doručení pro účely této smlouvy však nastávají i</w:t>
      </w:r>
      <w:r w:rsidR="002321A0">
        <w:t> </w:t>
      </w:r>
      <w:r w:rsidRPr="00BC32A3">
        <w:t>tehdy, pokud příjemce svým jednáním nebo opomenutím doručení zmařil.</w:t>
      </w:r>
    </w:p>
    <w:p w14:paraId="183EA7A9" w14:textId="77777777" w:rsidR="00EC4D55" w:rsidRDefault="00EC4D55" w:rsidP="002321A0">
      <w:pPr>
        <w:pStyle w:val="2rove"/>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B2C102" w14:textId="77777777" w:rsidR="00EC4D55" w:rsidRDefault="00EC4D55" w:rsidP="002321A0">
      <w:pPr>
        <w:pStyle w:val="2rove"/>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02A32F90" w14:textId="77777777" w:rsidR="00EC4D55" w:rsidRDefault="00EC4D55" w:rsidP="002321A0">
      <w:pPr>
        <w:pStyle w:val="2rove"/>
      </w:pPr>
      <w:r w:rsidRPr="00BC32A3">
        <w:lastRenderedPageBreak/>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2BA535EB" w14:textId="77777777" w:rsidR="00EC4D55" w:rsidRDefault="00EC4D55" w:rsidP="002321A0">
      <w:pPr>
        <w:pStyle w:val="2rove"/>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12464B" w14:textId="77777777" w:rsidR="00EC4D55" w:rsidRDefault="00EC4D55" w:rsidP="002321A0">
      <w:pPr>
        <w:pStyle w:val="2rove"/>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641FA7DA" w14:textId="77777777" w:rsidR="00EC4D55" w:rsidRDefault="00EC4D55" w:rsidP="002321A0">
      <w:pPr>
        <w:pStyle w:val="Nadpis1"/>
      </w:pPr>
      <w:r>
        <w:t xml:space="preserve"> Závěrečná ustanovení</w:t>
      </w:r>
    </w:p>
    <w:p w14:paraId="6EB98424" w14:textId="00BA6773" w:rsidR="00D84666" w:rsidRDefault="00D84666" w:rsidP="00D84666">
      <w:pPr>
        <w:pStyle w:val="2rove"/>
      </w:pPr>
      <w:r w:rsidRPr="00D84666">
        <w:t xml:space="preserve">Příjemce se zavazuje, že bude při poskytování SOHZ postupovat nejen dle této </w:t>
      </w:r>
      <w:r>
        <w:t xml:space="preserve">smlouvy, ale rovněž dle </w:t>
      </w:r>
      <w:r w:rsidRPr="00D84666">
        <w:rPr>
          <w:b/>
        </w:rPr>
        <w:t>pověření</w:t>
      </w:r>
      <w:r>
        <w:t>. V případě rozporů s</w:t>
      </w:r>
      <w:r w:rsidRPr="00D84666">
        <w:t xml:space="preserve">mlouvy a </w:t>
      </w:r>
      <w:r>
        <w:t>p</w:t>
      </w:r>
      <w:r w:rsidRPr="00D84666">
        <w:t xml:space="preserve">ověření, mají přednost ustanovení </w:t>
      </w:r>
      <w:r>
        <w:t>p</w:t>
      </w:r>
      <w:r w:rsidRPr="00D84666">
        <w:t>ověření</w:t>
      </w:r>
      <w:r>
        <w:t>.</w:t>
      </w:r>
    </w:p>
    <w:p w14:paraId="2D7732BC" w14:textId="5EC7BE4B" w:rsidR="00EC4D55" w:rsidRDefault="00EC4D55" w:rsidP="002321A0">
      <w:pPr>
        <w:pStyle w:val="2rove"/>
      </w:pPr>
      <w:r w:rsidRPr="00EC4D55">
        <w:t>Jako kontaktní místo poskytovatele se pro účely této smlouvy stanovuje: Krajský úřad Zlínského kraje, odbor</w:t>
      </w:r>
      <w:r w:rsidR="002321A0">
        <w:t> </w:t>
      </w:r>
      <w:r w:rsidR="003C70F7">
        <w:t>strategického rozvoje kraje</w:t>
      </w:r>
      <w:r w:rsidRPr="00EC4D55">
        <w:t>,</w:t>
      </w:r>
      <w:r w:rsidR="002321A0">
        <w:t> </w:t>
      </w:r>
      <w:r w:rsidR="003C70F7">
        <w:t>Ing. Katarína Koňaříková</w:t>
      </w:r>
      <w:r w:rsidRPr="00EC4D55">
        <w:t>, tel.:</w:t>
      </w:r>
      <w:r w:rsidR="002321A0">
        <w:t> </w:t>
      </w:r>
      <w:r w:rsidR="003C70F7">
        <w:t>577 043 416</w:t>
      </w:r>
      <w:r>
        <w:t xml:space="preserve">, </w:t>
      </w:r>
      <w:r w:rsidRPr="00EC4D55">
        <w:t>e-mail:</w:t>
      </w:r>
      <w:r w:rsidR="002321A0">
        <w:t> </w:t>
      </w:r>
      <w:r w:rsidR="003C70F7">
        <w:t>katarina.konarikova@</w:t>
      </w:r>
      <w:r w:rsidR="00C82C29">
        <w:t>zlinskykraj</w:t>
      </w:r>
      <w:r w:rsidR="003C70F7">
        <w:t>.cz</w:t>
      </w:r>
    </w:p>
    <w:p w14:paraId="0C7DCD02" w14:textId="77777777" w:rsidR="00EC4D55" w:rsidRDefault="00EC4D55" w:rsidP="002321A0">
      <w:pPr>
        <w:pStyle w:val="2rove"/>
      </w:pPr>
      <w:r w:rsidRPr="00BC32A3">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512E7B13" w14:textId="0BC3BD07" w:rsidR="00EC4D55" w:rsidRDefault="00EC4D55" w:rsidP="002321A0">
      <w:pPr>
        <w:pStyle w:val="2rove"/>
      </w:pPr>
      <w:r w:rsidRPr="00BC32A3">
        <w:t>Tato smlouva byla uzavřena na základě svobodné vůle, nebyla uzavřena v tísni za nápadně nevýhodných podmínek</w:t>
      </w:r>
      <w:r>
        <w:t>.</w:t>
      </w:r>
    </w:p>
    <w:p w14:paraId="6F376891" w14:textId="219705E9" w:rsidR="008B3EAF" w:rsidRDefault="008B3EAF" w:rsidP="002321A0">
      <w:pPr>
        <w:pStyle w:val="2rove"/>
      </w:pPr>
      <w:r>
        <w:t xml:space="preserve">Nedílnou součástí této smlouvy je příloha č. 1 – Vymezení služeb obecného hospodářského zájmu. </w:t>
      </w:r>
    </w:p>
    <w:p w14:paraId="7F346E53" w14:textId="1532CCF5" w:rsidR="00EC4D55" w:rsidRDefault="00EC4D55" w:rsidP="002321A0">
      <w:pPr>
        <w:pStyle w:val="2rove"/>
      </w:pPr>
      <w:r w:rsidRPr="00BC32A3">
        <w:t>Smlouva je vyhotovena ve</w:t>
      </w:r>
      <w:r w:rsidR="002321A0">
        <w:t> </w:t>
      </w:r>
      <w:r w:rsidR="003C70F7">
        <w:t>3</w:t>
      </w:r>
      <w:r w:rsidRPr="00BC32A3">
        <w:t xml:space="preserve"> stejnopisech, z nichž každý má platnost originálu.</w:t>
      </w:r>
      <w:r w:rsidR="002321A0">
        <w:t> </w:t>
      </w:r>
      <w:r w:rsidR="003C70F7">
        <w:t>2 ks</w:t>
      </w:r>
      <w:r>
        <w:t xml:space="preserve"> </w:t>
      </w:r>
      <w:r w:rsidR="00EF59D5">
        <w:t>stejnopisů</w:t>
      </w:r>
      <w:r w:rsidRPr="00BC32A3">
        <w:t xml:space="preserve"> obdrží poskytovatel a</w:t>
      </w:r>
      <w:r w:rsidR="002321A0">
        <w:t> </w:t>
      </w:r>
      <w:r w:rsidR="003C70F7">
        <w:t>1 ks</w:t>
      </w:r>
      <w:r>
        <w:t xml:space="preserve"> </w:t>
      </w:r>
      <w:r w:rsidR="00EF59D5">
        <w:t xml:space="preserve">stejnopisů </w:t>
      </w:r>
      <w:r w:rsidRPr="00BC32A3">
        <w:t>obdrží příjemce</w:t>
      </w:r>
      <w:r>
        <w:t>.</w:t>
      </w:r>
      <w:r w:rsidR="00CB57BD">
        <w:t xml:space="preserve"> </w:t>
      </w:r>
    </w:p>
    <w:p w14:paraId="197971F9" w14:textId="32A8377E" w:rsidR="00EC4D55" w:rsidRDefault="00EC4D55" w:rsidP="002321A0">
      <w:pPr>
        <w:pStyle w:val="2rove"/>
      </w:pPr>
      <w:r w:rsidRPr="00BC32A3">
        <w:t>Smlouva podléhá zveřejnění v registru smluv v souladu se zákonem č. 340/2015 Sb., zákon o registru smluv</w:t>
      </w:r>
      <w:r w:rsidR="00C069A0">
        <w:t>, ve znění pozdějších předpisů</w:t>
      </w:r>
      <w:r w:rsidRPr="00BC32A3">
        <w:t>. Smluvní strany se dohodly, že poskytovatel odešle v zákonné lhůtě smlouvu k řádnému uveřejnění do registru smluv. O</w:t>
      </w:r>
      <w:r w:rsidR="002321A0">
        <w:t> </w:t>
      </w:r>
      <w:r w:rsidRPr="00BC32A3">
        <w:t xml:space="preserve">uveřejnění smlouvy bude příjemce bezodkladně informován. </w:t>
      </w:r>
    </w:p>
    <w:p w14:paraId="63160ED5" w14:textId="387CE77B" w:rsidR="00F75253" w:rsidRDefault="00F75253" w:rsidP="002321A0">
      <w:pPr>
        <w:pStyle w:val="2rove"/>
      </w:pPr>
      <w:r w:rsidRPr="00BC32A3">
        <w:t xml:space="preserve">Tato smlouva nabývá účinnosti dnem zveřejnění v registru smluv. </w:t>
      </w:r>
    </w:p>
    <w:p w14:paraId="031B153F" w14:textId="77777777" w:rsidR="00EF7588" w:rsidRDefault="00EF7588" w:rsidP="00EF7588">
      <w:pPr>
        <w:pStyle w:val="2rove"/>
        <w:numPr>
          <w:ilvl w:val="0"/>
          <w:numId w:val="0"/>
        </w:numPr>
        <w:ind w:left="567"/>
      </w:pPr>
    </w:p>
    <w:p w14:paraId="529ED0DA" w14:textId="77777777" w:rsidR="00EF7588" w:rsidRDefault="00EF7588" w:rsidP="00EF7588">
      <w:pPr>
        <w:pStyle w:val="2rove"/>
        <w:numPr>
          <w:ilvl w:val="0"/>
          <w:numId w:val="0"/>
        </w:numPr>
        <w:ind w:left="567"/>
      </w:pPr>
    </w:p>
    <w:p w14:paraId="6043F61E" w14:textId="77777777"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1426D2">
        <w:rPr>
          <w:rFonts w:cs="Arial"/>
          <w:b/>
          <w:szCs w:val="20"/>
        </w:rPr>
        <w:t>Doložka dle § 23 zákona č. 129/2000 Sb., o krajích, ve znění pozdějších předpisů</w:t>
      </w:r>
    </w:p>
    <w:p w14:paraId="2A45B697" w14:textId="40A958D6"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sidR="002321A0">
        <w:rPr>
          <w:rFonts w:cs="Arial"/>
          <w:szCs w:val="20"/>
        </w:rPr>
        <w:t> </w:t>
      </w:r>
      <w:r w:rsidR="00EF7588">
        <w:rPr>
          <w:rFonts w:cs="Arial"/>
          <w:szCs w:val="20"/>
        </w:rPr>
        <w:t>Zastupitelstvo Zlínského kraje</w:t>
      </w:r>
    </w:p>
    <w:p w14:paraId="4F7A8297" w14:textId="7ADB1660"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sidR="002321A0">
        <w:rPr>
          <w:rFonts w:cs="Arial"/>
          <w:szCs w:val="20"/>
        </w:rPr>
        <w:t> </w:t>
      </w:r>
      <w:r w:rsidR="00646EB9">
        <w:rPr>
          <w:rFonts w:cs="Arial"/>
          <w:szCs w:val="20"/>
        </w:rPr>
        <w:t>11.12.2023, č. usn.0669/Z21/23</w:t>
      </w:r>
    </w:p>
    <w:p w14:paraId="29F0BC7D" w14:textId="77777777" w:rsidR="006A4FA0" w:rsidRPr="001426D2" w:rsidRDefault="006A4FA0" w:rsidP="00E82920">
      <w:pPr>
        <w:widowControl w:val="0"/>
        <w:tabs>
          <w:tab w:val="left" w:pos="708"/>
          <w:tab w:val="left" w:pos="8928"/>
        </w:tabs>
        <w:spacing w:after="0" w:line="276" w:lineRule="auto"/>
        <w:jc w:val="both"/>
        <w:rPr>
          <w:rFonts w:cs="Arial"/>
          <w:snapToGrid w:val="0"/>
          <w:szCs w:val="20"/>
        </w:rPr>
      </w:pPr>
    </w:p>
    <w:p w14:paraId="1B72B3A8" w14:textId="3BC1E2AF" w:rsidR="00CB57BD" w:rsidRPr="00A4086E" w:rsidRDefault="00CB57BD" w:rsidP="00E82920">
      <w:pPr>
        <w:pStyle w:val="Hlavntextlnksmlouvy"/>
        <w:numPr>
          <w:ilvl w:val="0"/>
          <w:numId w:val="0"/>
        </w:numPr>
        <w:spacing w:line="276" w:lineRule="auto"/>
        <w:rPr>
          <w:rStyle w:val="Kvbruaodstrann"/>
        </w:rPr>
      </w:pPr>
    </w:p>
    <w:p w14:paraId="5096B059" w14:textId="77777777" w:rsidR="00CB57BD" w:rsidRPr="00F75253" w:rsidRDefault="00CB57BD" w:rsidP="00E82920">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14:paraId="2C81F358" w14:textId="77777777" w:rsidTr="002321A0">
        <w:trPr>
          <w:trHeight w:val="567"/>
          <w:jc w:val="center"/>
        </w:trPr>
        <w:tc>
          <w:tcPr>
            <w:tcW w:w="4531" w:type="dxa"/>
            <w:vAlign w:val="center"/>
          </w:tcPr>
          <w:p w14:paraId="100D5DB2" w14:textId="4AE9B202" w:rsidR="006A4FA0" w:rsidRDefault="006A4FA0" w:rsidP="00E82920">
            <w:pPr>
              <w:spacing w:line="276" w:lineRule="auto"/>
            </w:pPr>
            <w:r>
              <w:t>Ve Zlíně dne</w:t>
            </w:r>
            <w:r w:rsidR="002321A0">
              <w:t> </w:t>
            </w:r>
            <w:r w:rsidR="00E907DB">
              <w:t>15.1.2024</w:t>
            </w:r>
          </w:p>
        </w:tc>
        <w:tc>
          <w:tcPr>
            <w:tcW w:w="4531" w:type="dxa"/>
            <w:vAlign w:val="center"/>
          </w:tcPr>
          <w:p w14:paraId="6BD02E02" w14:textId="78BD7B84" w:rsidR="006A4FA0" w:rsidRDefault="006A4FA0" w:rsidP="00E82920">
            <w:pPr>
              <w:spacing w:line="276" w:lineRule="auto"/>
            </w:pPr>
            <w:r>
              <w:t>V</w:t>
            </w:r>
            <w:r w:rsidR="00EF7588">
              <w:t>e Zlíně</w:t>
            </w:r>
            <w:r>
              <w:t xml:space="preserve"> dne</w:t>
            </w:r>
            <w:r w:rsidR="002321A0">
              <w:t> </w:t>
            </w:r>
            <w:r w:rsidR="00BC1625">
              <w:t>21.12.2023</w:t>
            </w:r>
          </w:p>
        </w:tc>
      </w:tr>
      <w:tr w:rsidR="006A4FA0" w14:paraId="197079F7" w14:textId="77777777" w:rsidTr="002321A0">
        <w:trPr>
          <w:trHeight w:val="567"/>
          <w:jc w:val="center"/>
        </w:trPr>
        <w:tc>
          <w:tcPr>
            <w:tcW w:w="4531" w:type="dxa"/>
            <w:vAlign w:val="center"/>
          </w:tcPr>
          <w:p w14:paraId="1061511C" w14:textId="77777777" w:rsidR="006A4FA0" w:rsidRDefault="006A4FA0" w:rsidP="00E82920">
            <w:pPr>
              <w:spacing w:line="276" w:lineRule="auto"/>
            </w:pPr>
            <w:r>
              <w:t>Za poskytovatele</w:t>
            </w:r>
          </w:p>
        </w:tc>
        <w:tc>
          <w:tcPr>
            <w:tcW w:w="4531" w:type="dxa"/>
            <w:vAlign w:val="center"/>
          </w:tcPr>
          <w:p w14:paraId="0071665C" w14:textId="77777777" w:rsidR="006A4FA0" w:rsidRDefault="006A4FA0" w:rsidP="00E82920">
            <w:pPr>
              <w:spacing w:line="276" w:lineRule="auto"/>
            </w:pPr>
            <w:r>
              <w:t>Za příjemce</w:t>
            </w:r>
          </w:p>
        </w:tc>
      </w:tr>
      <w:tr w:rsidR="006A4FA0" w14:paraId="1DD0106B" w14:textId="77777777" w:rsidTr="002321A0">
        <w:trPr>
          <w:trHeight w:val="567"/>
          <w:jc w:val="center"/>
        </w:trPr>
        <w:tc>
          <w:tcPr>
            <w:tcW w:w="4531" w:type="dxa"/>
            <w:vAlign w:val="center"/>
          </w:tcPr>
          <w:p w14:paraId="0B03C875" w14:textId="77777777" w:rsidR="006A4FA0" w:rsidRDefault="006A4FA0" w:rsidP="00E82920">
            <w:pPr>
              <w:spacing w:line="276" w:lineRule="auto"/>
            </w:pPr>
          </w:p>
        </w:tc>
        <w:tc>
          <w:tcPr>
            <w:tcW w:w="4531" w:type="dxa"/>
            <w:vAlign w:val="center"/>
          </w:tcPr>
          <w:p w14:paraId="2B2DF9AC" w14:textId="77777777" w:rsidR="006A4FA0" w:rsidRDefault="006A4FA0" w:rsidP="00E82920">
            <w:pPr>
              <w:spacing w:line="276" w:lineRule="auto"/>
            </w:pPr>
          </w:p>
        </w:tc>
      </w:tr>
      <w:tr w:rsidR="00EF7588" w14:paraId="1AC55388" w14:textId="77777777" w:rsidTr="002321A0">
        <w:trPr>
          <w:trHeight w:val="567"/>
          <w:jc w:val="center"/>
        </w:trPr>
        <w:tc>
          <w:tcPr>
            <w:tcW w:w="4531" w:type="dxa"/>
            <w:vAlign w:val="center"/>
          </w:tcPr>
          <w:p w14:paraId="48B368C5" w14:textId="3ACCB65D" w:rsidR="00EF7588" w:rsidRDefault="0002270B" w:rsidP="00EF7588">
            <w:pPr>
              <w:spacing w:line="276" w:lineRule="auto"/>
            </w:pPr>
            <w:r>
              <w:t>xxxxxxxxxxxxxxxxxxxxxxxx</w:t>
            </w:r>
          </w:p>
          <w:p w14:paraId="2EDC7A34" w14:textId="25C73319" w:rsidR="00EF7588" w:rsidRDefault="00EF7588" w:rsidP="00EF7588">
            <w:pPr>
              <w:spacing w:line="276" w:lineRule="auto"/>
            </w:pPr>
            <w:r>
              <w:t xml:space="preserve">Ing. Radim Holiš, hejtman </w:t>
            </w:r>
          </w:p>
        </w:tc>
        <w:tc>
          <w:tcPr>
            <w:tcW w:w="4531" w:type="dxa"/>
            <w:vAlign w:val="center"/>
          </w:tcPr>
          <w:p w14:paraId="28CACC7A" w14:textId="2BC6B46B" w:rsidR="00EF7588" w:rsidRDefault="0002270B" w:rsidP="00EF7588">
            <w:pPr>
              <w:pStyle w:val="Bezmezer"/>
              <w:spacing w:line="276" w:lineRule="auto"/>
            </w:pPr>
            <w:r>
              <w:t>xxxxxxxxxxxxxxxxxxxxxxxxxxxxxx</w:t>
            </w:r>
          </w:p>
          <w:p w14:paraId="198191DC" w14:textId="07132044" w:rsidR="00EF7588" w:rsidRPr="00A4086E" w:rsidRDefault="00EF7588" w:rsidP="00EF7588">
            <w:pPr>
              <w:spacing w:line="276" w:lineRule="auto"/>
              <w:rPr>
                <w:rStyle w:val="Kvbruaodstrann"/>
              </w:rPr>
            </w:pPr>
            <w:r w:rsidRPr="00D022AC">
              <w:t>Ing.</w:t>
            </w:r>
            <w:r>
              <w:t xml:space="preserve"> </w:t>
            </w:r>
            <w:r w:rsidRPr="00D022AC">
              <w:t>Miroslava Knotková, ředitelka</w:t>
            </w:r>
          </w:p>
        </w:tc>
      </w:tr>
    </w:tbl>
    <w:p w14:paraId="1F223B23" w14:textId="0F90E596" w:rsidR="008B3EAF" w:rsidRDefault="00B66BFF" w:rsidP="0002270B">
      <w:pPr>
        <w:pStyle w:val="Hlavntextlnksmlouvy"/>
        <w:numPr>
          <w:ilvl w:val="0"/>
          <w:numId w:val="0"/>
        </w:numPr>
        <w:spacing w:after="0" w:line="240" w:lineRule="auto"/>
        <w:ind w:left="142"/>
      </w:pPr>
      <w:r>
        <w:t>v.z. Bc.Hana Ančincová</w:t>
      </w:r>
    </w:p>
    <w:p w14:paraId="3B9ECBB9" w14:textId="170E574D" w:rsidR="00B66BFF" w:rsidRDefault="009B2086" w:rsidP="0002270B">
      <w:pPr>
        <w:pStyle w:val="Hlavntextlnksmlouvy"/>
        <w:numPr>
          <w:ilvl w:val="0"/>
          <w:numId w:val="0"/>
        </w:numPr>
        <w:spacing w:after="0" w:line="240" w:lineRule="auto"/>
        <w:ind w:left="142"/>
      </w:pPr>
      <w:r>
        <w:t>statut. náměstkyně hejtmana</w:t>
      </w:r>
    </w:p>
    <w:p w14:paraId="7C8D20E9" w14:textId="77777777" w:rsidR="008B3EAF" w:rsidRDefault="008B3EAF">
      <w:r>
        <w:br w:type="page"/>
      </w:r>
    </w:p>
    <w:p w14:paraId="232F54A1" w14:textId="7CF4CE43" w:rsidR="008B3EAF" w:rsidRPr="00C0563D" w:rsidRDefault="008B3EAF" w:rsidP="008B3EAF">
      <w:pPr>
        <w:rPr>
          <w:rFonts w:cs="Arial"/>
          <w:b/>
          <w:szCs w:val="20"/>
        </w:rPr>
      </w:pPr>
      <w:r w:rsidRPr="008B3EAF">
        <w:rPr>
          <w:b/>
        </w:rPr>
        <w:lastRenderedPageBreak/>
        <w:t>Příloha č. 1</w:t>
      </w:r>
      <w:r>
        <w:rPr>
          <w:b/>
        </w:rPr>
        <w:t xml:space="preserve"> – </w:t>
      </w:r>
      <w:r w:rsidRPr="00C0563D">
        <w:rPr>
          <w:rFonts w:cs="Arial"/>
          <w:b/>
          <w:szCs w:val="20"/>
        </w:rPr>
        <w:t>Vymezení</w:t>
      </w:r>
      <w:r>
        <w:rPr>
          <w:rFonts w:cs="Arial"/>
          <w:b/>
          <w:szCs w:val="20"/>
        </w:rPr>
        <w:t xml:space="preserve"> </w:t>
      </w:r>
      <w:r w:rsidRPr="00C0563D">
        <w:rPr>
          <w:rFonts w:cs="Arial"/>
          <w:b/>
          <w:szCs w:val="20"/>
        </w:rPr>
        <w:t>služeb</w:t>
      </w:r>
      <w:r>
        <w:rPr>
          <w:rFonts w:cs="Arial"/>
          <w:b/>
          <w:szCs w:val="20"/>
        </w:rPr>
        <w:t xml:space="preserve"> obecného hospodářského zájmu</w:t>
      </w:r>
    </w:p>
    <w:p w14:paraId="679BA60F" w14:textId="77777777" w:rsidR="0072699C" w:rsidRPr="00E60EA7" w:rsidRDefault="0072699C" w:rsidP="0072699C">
      <w:pPr>
        <w:spacing w:line="276" w:lineRule="auto"/>
        <w:ind w:left="4956" w:hanging="4956"/>
        <w:rPr>
          <w:rFonts w:cs="Arial"/>
          <w:color w:val="000000" w:themeColor="text1"/>
          <w:szCs w:val="20"/>
        </w:rPr>
      </w:pPr>
      <w:r w:rsidRPr="00E60EA7">
        <w:rPr>
          <w:rFonts w:cs="Arial"/>
          <w:color w:val="000000" w:themeColor="text1"/>
          <w:szCs w:val="20"/>
        </w:rPr>
        <w:t>Pověřovaný</w:t>
      </w:r>
    </w:p>
    <w:p w14:paraId="593E699C" w14:textId="77777777" w:rsidR="0072699C" w:rsidRPr="00E60EA7" w:rsidRDefault="0072699C" w:rsidP="0072699C">
      <w:pPr>
        <w:spacing w:line="276" w:lineRule="auto"/>
        <w:ind w:left="4956" w:hanging="4956"/>
        <w:rPr>
          <w:rFonts w:cs="Arial"/>
          <w:color w:val="000000" w:themeColor="text1"/>
          <w:szCs w:val="20"/>
        </w:rPr>
      </w:pPr>
      <w:r w:rsidRPr="00E60EA7">
        <w:rPr>
          <w:rFonts w:cs="Arial"/>
          <w:color w:val="000000" w:themeColor="text1"/>
          <w:szCs w:val="20"/>
        </w:rPr>
        <w:t>Název: Energetická agentura Zlínského kraje, o.p.s.</w:t>
      </w:r>
    </w:p>
    <w:p w14:paraId="4A666F8C" w14:textId="77777777" w:rsidR="0072699C" w:rsidRPr="00E60EA7" w:rsidRDefault="0072699C" w:rsidP="0072699C">
      <w:pPr>
        <w:spacing w:line="276" w:lineRule="auto"/>
        <w:ind w:left="4956" w:hanging="4956"/>
        <w:rPr>
          <w:rFonts w:cs="Arial"/>
          <w:color w:val="000000" w:themeColor="text1"/>
          <w:szCs w:val="20"/>
        </w:rPr>
      </w:pPr>
      <w:r w:rsidRPr="00E60EA7">
        <w:rPr>
          <w:rFonts w:cs="Arial"/>
          <w:color w:val="000000" w:themeColor="text1"/>
          <w:szCs w:val="20"/>
        </w:rPr>
        <w:t>Sídlo: tř. T. Bati 21, 761 90 Zlín</w:t>
      </w:r>
    </w:p>
    <w:p w14:paraId="56D21A96" w14:textId="77777777" w:rsidR="0072699C" w:rsidRPr="00E60EA7" w:rsidRDefault="0072699C" w:rsidP="0072699C">
      <w:pPr>
        <w:spacing w:line="276" w:lineRule="auto"/>
        <w:ind w:left="4956" w:hanging="4956"/>
        <w:rPr>
          <w:rFonts w:cs="Arial"/>
          <w:color w:val="000000" w:themeColor="text1"/>
          <w:szCs w:val="20"/>
        </w:rPr>
      </w:pPr>
      <w:r w:rsidRPr="00E60EA7">
        <w:rPr>
          <w:rFonts w:cs="Arial"/>
          <w:color w:val="000000" w:themeColor="text1"/>
          <w:szCs w:val="20"/>
        </w:rPr>
        <w:t>IČ: 27688313</w:t>
      </w:r>
    </w:p>
    <w:p w14:paraId="5552C655" w14:textId="77777777" w:rsidR="0072699C" w:rsidRPr="00E60EA7" w:rsidRDefault="0072699C" w:rsidP="0072699C">
      <w:pPr>
        <w:spacing w:line="276" w:lineRule="auto"/>
        <w:rPr>
          <w:rFonts w:cs="Arial"/>
          <w:color w:val="000000" w:themeColor="text1"/>
          <w:szCs w:val="20"/>
        </w:rPr>
      </w:pPr>
    </w:p>
    <w:p w14:paraId="638F7C8D" w14:textId="77777777" w:rsidR="0072699C" w:rsidRPr="00E60EA7" w:rsidRDefault="0072699C" w:rsidP="0072699C">
      <w:pPr>
        <w:spacing w:line="276" w:lineRule="auto"/>
        <w:rPr>
          <w:rFonts w:cs="Arial"/>
          <w:color w:val="000000" w:themeColor="text1"/>
          <w:szCs w:val="20"/>
        </w:rPr>
      </w:pPr>
    </w:p>
    <w:p w14:paraId="12AA069D" w14:textId="77777777" w:rsidR="0072699C" w:rsidRPr="00E60EA7" w:rsidRDefault="0072699C" w:rsidP="0072699C">
      <w:pPr>
        <w:spacing w:line="276" w:lineRule="auto"/>
        <w:rPr>
          <w:rFonts w:cs="Arial"/>
          <w:szCs w:val="20"/>
        </w:rPr>
      </w:pPr>
    </w:p>
    <w:p w14:paraId="1FCC8343" w14:textId="77777777" w:rsidR="0072699C" w:rsidRPr="00E60EA7" w:rsidRDefault="0072699C" w:rsidP="0072699C">
      <w:pPr>
        <w:rPr>
          <w:rFonts w:cs="Arial"/>
          <w:b/>
          <w:szCs w:val="20"/>
        </w:rPr>
      </w:pPr>
      <w:r w:rsidRPr="00E60EA7">
        <w:rPr>
          <w:rFonts w:cs="Arial"/>
          <w:b/>
          <w:szCs w:val="20"/>
        </w:rPr>
        <w:t>Vymezení služeb obecného hospodářského zájmu:</w:t>
      </w:r>
    </w:p>
    <w:p w14:paraId="03D46D19" w14:textId="77777777" w:rsidR="0072699C" w:rsidRPr="00E60EA7" w:rsidRDefault="0072699C" w:rsidP="0072699C">
      <w:pPr>
        <w:jc w:val="both"/>
        <w:rPr>
          <w:rFonts w:cs="Arial"/>
          <w:bCs/>
          <w:iCs/>
          <w:szCs w:val="20"/>
        </w:rPr>
      </w:pPr>
      <w:r w:rsidRPr="00E60EA7">
        <w:rPr>
          <w:rFonts w:cs="Arial"/>
          <w:bCs/>
          <w:iCs/>
          <w:szCs w:val="20"/>
        </w:rPr>
        <w:t>v souladu Článkem 5 zakládací listiny o založení obecně prospěšné společnosti Energetická agentura Zlínského kraje, o.p.s. a Článkem VI Statutu obecně prospěšné společnosti Energetická agentura Zlínského kraje, o.p.s.</w:t>
      </w:r>
    </w:p>
    <w:p w14:paraId="0769FDB3" w14:textId="77777777" w:rsidR="0072699C" w:rsidRPr="00E60EA7" w:rsidRDefault="0072699C" w:rsidP="0072699C">
      <w:pPr>
        <w:jc w:val="both"/>
        <w:rPr>
          <w:rFonts w:cs="Arial"/>
          <w:bCs/>
          <w:iCs/>
          <w:szCs w:val="20"/>
        </w:rPr>
      </w:pPr>
    </w:p>
    <w:p w14:paraId="0836768D" w14:textId="77777777" w:rsidR="0072699C" w:rsidRPr="00E60EA7" w:rsidRDefault="0072699C" w:rsidP="0072699C">
      <w:pPr>
        <w:numPr>
          <w:ilvl w:val="0"/>
          <w:numId w:val="23"/>
        </w:numPr>
        <w:spacing w:after="0" w:line="240" w:lineRule="auto"/>
        <w:jc w:val="both"/>
        <w:rPr>
          <w:rFonts w:eastAsia="Times New Roman" w:cs="Arial"/>
          <w:bCs/>
          <w:iCs/>
          <w:szCs w:val="20"/>
        </w:rPr>
      </w:pPr>
      <w:r w:rsidRPr="00E60EA7">
        <w:rPr>
          <w:rFonts w:eastAsia="Times New Roman" w:cs="Arial"/>
          <w:bCs/>
          <w:iCs/>
          <w:szCs w:val="20"/>
        </w:rPr>
        <w:t>konzultační činnost a energetické poradenství vedoucí ke zvýšení energetické efektivnosti a soběstačnosti,</w:t>
      </w:r>
    </w:p>
    <w:p w14:paraId="2C6EAD61" w14:textId="77777777" w:rsidR="0072699C" w:rsidRPr="00E60EA7" w:rsidRDefault="0072699C" w:rsidP="0072699C">
      <w:pPr>
        <w:numPr>
          <w:ilvl w:val="0"/>
          <w:numId w:val="23"/>
        </w:numPr>
        <w:spacing w:after="0" w:line="240" w:lineRule="auto"/>
        <w:jc w:val="both"/>
        <w:rPr>
          <w:rFonts w:eastAsia="Times New Roman" w:cs="Arial"/>
          <w:bCs/>
          <w:iCs/>
          <w:szCs w:val="20"/>
        </w:rPr>
      </w:pPr>
      <w:r w:rsidRPr="00E60EA7">
        <w:rPr>
          <w:rFonts w:eastAsia="Times New Roman" w:cs="Arial"/>
          <w:bCs/>
          <w:iCs/>
          <w:szCs w:val="20"/>
        </w:rPr>
        <w:t>propagaci a publikaci příkladů dobré praxe,</w:t>
      </w:r>
    </w:p>
    <w:p w14:paraId="2CFE37E2" w14:textId="77777777" w:rsidR="0072699C" w:rsidRPr="00E60EA7" w:rsidRDefault="0072699C" w:rsidP="0072699C">
      <w:pPr>
        <w:numPr>
          <w:ilvl w:val="0"/>
          <w:numId w:val="23"/>
        </w:numPr>
        <w:spacing w:after="0" w:line="240" w:lineRule="auto"/>
        <w:jc w:val="both"/>
        <w:rPr>
          <w:rFonts w:eastAsia="Times New Roman" w:cs="Arial"/>
          <w:bCs/>
          <w:iCs/>
          <w:szCs w:val="20"/>
        </w:rPr>
      </w:pPr>
      <w:r w:rsidRPr="00E60EA7">
        <w:rPr>
          <w:rFonts w:eastAsia="Times New Roman" w:cs="Arial"/>
          <w:bCs/>
          <w:iCs/>
          <w:szCs w:val="20"/>
        </w:rPr>
        <w:t>analytické a koncepční práce,</w:t>
      </w:r>
    </w:p>
    <w:p w14:paraId="2FB2A42E" w14:textId="77777777" w:rsidR="0072699C" w:rsidRPr="00E60EA7" w:rsidRDefault="0072699C" w:rsidP="0072699C">
      <w:pPr>
        <w:numPr>
          <w:ilvl w:val="0"/>
          <w:numId w:val="23"/>
        </w:numPr>
        <w:spacing w:after="0" w:line="240" w:lineRule="auto"/>
        <w:jc w:val="both"/>
        <w:rPr>
          <w:rFonts w:eastAsia="Times New Roman" w:cs="Arial"/>
          <w:bCs/>
          <w:iCs/>
          <w:szCs w:val="20"/>
        </w:rPr>
      </w:pPr>
      <w:r w:rsidRPr="00E60EA7">
        <w:rPr>
          <w:rFonts w:eastAsia="Times New Roman" w:cs="Arial"/>
          <w:bCs/>
          <w:iCs/>
          <w:szCs w:val="20"/>
        </w:rPr>
        <w:t>iniciování a příprava projektů v oblasti energetiky, ekologického vzdělávání, vědy a výzkumu,</w:t>
      </w:r>
    </w:p>
    <w:p w14:paraId="735152B2" w14:textId="77777777" w:rsidR="0072699C" w:rsidRPr="00E60EA7" w:rsidRDefault="0072699C" w:rsidP="0072699C">
      <w:pPr>
        <w:numPr>
          <w:ilvl w:val="0"/>
          <w:numId w:val="23"/>
        </w:numPr>
        <w:spacing w:after="0" w:line="240" w:lineRule="auto"/>
        <w:jc w:val="both"/>
        <w:rPr>
          <w:rFonts w:eastAsia="Times New Roman" w:cs="Arial"/>
          <w:bCs/>
          <w:iCs/>
          <w:szCs w:val="20"/>
        </w:rPr>
      </w:pPr>
      <w:r w:rsidRPr="00E60EA7">
        <w:rPr>
          <w:rFonts w:eastAsia="Times New Roman" w:cs="Arial"/>
          <w:bCs/>
          <w:iCs/>
          <w:szCs w:val="20"/>
        </w:rPr>
        <w:t>podpora vzniku energetického managementu kraje, měst a obcí,</w:t>
      </w:r>
    </w:p>
    <w:p w14:paraId="11DE7CA4" w14:textId="77777777" w:rsidR="0072699C" w:rsidRPr="00E60EA7" w:rsidRDefault="0072699C" w:rsidP="0072699C">
      <w:pPr>
        <w:numPr>
          <w:ilvl w:val="0"/>
          <w:numId w:val="23"/>
        </w:numPr>
        <w:spacing w:after="0" w:line="240" w:lineRule="auto"/>
        <w:jc w:val="both"/>
        <w:rPr>
          <w:rFonts w:eastAsia="Times New Roman" w:cs="Arial"/>
          <w:bCs/>
          <w:iCs/>
          <w:szCs w:val="20"/>
        </w:rPr>
      </w:pPr>
      <w:r w:rsidRPr="00E60EA7">
        <w:rPr>
          <w:rFonts w:eastAsia="Times New Roman" w:cs="Arial"/>
          <w:bCs/>
          <w:iCs/>
          <w:szCs w:val="20"/>
        </w:rPr>
        <w:t>mezinárodní spolupráci na přípravě a propagaci energetického poradenství a projektů</w:t>
      </w:r>
    </w:p>
    <w:p w14:paraId="1F604A5D" w14:textId="77777777" w:rsidR="0072699C" w:rsidRPr="00E60EA7" w:rsidRDefault="0072699C" w:rsidP="0072699C">
      <w:pPr>
        <w:pStyle w:val="Odstavecseseznamem"/>
        <w:jc w:val="both"/>
        <w:rPr>
          <w:rFonts w:ascii="Arial" w:hAnsi="Arial" w:cs="Arial"/>
          <w:sz w:val="20"/>
          <w:szCs w:val="20"/>
        </w:rPr>
      </w:pPr>
    </w:p>
    <w:p w14:paraId="4C11A0C2" w14:textId="77777777" w:rsidR="0072699C" w:rsidRPr="00E60EA7" w:rsidRDefault="0072699C" w:rsidP="0072699C">
      <w:pPr>
        <w:rPr>
          <w:rFonts w:ascii="Times New Roman" w:hAnsi="Times New Roman" w:cs="Times New Roman"/>
          <w:szCs w:val="20"/>
        </w:rPr>
      </w:pPr>
    </w:p>
    <w:p w14:paraId="5B511D8C" w14:textId="77777777" w:rsidR="0072699C" w:rsidRDefault="0072699C" w:rsidP="0072699C">
      <w:pPr>
        <w:pStyle w:val="Hlavntextlnksmlouvy"/>
        <w:numPr>
          <w:ilvl w:val="0"/>
          <w:numId w:val="0"/>
        </w:numPr>
        <w:spacing w:line="276" w:lineRule="auto"/>
        <w:ind w:left="142"/>
      </w:pPr>
    </w:p>
    <w:p w14:paraId="69C61605" w14:textId="3FD19DB3" w:rsidR="008B3EAF" w:rsidRPr="008B3EAF" w:rsidRDefault="008B3EAF" w:rsidP="008B3EAF">
      <w:pPr>
        <w:tabs>
          <w:tab w:val="left" w:pos="8928"/>
        </w:tabs>
        <w:rPr>
          <w:rStyle w:val="Kvbruaodstrann"/>
        </w:rPr>
      </w:pPr>
    </w:p>
    <w:sectPr w:rsidR="008B3EAF" w:rsidRPr="008B3EAF" w:rsidSect="00340B35">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AyAC4AIAD6AHIAbwB2AGUASAE=" wne:acdName="acd0" wne:fciIndexBasedOn="0065"/>
    <wne:acd wne:argValue="AgAzAC4AIAD6AHIAbwB2AGUASAEgAC0AIABrACAAbwBkAHMAdAByAGEAbgAbAW4A7QA=" wne:acdName="acd1" wne:fciIndexBasedOn="0065"/>
    <wne:acd wne:argValue="AgAzAC4AIAD6AHIAbwB2AGUASAEgAC0AIAB0AHIAdgBhAGwA4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78D7" w14:textId="77777777" w:rsidR="00A169D5" w:rsidRDefault="00A169D5" w:rsidP="00324D78">
      <w:pPr>
        <w:spacing w:after="0" w:line="240" w:lineRule="auto"/>
      </w:pPr>
      <w:r>
        <w:separator/>
      </w:r>
    </w:p>
  </w:endnote>
  <w:endnote w:type="continuationSeparator" w:id="0">
    <w:p w14:paraId="4A98725E" w14:textId="77777777" w:rsidR="00A169D5" w:rsidRDefault="00A169D5" w:rsidP="00324D78">
      <w:pPr>
        <w:spacing w:after="0" w:line="240" w:lineRule="auto"/>
      </w:pPr>
      <w:r>
        <w:continuationSeparator/>
      </w:r>
    </w:p>
  </w:endnote>
  <w:endnote w:type="continuationNotice" w:id="1">
    <w:p w14:paraId="1CE70C64" w14:textId="77777777" w:rsidR="00A169D5" w:rsidRDefault="00A16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57216"/>
      <w:docPartObj>
        <w:docPartGallery w:val="Page Numbers (Bottom of Page)"/>
        <w:docPartUnique/>
      </w:docPartObj>
    </w:sdtPr>
    <w:sdtContent>
      <w:sdt>
        <w:sdtPr>
          <w:id w:val="-1705238520"/>
          <w:docPartObj>
            <w:docPartGallery w:val="Page Numbers (Top of Page)"/>
            <w:docPartUnique/>
          </w:docPartObj>
        </w:sdtPr>
        <w:sdtContent>
          <w:p w14:paraId="759A0ACA" w14:textId="47ADA77C" w:rsidR="00324D78" w:rsidRDefault="00324D78">
            <w:pPr>
              <w:pStyle w:val="Zpat"/>
            </w:pPr>
            <w:r>
              <w:t xml:space="preserve">Stránka </w:t>
            </w:r>
            <w:r>
              <w:rPr>
                <w:b/>
                <w:bCs/>
                <w:sz w:val="24"/>
                <w:szCs w:val="24"/>
              </w:rPr>
              <w:fldChar w:fldCharType="begin"/>
            </w:r>
            <w:r>
              <w:rPr>
                <w:b/>
                <w:bCs/>
              </w:rPr>
              <w:instrText>PAGE</w:instrText>
            </w:r>
            <w:r>
              <w:rPr>
                <w:b/>
                <w:bCs/>
                <w:sz w:val="24"/>
                <w:szCs w:val="24"/>
              </w:rPr>
              <w:fldChar w:fldCharType="separate"/>
            </w:r>
            <w:r w:rsidR="00AA58E9">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A58E9">
              <w:rPr>
                <w:b/>
                <w:bCs/>
                <w:noProof/>
              </w:rPr>
              <w:t>8</w:t>
            </w:r>
            <w:r>
              <w:rPr>
                <w:b/>
                <w:bCs/>
                <w:sz w:val="24"/>
                <w:szCs w:val="24"/>
              </w:rPr>
              <w:fldChar w:fldCharType="end"/>
            </w:r>
          </w:p>
        </w:sdtContent>
      </w:sdt>
    </w:sdtContent>
  </w:sdt>
  <w:p w14:paraId="319CDE85" w14:textId="77777777"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AFBB" w14:textId="77777777" w:rsidR="00A169D5" w:rsidRDefault="00A169D5" w:rsidP="00324D78">
      <w:pPr>
        <w:spacing w:after="0" w:line="240" w:lineRule="auto"/>
      </w:pPr>
      <w:r>
        <w:separator/>
      </w:r>
    </w:p>
  </w:footnote>
  <w:footnote w:type="continuationSeparator" w:id="0">
    <w:p w14:paraId="028C06C2" w14:textId="77777777" w:rsidR="00A169D5" w:rsidRDefault="00A169D5" w:rsidP="00324D78">
      <w:pPr>
        <w:spacing w:after="0" w:line="240" w:lineRule="auto"/>
      </w:pPr>
      <w:r>
        <w:continuationSeparator/>
      </w:r>
    </w:p>
  </w:footnote>
  <w:footnote w:type="continuationNotice" w:id="1">
    <w:p w14:paraId="0545BCFA" w14:textId="77777777" w:rsidR="00A169D5" w:rsidRDefault="00A169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CDD"/>
    <w:multiLevelType w:val="multilevel"/>
    <w:tmpl w:val="01C2B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3" w15:restartNumberingAfterBreak="0">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4"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5"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6" w15:restartNumberingAfterBreak="0">
    <w:nsid w:val="64E907BB"/>
    <w:multiLevelType w:val="hybridMultilevel"/>
    <w:tmpl w:val="8F5C62AC"/>
    <w:lvl w:ilvl="0" w:tplc="04050001">
      <w:start w:val="1"/>
      <w:numFmt w:val="bullet"/>
      <w:lvlText w:val=""/>
      <w:lvlJc w:val="left"/>
      <w:pPr>
        <w:ind w:left="720" w:hanging="360"/>
      </w:pPr>
      <w:rPr>
        <w:rFonts w:ascii="Symbol" w:hAnsi="Symbol" w:hint="default"/>
      </w:rPr>
    </w:lvl>
    <w:lvl w:ilvl="1" w:tplc="D8C0D0CC">
      <w:numFmt w:val="bullet"/>
      <w:lvlText w:val="•"/>
      <w:lvlJc w:val="left"/>
      <w:pPr>
        <w:ind w:left="1440" w:hanging="360"/>
      </w:pPr>
      <w:rPr>
        <w:rFonts w:ascii="Calibri" w:eastAsia="Calibri" w:hAnsi="Calibri" w:cs="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922251172">
    <w:abstractNumId w:val="3"/>
  </w:num>
  <w:num w:numId="2" w16cid:durableId="1825924494">
    <w:abstractNumId w:val="5"/>
  </w:num>
  <w:num w:numId="3" w16cid:durableId="1990093395">
    <w:abstractNumId w:val="3"/>
  </w:num>
  <w:num w:numId="4" w16cid:durableId="1074086031">
    <w:abstractNumId w:val="3"/>
  </w:num>
  <w:num w:numId="5" w16cid:durableId="1635867674">
    <w:abstractNumId w:val="3"/>
  </w:num>
  <w:num w:numId="6" w16cid:durableId="992027439">
    <w:abstractNumId w:val="3"/>
  </w:num>
  <w:num w:numId="7" w16cid:durableId="13349136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4279145">
    <w:abstractNumId w:val="3"/>
  </w:num>
  <w:num w:numId="9" w16cid:durableId="1717704873">
    <w:abstractNumId w:val="3"/>
  </w:num>
  <w:num w:numId="10" w16cid:durableId="426849829">
    <w:abstractNumId w:val="3"/>
  </w:num>
  <w:num w:numId="11" w16cid:durableId="494877846">
    <w:abstractNumId w:val="3"/>
  </w:num>
  <w:num w:numId="12" w16cid:durableId="302856353">
    <w:abstractNumId w:val="1"/>
  </w:num>
  <w:num w:numId="13" w16cid:durableId="562571623">
    <w:abstractNumId w:val="3"/>
    <w:lvlOverride w:ilvl="0">
      <w:startOverride w:val="1"/>
    </w:lvlOverride>
    <w:lvlOverride w:ilvl="1">
      <w:startOverride w:val="1"/>
    </w:lvlOverride>
    <w:lvlOverride w:ilvl="2">
      <w:startOverride w:val="1"/>
    </w:lvlOverride>
  </w:num>
  <w:num w:numId="14" w16cid:durableId="993531063">
    <w:abstractNumId w:val="4"/>
  </w:num>
  <w:num w:numId="15" w16cid:durableId="1466969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8269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8562781">
    <w:abstractNumId w:val="3"/>
  </w:num>
  <w:num w:numId="18" w16cid:durableId="1581715958">
    <w:abstractNumId w:val="3"/>
  </w:num>
  <w:num w:numId="19" w16cid:durableId="1291280460">
    <w:abstractNumId w:val="3"/>
  </w:num>
  <w:num w:numId="20" w16cid:durableId="1852449521">
    <w:abstractNumId w:val="2"/>
  </w:num>
  <w:num w:numId="21" w16cid:durableId="75172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7165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24758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6D"/>
    <w:rsid w:val="0000696F"/>
    <w:rsid w:val="000132A3"/>
    <w:rsid w:val="00013EEE"/>
    <w:rsid w:val="0002270B"/>
    <w:rsid w:val="000228C3"/>
    <w:rsid w:val="0003487A"/>
    <w:rsid w:val="000417D8"/>
    <w:rsid w:val="0005319A"/>
    <w:rsid w:val="0005501A"/>
    <w:rsid w:val="00075720"/>
    <w:rsid w:val="00077168"/>
    <w:rsid w:val="00090713"/>
    <w:rsid w:val="00095DF0"/>
    <w:rsid w:val="00097AA1"/>
    <w:rsid w:val="000A6E68"/>
    <w:rsid w:val="000B0AC2"/>
    <w:rsid w:val="000B11E0"/>
    <w:rsid w:val="000B7FE5"/>
    <w:rsid w:val="000C5740"/>
    <w:rsid w:val="000D31A2"/>
    <w:rsid w:val="000E0503"/>
    <w:rsid w:val="000E7D0E"/>
    <w:rsid w:val="000F686B"/>
    <w:rsid w:val="001114DC"/>
    <w:rsid w:val="00114376"/>
    <w:rsid w:val="00116E6A"/>
    <w:rsid w:val="00123AD3"/>
    <w:rsid w:val="00126170"/>
    <w:rsid w:val="00136A61"/>
    <w:rsid w:val="001422DD"/>
    <w:rsid w:val="0014635F"/>
    <w:rsid w:val="001575B6"/>
    <w:rsid w:val="00165E3A"/>
    <w:rsid w:val="001727DF"/>
    <w:rsid w:val="001755B5"/>
    <w:rsid w:val="0017738B"/>
    <w:rsid w:val="00177FB1"/>
    <w:rsid w:val="00185091"/>
    <w:rsid w:val="00185DE1"/>
    <w:rsid w:val="00192793"/>
    <w:rsid w:val="001C4D9E"/>
    <w:rsid w:val="001C6112"/>
    <w:rsid w:val="001D227C"/>
    <w:rsid w:val="001E11F1"/>
    <w:rsid w:val="001E22BF"/>
    <w:rsid w:val="001E5A62"/>
    <w:rsid w:val="001F53B9"/>
    <w:rsid w:val="002031A5"/>
    <w:rsid w:val="002065FF"/>
    <w:rsid w:val="00211237"/>
    <w:rsid w:val="00214E04"/>
    <w:rsid w:val="00220F80"/>
    <w:rsid w:val="00222CBA"/>
    <w:rsid w:val="00223423"/>
    <w:rsid w:val="002321A0"/>
    <w:rsid w:val="002413BD"/>
    <w:rsid w:val="00251DFE"/>
    <w:rsid w:val="00253134"/>
    <w:rsid w:val="00254F2A"/>
    <w:rsid w:val="00256275"/>
    <w:rsid w:val="002563AC"/>
    <w:rsid w:val="00281988"/>
    <w:rsid w:val="00282F08"/>
    <w:rsid w:val="00287043"/>
    <w:rsid w:val="002A0B26"/>
    <w:rsid w:val="002A56F2"/>
    <w:rsid w:val="002B066D"/>
    <w:rsid w:val="002B1861"/>
    <w:rsid w:val="002B1A10"/>
    <w:rsid w:val="002B4723"/>
    <w:rsid w:val="002C00E2"/>
    <w:rsid w:val="002C5090"/>
    <w:rsid w:val="002D150A"/>
    <w:rsid w:val="002D215A"/>
    <w:rsid w:val="003042E9"/>
    <w:rsid w:val="00306C0D"/>
    <w:rsid w:val="0030743E"/>
    <w:rsid w:val="003117ED"/>
    <w:rsid w:val="00313590"/>
    <w:rsid w:val="00313DE9"/>
    <w:rsid w:val="00324D78"/>
    <w:rsid w:val="00340702"/>
    <w:rsid w:val="00340B35"/>
    <w:rsid w:val="00357941"/>
    <w:rsid w:val="0036448F"/>
    <w:rsid w:val="003659F7"/>
    <w:rsid w:val="003666F4"/>
    <w:rsid w:val="00373C3D"/>
    <w:rsid w:val="00374AE6"/>
    <w:rsid w:val="00376A53"/>
    <w:rsid w:val="00381A8A"/>
    <w:rsid w:val="003A2B2E"/>
    <w:rsid w:val="003A399C"/>
    <w:rsid w:val="003B4183"/>
    <w:rsid w:val="003B4F68"/>
    <w:rsid w:val="003C4439"/>
    <w:rsid w:val="003C4D8A"/>
    <w:rsid w:val="003C70F7"/>
    <w:rsid w:val="003D35B4"/>
    <w:rsid w:val="003D4418"/>
    <w:rsid w:val="003D6684"/>
    <w:rsid w:val="003D6A1A"/>
    <w:rsid w:val="003D7EC4"/>
    <w:rsid w:val="003E3BE0"/>
    <w:rsid w:val="003E3DF1"/>
    <w:rsid w:val="003F1035"/>
    <w:rsid w:val="00412219"/>
    <w:rsid w:val="004131ED"/>
    <w:rsid w:val="00426BE6"/>
    <w:rsid w:val="00430948"/>
    <w:rsid w:val="00432A5A"/>
    <w:rsid w:val="004340C5"/>
    <w:rsid w:val="004365DE"/>
    <w:rsid w:val="00441B3B"/>
    <w:rsid w:val="00444289"/>
    <w:rsid w:val="00454C62"/>
    <w:rsid w:val="00472255"/>
    <w:rsid w:val="00485683"/>
    <w:rsid w:val="004872A7"/>
    <w:rsid w:val="004942FC"/>
    <w:rsid w:val="00496893"/>
    <w:rsid w:val="004A3A15"/>
    <w:rsid w:val="004A49A2"/>
    <w:rsid w:val="004B6331"/>
    <w:rsid w:val="004D67D0"/>
    <w:rsid w:val="004D7E38"/>
    <w:rsid w:val="004E4E47"/>
    <w:rsid w:val="004F068F"/>
    <w:rsid w:val="004F1656"/>
    <w:rsid w:val="004F6476"/>
    <w:rsid w:val="00504796"/>
    <w:rsid w:val="00506961"/>
    <w:rsid w:val="005069B4"/>
    <w:rsid w:val="005160EE"/>
    <w:rsid w:val="00516C51"/>
    <w:rsid w:val="00524DE4"/>
    <w:rsid w:val="005269E1"/>
    <w:rsid w:val="00530D1A"/>
    <w:rsid w:val="005405D6"/>
    <w:rsid w:val="00553A54"/>
    <w:rsid w:val="0056114B"/>
    <w:rsid w:val="005651A6"/>
    <w:rsid w:val="00567CAC"/>
    <w:rsid w:val="005803A9"/>
    <w:rsid w:val="0058284A"/>
    <w:rsid w:val="00582FA9"/>
    <w:rsid w:val="00584FAF"/>
    <w:rsid w:val="00586C8E"/>
    <w:rsid w:val="00587133"/>
    <w:rsid w:val="00592774"/>
    <w:rsid w:val="005B1088"/>
    <w:rsid w:val="005B3156"/>
    <w:rsid w:val="005C0FC8"/>
    <w:rsid w:val="005C3F37"/>
    <w:rsid w:val="005C5366"/>
    <w:rsid w:val="005F5EF1"/>
    <w:rsid w:val="0060034F"/>
    <w:rsid w:val="006033A0"/>
    <w:rsid w:val="00610168"/>
    <w:rsid w:val="006120A4"/>
    <w:rsid w:val="006128F2"/>
    <w:rsid w:val="006137BD"/>
    <w:rsid w:val="00620363"/>
    <w:rsid w:val="00626FA3"/>
    <w:rsid w:val="00641673"/>
    <w:rsid w:val="00642A5E"/>
    <w:rsid w:val="00646EB9"/>
    <w:rsid w:val="00663A3B"/>
    <w:rsid w:val="00664E5A"/>
    <w:rsid w:val="00674C5D"/>
    <w:rsid w:val="0067509E"/>
    <w:rsid w:val="00693C73"/>
    <w:rsid w:val="006A2C40"/>
    <w:rsid w:val="006A39C7"/>
    <w:rsid w:val="006A4FA0"/>
    <w:rsid w:val="006E48D9"/>
    <w:rsid w:val="006F0A9F"/>
    <w:rsid w:val="00703656"/>
    <w:rsid w:val="0071018E"/>
    <w:rsid w:val="007235CF"/>
    <w:rsid w:val="0072699C"/>
    <w:rsid w:val="00727B14"/>
    <w:rsid w:val="00735C58"/>
    <w:rsid w:val="00736A2B"/>
    <w:rsid w:val="00740741"/>
    <w:rsid w:val="00747C54"/>
    <w:rsid w:val="00760945"/>
    <w:rsid w:val="00766DAA"/>
    <w:rsid w:val="0077026D"/>
    <w:rsid w:val="00771A67"/>
    <w:rsid w:val="00794512"/>
    <w:rsid w:val="00794BBB"/>
    <w:rsid w:val="00796EB0"/>
    <w:rsid w:val="007A3EEB"/>
    <w:rsid w:val="007B1390"/>
    <w:rsid w:val="007B16C0"/>
    <w:rsid w:val="007B258A"/>
    <w:rsid w:val="007C01EB"/>
    <w:rsid w:val="007C1859"/>
    <w:rsid w:val="007C2258"/>
    <w:rsid w:val="007D786E"/>
    <w:rsid w:val="007E1791"/>
    <w:rsid w:val="007E7130"/>
    <w:rsid w:val="007F3815"/>
    <w:rsid w:val="008024B4"/>
    <w:rsid w:val="0081667A"/>
    <w:rsid w:val="008209BF"/>
    <w:rsid w:val="00836085"/>
    <w:rsid w:val="008366B8"/>
    <w:rsid w:val="008414F3"/>
    <w:rsid w:val="00846F07"/>
    <w:rsid w:val="00850833"/>
    <w:rsid w:val="00860737"/>
    <w:rsid w:val="00864DD2"/>
    <w:rsid w:val="00867936"/>
    <w:rsid w:val="00870EEC"/>
    <w:rsid w:val="0088567B"/>
    <w:rsid w:val="008861B6"/>
    <w:rsid w:val="00887BFA"/>
    <w:rsid w:val="00890E4B"/>
    <w:rsid w:val="008A6407"/>
    <w:rsid w:val="008B3CAE"/>
    <w:rsid w:val="008B3EAF"/>
    <w:rsid w:val="008C55EA"/>
    <w:rsid w:val="008D0B91"/>
    <w:rsid w:val="008D1EBC"/>
    <w:rsid w:val="008D374D"/>
    <w:rsid w:val="008E75C2"/>
    <w:rsid w:val="008E7B6E"/>
    <w:rsid w:val="009021DC"/>
    <w:rsid w:val="00911D65"/>
    <w:rsid w:val="009139D6"/>
    <w:rsid w:val="00921CB8"/>
    <w:rsid w:val="00927879"/>
    <w:rsid w:val="00930026"/>
    <w:rsid w:val="009465C0"/>
    <w:rsid w:val="009514A5"/>
    <w:rsid w:val="009609DE"/>
    <w:rsid w:val="009631A7"/>
    <w:rsid w:val="00963551"/>
    <w:rsid w:val="00971B6C"/>
    <w:rsid w:val="009726C2"/>
    <w:rsid w:val="00974864"/>
    <w:rsid w:val="00990D91"/>
    <w:rsid w:val="0099201B"/>
    <w:rsid w:val="009954FF"/>
    <w:rsid w:val="009A1660"/>
    <w:rsid w:val="009A7B68"/>
    <w:rsid w:val="009B032D"/>
    <w:rsid w:val="009B2086"/>
    <w:rsid w:val="009B704A"/>
    <w:rsid w:val="009C5298"/>
    <w:rsid w:val="009C62B9"/>
    <w:rsid w:val="009D2D7E"/>
    <w:rsid w:val="009D6548"/>
    <w:rsid w:val="009E1DBD"/>
    <w:rsid w:val="00A03A9E"/>
    <w:rsid w:val="00A11E59"/>
    <w:rsid w:val="00A16779"/>
    <w:rsid w:val="00A169D5"/>
    <w:rsid w:val="00A233FD"/>
    <w:rsid w:val="00A33037"/>
    <w:rsid w:val="00A35B90"/>
    <w:rsid w:val="00A4086E"/>
    <w:rsid w:val="00A439DD"/>
    <w:rsid w:val="00A517D6"/>
    <w:rsid w:val="00A64E56"/>
    <w:rsid w:val="00A66CDB"/>
    <w:rsid w:val="00A72CCD"/>
    <w:rsid w:val="00A75A68"/>
    <w:rsid w:val="00A954DB"/>
    <w:rsid w:val="00A96CAC"/>
    <w:rsid w:val="00AA58E9"/>
    <w:rsid w:val="00AB01C1"/>
    <w:rsid w:val="00AB4AFB"/>
    <w:rsid w:val="00AC1732"/>
    <w:rsid w:val="00AD41BD"/>
    <w:rsid w:val="00AF403C"/>
    <w:rsid w:val="00B007CA"/>
    <w:rsid w:val="00B036EE"/>
    <w:rsid w:val="00B06852"/>
    <w:rsid w:val="00B17840"/>
    <w:rsid w:val="00B20C4A"/>
    <w:rsid w:val="00B21DB2"/>
    <w:rsid w:val="00B24D28"/>
    <w:rsid w:val="00B43670"/>
    <w:rsid w:val="00B56AC2"/>
    <w:rsid w:val="00B57038"/>
    <w:rsid w:val="00B60582"/>
    <w:rsid w:val="00B64E1E"/>
    <w:rsid w:val="00B66BFF"/>
    <w:rsid w:val="00B7467E"/>
    <w:rsid w:val="00BB1F5D"/>
    <w:rsid w:val="00BC1625"/>
    <w:rsid w:val="00BC2D1D"/>
    <w:rsid w:val="00BD1A8B"/>
    <w:rsid w:val="00BD2867"/>
    <w:rsid w:val="00BD6C23"/>
    <w:rsid w:val="00BD792D"/>
    <w:rsid w:val="00BE049C"/>
    <w:rsid w:val="00BE199A"/>
    <w:rsid w:val="00BE1FEE"/>
    <w:rsid w:val="00BE451E"/>
    <w:rsid w:val="00BE4E77"/>
    <w:rsid w:val="00BF1854"/>
    <w:rsid w:val="00BF23F2"/>
    <w:rsid w:val="00C069A0"/>
    <w:rsid w:val="00C16CD0"/>
    <w:rsid w:val="00C201D2"/>
    <w:rsid w:val="00C23F57"/>
    <w:rsid w:val="00C276DF"/>
    <w:rsid w:val="00C306FE"/>
    <w:rsid w:val="00C37053"/>
    <w:rsid w:val="00C41132"/>
    <w:rsid w:val="00C62A7D"/>
    <w:rsid w:val="00C64D04"/>
    <w:rsid w:val="00C658A0"/>
    <w:rsid w:val="00C66338"/>
    <w:rsid w:val="00C70342"/>
    <w:rsid w:val="00C7203C"/>
    <w:rsid w:val="00C736EB"/>
    <w:rsid w:val="00C81F2E"/>
    <w:rsid w:val="00C82C29"/>
    <w:rsid w:val="00C92705"/>
    <w:rsid w:val="00C93792"/>
    <w:rsid w:val="00CA6054"/>
    <w:rsid w:val="00CB1B5B"/>
    <w:rsid w:val="00CB57BD"/>
    <w:rsid w:val="00CB78A2"/>
    <w:rsid w:val="00CC6CBC"/>
    <w:rsid w:val="00CD15CD"/>
    <w:rsid w:val="00CD2022"/>
    <w:rsid w:val="00CD2C76"/>
    <w:rsid w:val="00CD6632"/>
    <w:rsid w:val="00CE1DC5"/>
    <w:rsid w:val="00CF1D37"/>
    <w:rsid w:val="00CF3007"/>
    <w:rsid w:val="00CF3AEF"/>
    <w:rsid w:val="00D0470B"/>
    <w:rsid w:val="00D067FC"/>
    <w:rsid w:val="00D11E31"/>
    <w:rsid w:val="00D143CD"/>
    <w:rsid w:val="00D26A61"/>
    <w:rsid w:val="00D449CF"/>
    <w:rsid w:val="00D47986"/>
    <w:rsid w:val="00D53684"/>
    <w:rsid w:val="00D62FDD"/>
    <w:rsid w:val="00D64AB1"/>
    <w:rsid w:val="00D65F4F"/>
    <w:rsid w:val="00D712E8"/>
    <w:rsid w:val="00D76FC9"/>
    <w:rsid w:val="00D77279"/>
    <w:rsid w:val="00D81B61"/>
    <w:rsid w:val="00D81DAF"/>
    <w:rsid w:val="00D81E06"/>
    <w:rsid w:val="00D84666"/>
    <w:rsid w:val="00D86174"/>
    <w:rsid w:val="00D87383"/>
    <w:rsid w:val="00D9597D"/>
    <w:rsid w:val="00DB0265"/>
    <w:rsid w:val="00DB2509"/>
    <w:rsid w:val="00DC297B"/>
    <w:rsid w:val="00DE1A8D"/>
    <w:rsid w:val="00DE5507"/>
    <w:rsid w:val="00DE64D6"/>
    <w:rsid w:val="00DE6C50"/>
    <w:rsid w:val="00DE70AD"/>
    <w:rsid w:val="00E11474"/>
    <w:rsid w:val="00E14143"/>
    <w:rsid w:val="00E14690"/>
    <w:rsid w:val="00E24859"/>
    <w:rsid w:val="00E26389"/>
    <w:rsid w:val="00E35B80"/>
    <w:rsid w:val="00E5121A"/>
    <w:rsid w:val="00E52928"/>
    <w:rsid w:val="00E57923"/>
    <w:rsid w:val="00E80EA9"/>
    <w:rsid w:val="00E81330"/>
    <w:rsid w:val="00E82920"/>
    <w:rsid w:val="00E84126"/>
    <w:rsid w:val="00E8594B"/>
    <w:rsid w:val="00E86D26"/>
    <w:rsid w:val="00E907DB"/>
    <w:rsid w:val="00EA1D72"/>
    <w:rsid w:val="00EA26E7"/>
    <w:rsid w:val="00EB1154"/>
    <w:rsid w:val="00EC2305"/>
    <w:rsid w:val="00EC4D55"/>
    <w:rsid w:val="00EE2AE8"/>
    <w:rsid w:val="00EE3182"/>
    <w:rsid w:val="00EE4740"/>
    <w:rsid w:val="00EE7942"/>
    <w:rsid w:val="00EF21F6"/>
    <w:rsid w:val="00EF3515"/>
    <w:rsid w:val="00EF3631"/>
    <w:rsid w:val="00EF59D5"/>
    <w:rsid w:val="00EF7588"/>
    <w:rsid w:val="00F13C74"/>
    <w:rsid w:val="00F158CC"/>
    <w:rsid w:val="00F17028"/>
    <w:rsid w:val="00F26AF6"/>
    <w:rsid w:val="00F351E6"/>
    <w:rsid w:val="00F3780D"/>
    <w:rsid w:val="00F40D13"/>
    <w:rsid w:val="00F43D0C"/>
    <w:rsid w:val="00F50470"/>
    <w:rsid w:val="00F575F2"/>
    <w:rsid w:val="00F6484A"/>
    <w:rsid w:val="00F71788"/>
    <w:rsid w:val="00F71A22"/>
    <w:rsid w:val="00F75253"/>
    <w:rsid w:val="00F82245"/>
    <w:rsid w:val="00F8398D"/>
    <w:rsid w:val="00F90976"/>
    <w:rsid w:val="00FA3071"/>
    <w:rsid w:val="00FB0E5C"/>
    <w:rsid w:val="00FB265A"/>
    <w:rsid w:val="00FC1D25"/>
    <w:rsid w:val="00FC2E44"/>
    <w:rsid w:val="00FD1DA8"/>
    <w:rsid w:val="00FE0BEF"/>
    <w:rsid w:val="00FE3B42"/>
    <w:rsid w:val="00FE69B7"/>
    <w:rsid w:val="00FF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9A9B"/>
  <w15:chartTrackingRefBased/>
  <w15:docId w15:val="{56790228-AD5B-446F-9354-F116445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3"/>
    <w:qFormat/>
    <w:rsid w:val="002321A0"/>
    <w:rPr>
      <w:rFonts w:ascii="Arial" w:hAnsi="Arial"/>
      <w:sz w:val="20"/>
    </w:rPr>
  </w:style>
  <w:style w:type="paragraph" w:styleId="Nadpis1">
    <w:name w:val="heading 1"/>
    <w:aliases w:val="Nadpis článku smlouvy,1. úroveň"/>
    <w:basedOn w:val="Normln"/>
    <w:next w:val="Hlavntextlnksmlouvy"/>
    <w:link w:val="Nadpis1Char"/>
    <w:qFormat/>
    <w:rsid w:val="002321A0"/>
    <w:pPr>
      <w:keepNext/>
      <w:numPr>
        <w:numId w:val="20"/>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0"/>
        <w:numId w:val="0"/>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1. úroveň Char"/>
    <w:basedOn w:val="Standardnpsmoodstavce"/>
    <w:link w:val="Nadpis1"/>
    <w:rsid w:val="002321A0"/>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paragraph" w:customStyle="1" w:styleId="2rove">
    <w:name w:val="2. úroveň"/>
    <w:basedOn w:val="Normln"/>
    <w:uiPriority w:val="1"/>
    <w:qFormat/>
    <w:rsid w:val="00C7203C"/>
    <w:pPr>
      <w:numPr>
        <w:ilvl w:val="1"/>
        <w:numId w:val="20"/>
      </w:numPr>
      <w:spacing w:before="60" w:after="60" w:line="240" w:lineRule="auto"/>
      <w:jc w:val="both"/>
      <w:outlineLvl w:val="1"/>
    </w:pPr>
  </w:style>
  <w:style w:type="paragraph" w:customStyle="1" w:styleId="3rove-kodstrann">
    <w:name w:val="3. úroveň - k odstranění"/>
    <w:basedOn w:val="2rove"/>
    <w:uiPriority w:val="2"/>
    <w:qFormat/>
    <w:rsid w:val="00C7203C"/>
    <w:pPr>
      <w:numPr>
        <w:ilvl w:val="2"/>
      </w:numPr>
      <w:spacing w:before="0"/>
      <w:outlineLvl w:val="2"/>
    </w:pPr>
  </w:style>
  <w:style w:type="paragraph" w:customStyle="1" w:styleId="3rove-trval">
    <w:name w:val="3. úroveň - trvalá"/>
    <w:basedOn w:val="3rove-kodstrann"/>
    <w:uiPriority w:val="3"/>
    <w:qFormat/>
    <w:rsid w:val="00C7203C"/>
    <w:pPr>
      <w:numPr>
        <w:ilvl w:val="3"/>
      </w:numPr>
    </w:pPr>
  </w:style>
  <w:style w:type="character" w:customStyle="1" w:styleId="Kvbruaodstrann">
    <w:name w:val="K výběru a odstranění"/>
    <w:basedOn w:val="Standardnpsmoodstavce"/>
    <w:uiPriority w:val="1"/>
    <w:qFormat/>
    <w:rsid w:val="00C7203C"/>
    <w:rPr>
      <w:i/>
      <w:color w:val="5B9BD5" w:themeColor="accent1"/>
      <w:sz w:val="16"/>
      <w:szCs w:val="16"/>
    </w:rPr>
  </w:style>
  <w:style w:type="character" w:styleId="Hypertextovodkaz">
    <w:name w:val="Hyperlink"/>
    <w:basedOn w:val="Standardnpsmoodstavce"/>
    <w:uiPriority w:val="99"/>
    <w:unhideWhenUsed/>
    <w:rsid w:val="00CB57BD"/>
    <w:rPr>
      <w:color w:val="0563C1" w:themeColor="hyperlink"/>
      <w:u w:val="single"/>
    </w:rPr>
  </w:style>
  <w:style w:type="paragraph" w:styleId="Odstavecseseznamem">
    <w:name w:val="List Paragraph"/>
    <w:basedOn w:val="Normln"/>
    <w:link w:val="OdstavecseseznamemChar"/>
    <w:uiPriority w:val="99"/>
    <w:qFormat/>
    <w:rsid w:val="0072699C"/>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99"/>
    <w:rsid w:val="0072699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8462D9BBA65644BA36A404E812B974" ma:contentTypeVersion="12" ma:contentTypeDescription="Vytvoří nový dokument" ma:contentTypeScope="" ma:versionID="23f88153f019cbd187e85fb024116e43">
  <xsd:schema xmlns:xsd="http://www.w3.org/2001/XMLSchema" xmlns:xs="http://www.w3.org/2001/XMLSchema" xmlns:p="http://schemas.microsoft.com/office/2006/metadata/properties" xmlns:ns3="a51bdc13-f277-4602-9319-a884ad649568" xmlns:ns4="bd8f3fd4-6e3e-4a9b-b72e-f218a73e6586" targetNamespace="http://schemas.microsoft.com/office/2006/metadata/properties" ma:root="true" ma:fieldsID="a95462cfca7c260cb70b654b3dac7e7a" ns3:_="" ns4:_="">
    <xsd:import namespace="a51bdc13-f277-4602-9319-a884ad649568"/>
    <xsd:import namespace="bd8f3fd4-6e3e-4a9b-b72e-f218a73e65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dc13-f277-4602-9319-a884ad649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3fd4-6e3e-4a9b-b72e-f218a73e658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98A22-F63E-4E08-85DC-C6B94730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dc13-f277-4602-9319-a884ad649568"/>
    <ds:schemaRef ds:uri="bd8f3fd4-6e3e-4a9b-b72e-f218a73e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87E0B-94A0-4771-85BC-81709E1888EA}">
  <ds:schemaRefs>
    <ds:schemaRef ds:uri="http://schemas.openxmlformats.org/officeDocument/2006/bibliography"/>
  </ds:schemaRefs>
</ds:datastoreItem>
</file>

<file path=customXml/itemProps3.xml><?xml version="1.0" encoding="utf-8"?>
<ds:datastoreItem xmlns:ds="http://schemas.openxmlformats.org/officeDocument/2006/customXml" ds:itemID="{77F20DD1-938A-4512-A04C-5F9008FB00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C27354-9589-456B-9BAA-5986E4F18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4</TotalTime>
  <Pages>8</Pages>
  <Words>3320</Words>
  <Characters>19591</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Koňaříková Katarína</cp:lastModifiedBy>
  <cp:revision>7</cp:revision>
  <cp:lastPrinted>2023-12-13T15:59:00Z</cp:lastPrinted>
  <dcterms:created xsi:type="dcterms:W3CDTF">2023-12-13T16:00:00Z</dcterms:created>
  <dcterms:modified xsi:type="dcterms:W3CDTF">2024-01-17T09:34:00Z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0x010100B18462D9BBA65644BA36A404E812B974</vt:lpwstr>
  </property>
</Properties>
</file>