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6B7C1" w14:textId="77777777" w:rsidR="00681554" w:rsidRPr="00681554" w:rsidRDefault="00681554" w:rsidP="00681554">
      <w:pPr>
        <w:jc w:val="center"/>
        <w:rPr>
          <w:rFonts w:asciiTheme="minorHAnsi" w:hAnsiTheme="minorHAnsi" w:cstheme="minorHAnsi"/>
          <w:b/>
          <w:sz w:val="32"/>
          <w:szCs w:val="32"/>
          <w:u w:val="single"/>
        </w:rPr>
      </w:pPr>
      <w:r w:rsidRPr="00681554">
        <w:rPr>
          <w:rFonts w:asciiTheme="minorHAnsi" w:hAnsiTheme="minorHAnsi" w:cstheme="minorHAnsi"/>
          <w:b/>
          <w:sz w:val="32"/>
          <w:szCs w:val="32"/>
          <w:u w:val="single"/>
        </w:rPr>
        <w:t>Kupní smlouva</w:t>
      </w:r>
    </w:p>
    <w:p w14:paraId="6C146A4F" w14:textId="77777777" w:rsidR="00681554" w:rsidRPr="00DB3482" w:rsidRDefault="00681554" w:rsidP="00681554">
      <w:pPr>
        <w:pStyle w:val="Bezmezer"/>
        <w:numPr>
          <w:ilvl w:val="0"/>
          <w:numId w:val="2"/>
        </w:numPr>
        <w:rPr>
          <w:rFonts w:asciiTheme="minorHAnsi" w:hAnsiTheme="minorHAnsi" w:cstheme="minorHAnsi"/>
          <w:b/>
          <w:u w:val="single"/>
        </w:rPr>
      </w:pPr>
      <w:r w:rsidRPr="00DB3482">
        <w:rPr>
          <w:rFonts w:asciiTheme="minorHAnsi" w:hAnsiTheme="minorHAnsi" w:cstheme="minorHAnsi"/>
          <w:b/>
          <w:u w:val="single"/>
        </w:rPr>
        <w:t>Smluvní strany</w:t>
      </w:r>
    </w:p>
    <w:p w14:paraId="663F5AFF" w14:textId="77777777" w:rsidR="00681554" w:rsidRPr="00DB3482" w:rsidRDefault="00681554" w:rsidP="00681554">
      <w:pPr>
        <w:pStyle w:val="Bezmezer"/>
        <w:rPr>
          <w:rFonts w:asciiTheme="minorHAnsi" w:hAnsiTheme="minorHAnsi" w:cstheme="minorHAnsi"/>
          <w:b/>
          <w:u w:val="single"/>
        </w:rPr>
      </w:pPr>
    </w:p>
    <w:p w14:paraId="49435A0E" w14:textId="05D2CD5C" w:rsidR="00681554" w:rsidRPr="00C4301B" w:rsidRDefault="00681554" w:rsidP="00C4301B">
      <w:pPr>
        <w:pStyle w:val="Bezmezer"/>
        <w:rPr>
          <w:rFonts w:asciiTheme="minorHAnsi" w:hAnsiTheme="minorHAnsi" w:cstheme="minorHAnsi"/>
          <w:color w:val="FF0000"/>
        </w:rPr>
      </w:pPr>
      <w:r w:rsidRPr="00DB3482">
        <w:rPr>
          <w:rFonts w:asciiTheme="minorHAnsi" w:hAnsiTheme="minorHAnsi" w:cstheme="minorHAnsi"/>
          <w:b/>
        </w:rPr>
        <w:t>Kupující:</w:t>
      </w:r>
      <w:r w:rsidRPr="00DB3482">
        <w:rPr>
          <w:rFonts w:asciiTheme="minorHAnsi" w:hAnsiTheme="minorHAnsi" w:cstheme="minorHAnsi"/>
        </w:rPr>
        <w:tab/>
      </w:r>
      <w:r w:rsidRPr="00925755">
        <w:rPr>
          <w:rFonts w:asciiTheme="minorHAnsi" w:hAnsiTheme="minorHAnsi" w:cstheme="minorHAnsi"/>
        </w:rPr>
        <w:t xml:space="preserve">Střední škola, Základní škola a Mateřská škola </w:t>
      </w:r>
      <w:r w:rsidR="00C4301B" w:rsidRPr="00925755">
        <w:rPr>
          <w:rFonts w:asciiTheme="minorHAnsi" w:hAnsiTheme="minorHAnsi" w:cstheme="minorHAnsi"/>
        </w:rPr>
        <w:t>Rakovník, příspěvková organizace</w:t>
      </w:r>
    </w:p>
    <w:p w14:paraId="37E29FAE"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t xml:space="preserve">se sídlem </w:t>
      </w:r>
      <w:r>
        <w:rPr>
          <w:rFonts w:asciiTheme="minorHAnsi" w:hAnsiTheme="minorHAnsi" w:cstheme="minorHAnsi"/>
        </w:rPr>
        <w:t xml:space="preserve">Františka </w:t>
      </w:r>
      <w:proofErr w:type="spellStart"/>
      <w:r>
        <w:rPr>
          <w:rFonts w:asciiTheme="minorHAnsi" w:hAnsiTheme="minorHAnsi" w:cstheme="minorHAnsi"/>
        </w:rPr>
        <w:t>Diepolta</w:t>
      </w:r>
      <w:proofErr w:type="spellEnd"/>
      <w:r>
        <w:rPr>
          <w:rFonts w:asciiTheme="minorHAnsi" w:hAnsiTheme="minorHAnsi" w:cstheme="minorHAnsi"/>
        </w:rPr>
        <w:t xml:space="preserve"> 1576, 269 01 Rakovník</w:t>
      </w:r>
    </w:p>
    <w:p w14:paraId="0C14B2D3" w14:textId="031D0869"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t xml:space="preserve">zastoupený:  </w:t>
      </w:r>
      <w:r>
        <w:rPr>
          <w:rFonts w:asciiTheme="minorHAnsi" w:hAnsiTheme="minorHAnsi" w:cstheme="minorHAnsi"/>
        </w:rPr>
        <w:t xml:space="preserve">Mgr. Ludvíkem </w:t>
      </w:r>
      <w:proofErr w:type="spellStart"/>
      <w:r>
        <w:rPr>
          <w:rFonts w:asciiTheme="minorHAnsi" w:hAnsiTheme="minorHAnsi" w:cstheme="minorHAnsi"/>
        </w:rPr>
        <w:t>Vožehem</w:t>
      </w:r>
      <w:proofErr w:type="spellEnd"/>
      <w:r>
        <w:rPr>
          <w:rFonts w:asciiTheme="minorHAnsi" w:hAnsiTheme="minorHAnsi" w:cstheme="minorHAnsi"/>
        </w:rPr>
        <w:t>, ředitelem</w:t>
      </w:r>
      <w:r w:rsidR="00C4301B">
        <w:rPr>
          <w:rFonts w:asciiTheme="minorHAnsi" w:hAnsiTheme="minorHAnsi" w:cstheme="minorHAnsi"/>
        </w:rPr>
        <w:t xml:space="preserve"> </w:t>
      </w:r>
    </w:p>
    <w:p w14:paraId="111D0F9D"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t xml:space="preserve">IČ: </w:t>
      </w:r>
      <w:r>
        <w:rPr>
          <w:rFonts w:asciiTheme="minorHAnsi" w:hAnsiTheme="minorHAnsi" w:cstheme="minorHAnsi"/>
        </w:rPr>
        <w:t>47019727</w:t>
      </w:r>
    </w:p>
    <w:p w14:paraId="22ECAE0A" w14:textId="77777777" w:rsidR="00681554" w:rsidRPr="00DB3482" w:rsidRDefault="00681554" w:rsidP="00681554">
      <w:pPr>
        <w:pStyle w:val="Bezmezer"/>
        <w:rPr>
          <w:rFonts w:asciiTheme="minorHAnsi" w:hAnsiTheme="minorHAnsi" w:cstheme="minorHAnsi"/>
        </w:rPr>
      </w:pPr>
      <w:r>
        <w:rPr>
          <w:rFonts w:asciiTheme="minorHAnsi" w:hAnsiTheme="minorHAnsi" w:cstheme="minorHAnsi"/>
        </w:rPr>
        <w:tab/>
      </w:r>
      <w:r>
        <w:rPr>
          <w:rFonts w:asciiTheme="minorHAnsi" w:hAnsiTheme="minorHAnsi" w:cstheme="minorHAnsi"/>
        </w:rPr>
        <w:tab/>
        <w:t>DIČ: CZ47019727</w:t>
      </w:r>
    </w:p>
    <w:p w14:paraId="6CDD6B5B" w14:textId="77777777" w:rsidR="00681554" w:rsidRPr="00DB3482" w:rsidRDefault="00681554" w:rsidP="00681554">
      <w:pPr>
        <w:pStyle w:val="Bezmezer"/>
        <w:rPr>
          <w:rFonts w:asciiTheme="minorHAnsi" w:hAnsiTheme="minorHAnsi" w:cstheme="minorHAnsi"/>
        </w:rPr>
      </w:pPr>
    </w:p>
    <w:p w14:paraId="056C64F8"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b/>
        </w:rPr>
        <w:t>Prodávající:</w:t>
      </w:r>
      <w:r w:rsidRPr="00DB3482">
        <w:rPr>
          <w:rFonts w:asciiTheme="minorHAnsi" w:hAnsiTheme="minorHAnsi" w:cstheme="minorHAnsi"/>
        </w:rPr>
        <w:tab/>
        <w:t>AV MEDIA, a.s.</w:t>
      </w:r>
    </w:p>
    <w:p w14:paraId="2A6A2894"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se sídlem: Pražská 1335/63, Praha 10, PSČ: 102 00</w:t>
      </w:r>
    </w:p>
    <w:p w14:paraId="45A38F3B"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 xml:space="preserve">společnost zapsaná v obchodním rejstříku vedeném Městským soudem v Praze, </w:t>
      </w:r>
    </w:p>
    <w:p w14:paraId="2EBA9FA1"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oddíl B, vložka 10120</w:t>
      </w:r>
    </w:p>
    <w:p w14:paraId="488AAB1F"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 xml:space="preserve">zastoupený: Ing. Davidem </w:t>
      </w:r>
      <w:proofErr w:type="spellStart"/>
      <w:r w:rsidRPr="00DB3482">
        <w:rPr>
          <w:rFonts w:asciiTheme="minorHAnsi" w:hAnsiTheme="minorHAnsi" w:cstheme="minorHAnsi"/>
        </w:rPr>
        <w:t>Leschem</w:t>
      </w:r>
      <w:proofErr w:type="spellEnd"/>
      <w:r w:rsidRPr="00DB3482">
        <w:rPr>
          <w:rFonts w:asciiTheme="minorHAnsi" w:hAnsiTheme="minorHAnsi" w:cstheme="minorHAnsi"/>
        </w:rPr>
        <w:t xml:space="preserve">, členem představenstva </w:t>
      </w:r>
    </w:p>
    <w:p w14:paraId="0AD3909E" w14:textId="77777777" w:rsidR="00681554" w:rsidRPr="00DB3482" w:rsidRDefault="00681554" w:rsidP="00681554">
      <w:pPr>
        <w:ind w:left="709" w:firstLine="709"/>
        <w:jc w:val="both"/>
        <w:rPr>
          <w:rFonts w:asciiTheme="minorHAnsi" w:eastAsia="Calibri" w:hAnsiTheme="minorHAnsi" w:cstheme="minorHAnsi"/>
        </w:rPr>
      </w:pPr>
      <w:r w:rsidRPr="00DB3482">
        <w:rPr>
          <w:rFonts w:asciiTheme="minorHAnsi" w:eastAsia="Calibri" w:hAnsiTheme="minorHAnsi" w:cstheme="minorHAnsi"/>
        </w:rPr>
        <w:t>IČ: 48108375, DIČ: CZ48108375</w:t>
      </w:r>
    </w:p>
    <w:p w14:paraId="715FB465"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 xml:space="preserve">bankovní spojení: Česká spořitelna, a.s., č. </w:t>
      </w:r>
      <w:proofErr w:type="spellStart"/>
      <w:r w:rsidRPr="00DB3482">
        <w:rPr>
          <w:rFonts w:asciiTheme="minorHAnsi" w:hAnsiTheme="minorHAnsi" w:cstheme="minorHAnsi"/>
        </w:rPr>
        <w:t>ú.</w:t>
      </w:r>
      <w:proofErr w:type="spellEnd"/>
      <w:r w:rsidRPr="00DB3482">
        <w:rPr>
          <w:rFonts w:asciiTheme="minorHAnsi" w:hAnsiTheme="minorHAnsi" w:cstheme="minorHAnsi"/>
        </w:rPr>
        <w:t>: 124277319/0800</w:t>
      </w:r>
    </w:p>
    <w:p w14:paraId="7F986CF7"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osoby oprávněné k jednání ohledně smlouvy</w:t>
      </w:r>
    </w:p>
    <w:p w14:paraId="15993DB0"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t>ve věcech</w:t>
      </w:r>
      <w:r w:rsidRPr="00DB3482">
        <w:rPr>
          <w:rFonts w:asciiTheme="minorHAnsi" w:hAnsiTheme="minorHAnsi" w:cstheme="minorHAnsi"/>
        </w:rPr>
        <w:tab/>
        <w:t>smluvních: Ing. David Lesch, člen představenstva</w:t>
      </w:r>
    </w:p>
    <w:p w14:paraId="32E04974"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r>
      <w:r w:rsidRPr="00DB3482">
        <w:rPr>
          <w:rFonts w:asciiTheme="minorHAnsi" w:hAnsiTheme="minorHAnsi" w:cstheme="minorHAnsi"/>
        </w:rPr>
        <w:tab/>
      </w:r>
      <w:r w:rsidRPr="00DB3482">
        <w:rPr>
          <w:rFonts w:asciiTheme="minorHAnsi" w:hAnsiTheme="minorHAnsi" w:cstheme="minorHAnsi"/>
        </w:rPr>
        <w:tab/>
        <w:t>obchodních: Jaroslav Metlička, obchodní konzultant</w:t>
      </w:r>
    </w:p>
    <w:p w14:paraId="616EA9AD" w14:textId="77777777" w:rsidR="00681554" w:rsidRPr="00DB3482" w:rsidRDefault="00681554" w:rsidP="00681554">
      <w:pPr>
        <w:pStyle w:val="Bezmezer"/>
        <w:ind w:left="708" w:firstLine="708"/>
        <w:rPr>
          <w:rFonts w:asciiTheme="minorHAnsi" w:hAnsiTheme="minorHAnsi" w:cstheme="minorHAnsi"/>
        </w:rPr>
      </w:pPr>
      <w:r w:rsidRPr="00DB3482">
        <w:rPr>
          <w:rFonts w:asciiTheme="minorHAnsi" w:hAnsiTheme="minorHAnsi" w:cstheme="minorHAnsi"/>
        </w:rPr>
        <w:tab/>
      </w:r>
      <w:r w:rsidRPr="00DB3482">
        <w:rPr>
          <w:rFonts w:asciiTheme="minorHAnsi" w:hAnsiTheme="minorHAnsi" w:cstheme="minorHAnsi"/>
        </w:rPr>
        <w:tab/>
        <w:t>technických: Jaroslav Metlička, obchodní konzultant</w:t>
      </w:r>
    </w:p>
    <w:p w14:paraId="6D703713" w14:textId="77777777" w:rsidR="00681554" w:rsidRPr="00DB3482" w:rsidRDefault="00681554" w:rsidP="00681554">
      <w:pPr>
        <w:pStyle w:val="Bezmezer"/>
        <w:rPr>
          <w:rFonts w:asciiTheme="minorHAnsi" w:hAnsiTheme="minorHAnsi" w:cstheme="minorHAnsi"/>
        </w:rPr>
      </w:pPr>
    </w:p>
    <w:p w14:paraId="04FDBCF5" w14:textId="77777777" w:rsidR="00681554" w:rsidRPr="00DB3482" w:rsidRDefault="00681554" w:rsidP="00681554">
      <w:pPr>
        <w:pStyle w:val="Bezmezer"/>
        <w:rPr>
          <w:rFonts w:asciiTheme="minorHAnsi" w:hAnsiTheme="minorHAnsi" w:cstheme="minorHAnsi"/>
        </w:rPr>
      </w:pPr>
      <w:r w:rsidRPr="00DB3482">
        <w:rPr>
          <w:rFonts w:asciiTheme="minorHAnsi" w:hAnsiTheme="minorHAnsi" w:cstheme="minorHAnsi"/>
        </w:rPr>
        <w:t>spolu níže uvedeného dne, měsíce a roku uzavírají v souladu s ustanovením § 536 a následujících zákona č. 513/1991 Sb., obchodní zákoník, ve znění pozdějších předpisů, tuto</w:t>
      </w:r>
    </w:p>
    <w:p w14:paraId="1546A998" w14:textId="77777777" w:rsidR="00681554" w:rsidRPr="00DB3482" w:rsidRDefault="00681554" w:rsidP="00681554">
      <w:pPr>
        <w:pStyle w:val="Bezmezer"/>
        <w:jc w:val="center"/>
        <w:rPr>
          <w:rFonts w:asciiTheme="minorHAnsi" w:hAnsiTheme="minorHAnsi" w:cstheme="minorHAnsi"/>
          <w:b/>
        </w:rPr>
      </w:pPr>
    </w:p>
    <w:p w14:paraId="52E4F499" w14:textId="77777777" w:rsidR="00681554" w:rsidRPr="00DB3482" w:rsidRDefault="00681554" w:rsidP="00681554">
      <w:pPr>
        <w:pStyle w:val="Bezmezer"/>
        <w:jc w:val="center"/>
        <w:rPr>
          <w:rFonts w:asciiTheme="minorHAnsi" w:hAnsiTheme="minorHAnsi" w:cstheme="minorHAnsi"/>
          <w:b/>
        </w:rPr>
      </w:pPr>
      <w:r w:rsidRPr="00DB3482">
        <w:rPr>
          <w:rFonts w:asciiTheme="minorHAnsi" w:hAnsiTheme="minorHAnsi" w:cstheme="minorHAnsi"/>
          <w:b/>
        </w:rPr>
        <w:t>kupní smlouvu:</w:t>
      </w:r>
    </w:p>
    <w:p w14:paraId="34887D41" w14:textId="77777777" w:rsidR="00681554" w:rsidRPr="00DB3482" w:rsidRDefault="00681554" w:rsidP="00681554">
      <w:pPr>
        <w:pStyle w:val="Bezmezer"/>
        <w:jc w:val="center"/>
        <w:rPr>
          <w:rFonts w:asciiTheme="minorHAnsi" w:hAnsiTheme="minorHAnsi" w:cstheme="minorHAnsi"/>
        </w:rPr>
      </w:pPr>
    </w:p>
    <w:p w14:paraId="733A0120" w14:textId="77777777" w:rsidR="00681554" w:rsidRPr="00DB3482" w:rsidRDefault="00681554" w:rsidP="00681554">
      <w:pPr>
        <w:pStyle w:val="Bezmezer"/>
        <w:numPr>
          <w:ilvl w:val="0"/>
          <w:numId w:val="2"/>
        </w:numPr>
        <w:rPr>
          <w:rFonts w:asciiTheme="minorHAnsi" w:hAnsiTheme="minorHAnsi" w:cstheme="minorHAnsi"/>
          <w:b/>
          <w:u w:val="single"/>
        </w:rPr>
      </w:pPr>
      <w:r w:rsidRPr="00DB3482">
        <w:rPr>
          <w:rFonts w:asciiTheme="minorHAnsi" w:hAnsiTheme="minorHAnsi" w:cstheme="minorHAnsi"/>
          <w:b/>
          <w:u w:val="single"/>
        </w:rPr>
        <w:t>Předmět smlouvy a místo plnění</w:t>
      </w:r>
    </w:p>
    <w:p w14:paraId="134A12A7"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Prodávající se zavazuje dodat </w:t>
      </w:r>
      <w:r w:rsidR="006D5FA0">
        <w:rPr>
          <w:rFonts w:asciiTheme="minorHAnsi" w:hAnsiTheme="minorHAnsi" w:cstheme="minorHAnsi"/>
        </w:rPr>
        <w:t>interaktivní tabuli, sw, ozvučení, projektor</w:t>
      </w:r>
      <w:r w:rsidRPr="00DB3482">
        <w:rPr>
          <w:rFonts w:asciiTheme="minorHAnsi" w:hAnsiTheme="minorHAnsi" w:cstheme="minorHAnsi"/>
        </w:rPr>
        <w:t xml:space="preserve">, </w:t>
      </w:r>
      <w:r w:rsidR="006D5FA0">
        <w:rPr>
          <w:rFonts w:asciiTheme="minorHAnsi" w:hAnsiTheme="minorHAnsi" w:cstheme="minorHAnsi"/>
        </w:rPr>
        <w:t>vertikální posuv s křídly včetně instalace</w:t>
      </w:r>
      <w:r w:rsidRPr="00DB3482">
        <w:rPr>
          <w:rFonts w:asciiTheme="minorHAnsi" w:hAnsiTheme="minorHAnsi" w:cstheme="minorHAnsi"/>
        </w:rPr>
        <w:t>.</w:t>
      </w:r>
    </w:p>
    <w:p w14:paraId="1BBA450C"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Podkladem pro uzavření této kupní smlouvy je Nabídka prodávajícího ze dne </w:t>
      </w:r>
      <w:r w:rsidR="006D5FA0">
        <w:rPr>
          <w:rFonts w:asciiTheme="minorHAnsi" w:hAnsiTheme="minorHAnsi" w:cstheme="minorHAnsi"/>
        </w:rPr>
        <w:t>4.4.2016</w:t>
      </w:r>
      <w:r w:rsidRPr="00DB3482">
        <w:rPr>
          <w:rFonts w:asciiTheme="minorHAnsi" w:hAnsiTheme="minorHAnsi" w:cstheme="minorHAnsi"/>
        </w:rPr>
        <w:t>.</w:t>
      </w:r>
    </w:p>
    <w:p w14:paraId="53F78F8F"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Prodávající se zavazuje dodat </w:t>
      </w:r>
      <w:r w:rsidR="006D5FA0">
        <w:rPr>
          <w:rFonts w:asciiTheme="minorHAnsi" w:hAnsiTheme="minorHAnsi" w:cstheme="minorHAnsi"/>
        </w:rPr>
        <w:t>interaktivní tabuli, sw, ozvučení, projektor</w:t>
      </w:r>
      <w:r w:rsidR="006D5FA0" w:rsidRPr="00DB3482">
        <w:rPr>
          <w:rFonts w:asciiTheme="minorHAnsi" w:hAnsiTheme="minorHAnsi" w:cstheme="minorHAnsi"/>
        </w:rPr>
        <w:t xml:space="preserve">, </w:t>
      </w:r>
      <w:r w:rsidR="006D5FA0">
        <w:rPr>
          <w:rFonts w:asciiTheme="minorHAnsi" w:hAnsiTheme="minorHAnsi" w:cstheme="minorHAnsi"/>
        </w:rPr>
        <w:t xml:space="preserve">vertikální posuv s křídly </w:t>
      </w:r>
      <w:r w:rsidRPr="00DB3482">
        <w:rPr>
          <w:rFonts w:asciiTheme="minorHAnsi" w:hAnsiTheme="minorHAnsi" w:cstheme="minorHAnsi"/>
        </w:rPr>
        <w:t>a uvedení do provozu, a to v rozsahu a za podmínek stanovených touto smlouvou. Součástí plnění zakázky je zajištění všech činností souvisejících s dodávkou a předáním zařízení kupujícímu. Kupující se zavazuje dodávku dodanou prodávajícím podle této smlouvy převzít a zaplatit za jeho dodání sjednanou cenu. Specifikace zboží:</w:t>
      </w:r>
    </w:p>
    <w:p w14:paraId="5B4B559C" w14:textId="77777777" w:rsidR="00681554" w:rsidRDefault="00681554" w:rsidP="00681554">
      <w:pPr>
        <w:rPr>
          <w:b/>
          <w:u w:val="single"/>
        </w:rPr>
      </w:pPr>
    </w:p>
    <w:p w14:paraId="74203AC1" w14:textId="77777777" w:rsidR="00681554" w:rsidRDefault="006D5FA0" w:rsidP="00681554">
      <w:pPr>
        <w:rPr>
          <w:b/>
          <w:u w:val="single"/>
        </w:rPr>
      </w:pPr>
      <w:r>
        <w:rPr>
          <w:b/>
          <w:u w:val="single"/>
        </w:rPr>
        <w:t>1</w:t>
      </w:r>
      <w:r w:rsidR="00681554">
        <w:rPr>
          <w:b/>
          <w:u w:val="single"/>
        </w:rPr>
        <w:t xml:space="preserve">x sestava interaktivní tabule včetně SW, ozvučení, projektoru, vertikálního posuvu a instalace – SMART </w:t>
      </w:r>
      <w:proofErr w:type="spellStart"/>
      <w:r w:rsidR="00681554">
        <w:rPr>
          <w:b/>
          <w:u w:val="single"/>
        </w:rPr>
        <w:t>Board</w:t>
      </w:r>
      <w:proofErr w:type="spellEnd"/>
      <w:r>
        <w:rPr>
          <w:b/>
          <w:u w:val="single"/>
        </w:rPr>
        <w:t xml:space="preserve"> 885 včetně SW SMART Notebook 16</w:t>
      </w:r>
      <w:r w:rsidR="00681554">
        <w:rPr>
          <w:b/>
          <w:u w:val="single"/>
        </w:rPr>
        <w:t xml:space="preserve">, ozvučení SMART </w:t>
      </w:r>
      <w:r>
        <w:rPr>
          <w:b/>
          <w:u w:val="single"/>
        </w:rPr>
        <w:t>USB Audio, projektoru EPSON EB-5</w:t>
      </w:r>
      <w:r w:rsidR="00681554">
        <w:rPr>
          <w:b/>
          <w:u w:val="single"/>
        </w:rPr>
        <w:t xml:space="preserve">85W, vertikálního posuvu SANTAL </w:t>
      </w:r>
      <w:r>
        <w:rPr>
          <w:b/>
          <w:u w:val="single"/>
        </w:rPr>
        <w:t xml:space="preserve">s křídly </w:t>
      </w:r>
      <w:r w:rsidR="00681554">
        <w:rPr>
          <w:b/>
          <w:u w:val="single"/>
        </w:rPr>
        <w:t>a instalace:</w:t>
      </w:r>
    </w:p>
    <w:p w14:paraId="137AEC56" w14:textId="77777777" w:rsidR="00681554" w:rsidRDefault="006D5FA0" w:rsidP="00681554">
      <w:pPr>
        <w:spacing w:after="40"/>
        <w:ind w:firstLine="708"/>
        <w:rPr>
          <w:b/>
        </w:rPr>
      </w:pPr>
      <w:r>
        <w:t>1</w:t>
      </w:r>
      <w:r w:rsidR="00681554" w:rsidRPr="00AA08E7">
        <w:t xml:space="preserve"> ks Interaktivní tabule</w:t>
      </w:r>
      <w:r w:rsidR="00681554">
        <w:rPr>
          <w:b/>
        </w:rPr>
        <w:t xml:space="preserve"> – SMART </w:t>
      </w:r>
      <w:proofErr w:type="spellStart"/>
      <w:r w:rsidR="00681554">
        <w:rPr>
          <w:b/>
        </w:rPr>
        <w:t>Board</w:t>
      </w:r>
      <w:proofErr w:type="spellEnd"/>
      <w:r w:rsidR="00681554">
        <w:rPr>
          <w:b/>
        </w:rPr>
        <w:t xml:space="preserve"> 885</w:t>
      </w:r>
    </w:p>
    <w:p w14:paraId="6DC95A35"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Velikost 199x130cm (úhlopříčka 221</w:t>
      </w:r>
      <w:r w:rsidRPr="0096588D">
        <w:rPr>
          <w:rFonts w:asciiTheme="minorHAnsi" w:hAnsiTheme="minorHAnsi" w:cstheme="minorHAnsi"/>
          <w:sz w:val="22"/>
          <w:szCs w:val="22"/>
        </w:rPr>
        <w:t xml:space="preserve"> cm)</w:t>
      </w:r>
    </w:p>
    <w:p w14:paraId="6096A195"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t>připojení přes USB</w:t>
      </w:r>
    </w:p>
    <w:p w14:paraId="0DC1B490"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t>formát tabule 16:10</w:t>
      </w:r>
    </w:p>
    <w:p w14:paraId="5B38AD36"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t>Plocha optimalizovaná pro projekci z datového projektoru (ne lesklý povrch) zejména s ohledem na vznik odlesků a přesvíceného středu</w:t>
      </w:r>
    </w:p>
    <w:p w14:paraId="2859D399"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Tabule má pevný a odolný povrch, je</w:t>
      </w:r>
      <w:r w:rsidRPr="0096588D">
        <w:rPr>
          <w:rFonts w:asciiTheme="minorHAnsi" w:hAnsiTheme="minorHAnsi" w:cstheme="minorHAnsi"/>
          <w:sz w:val="22"/>
          <w:szCs w:val="22"/>
        </w:rPr>
        <w:t xml:space="preserve"> možno ho použít i s magnety</w:t>
      </w:r>
    </w:p>
    <w:p w14:paraId="19176C67"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lastRenderedPageBreak/>
        <w:t>Ovládání prostým dotykem na plochu, bez nutnosti použití dalších technických prostředků (per)</w:t>
      </w:r>
    </w:p>
    <w:p w14:paraId="32A65A66"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t>Práce dvou uživatelů současně, včetně výběru všech nástrojů a menu pro práci (barvy písma, geometrických tvarů apod.)</w:t>
      </w:r>
    </w:p>
    <w:p w14:paraId="32E6D0A0"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Na ploše je</w:t>
      </w:r>
      <w:r w:rsidRPr="0096588D">
        <w:rPr>
          <w:rFonts w:asciiTheme="minorHAnsi" w:hAnsiTheme="minorHAnsi" w:cstheme="minorHAnsi"/>
          <w:sz w:val="22"/>
          <w:szCs w:val="22"/>
        </w:rPr>
        <w:t xml:space="preserve"> dotykem k dispozici základní nástroj pro ovládání aplikací - levé a pravé tlačítko myši</w:t>
      </w:r>
    </w:p>
    <w:p w14:paraId="5BDE4E3C"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Nevyžaduje</w:t>
      </w:r>
      <w:r w:rsidRPr="0096588D">
        <w:rPr>
          <w:rFonts w:asciiTheme="minorHAnsi" w:hAnsiTheme="minorHAnsi" w:cstheme="minorHAnsi"/>
          <w:sz w:val="22"/>
          <w:szCs w:val="22"/>
        </w:rPr>
        <w:t xml:space="preserve"> přepínač modu, ať už hardwarový nebo softwarový, pro aktivaci </w:t>
      </w:r>
      <w:proofErr w:type="spellStart"/>
      <w:r w:rsidRPr="0096588D">
        <w:rPr>
          <w:rFonts w:asciiTheme="minorHAnsi" w:hAnsiTheme="minorHAnsi" w:cstheme="minorHAnsi"/>
          <w:sz w:val="22"/>
          <w:szCs w:val="22"/>
        </w:rPr>
        <w:t>multidotykových</w:t>
      </w:r>
      <w:proofErr w:type="spellEnd"/>
      <w:r w:rsidRPr="0096588D">
        <w:rPr>
          <w:rFonts w:asciiTheme="minorHAnsi" w:hAnsiTheme="minorHAnsi" w:cstheme="minorHAnsi"/>
          <w:sz w:val="22"/>
          <w:szCs w:val="22"/>
        </w:rPr>
        <w:t xml:space="preserve"> gest a ovládání</w:t>
      </w:r>
    </w:p>
    <w:p w14:paraId="7A6C31E7"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 xml:space="preserve">Podporuje </w:t>
      </w:r>
      <w:proofErr w:type="spellStart"/>
      <w:r w:rsidRPr="0096588D">
        <w:rPr>
          <w:rFonts w:asciiTheme="minorHAnsi" w:hAnsiTheme="minorHAnsi" w:cstheme="minorHAnsi"/>
          <w:sz w:val="22"/>
          <w:szCs w:val="22"/>
        </w:rPr>
        <w:t>multidotyková</w:t>
      </w:r>
      <w:proofErr w:type="spellEnd"/>
      <w:r w:rsidRPr="0096588D">
        <w:rPr>
          <w:rFonts w:asciiTheme="minorHAnsi" w:hAnsiTheme="minorHAnsi" w:cstheme="minorHAnsi"/>
          <w:sz w:val="22"/>
          <w:szCs w:val="22"/>
        </w:rPr>
        <w:t xml:space="preserve"> gesta operačního systému i mimo SW aplikaci dodávanou společně s tabulí.</w:t>
      </w:r>
    </w:p>
    <w:p w14:paraId="23C37084"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Používá</w:t>
      </w:r>
      <w:r w:rsidRPr="0096588D">
        <w:rPr>
          <w:rFonts w:asciiTheme="minorHAnsi" w:hAnsiTheme="minorHAnsi" w:cstheme="minorHAnsi"/>
          <w:sz w:val="22"/>
          <w:szCs w:val="22"/>
        </w:rPr>
        <w:t xml:space="preserve"> 4 kamery technologie </w:t>
      </w:r>
      <w:proofErr w:type="spellStart"/>
      <w:r w:rsidRPr="0096588D">
        <w:rPr>
          <w:rFonts w:asciiTheme="minorHAnsi" w:hAnsiTheme="minorHAnsi" w:cstheme="minorHAnsi"/>
          <w:sz w:val="22"/>
          <w:szCs w:val="22"/>
        </w:rPr>
        <w:t>DViT</w:t>
      </w:r>
      <w:proofErr w:type="spellEnd"/>
      <w:r w:rsidRPr="0096588D">
        <w:rPr>
          <w:rFonts w:asciiTheme="minorHAnsi" w:hAnsiTheme="minorHAnsi" w:cstheme="minorHAnsi"/>
          <w:sz w:val="22"/>
          <w:szCs w:val="22"/>
        </w:rPr>
        <w:t xml:space="preserve"> (Digital Vision </w:t>
      </w:r>
      <w:proofErr w:type="spellStart"/>
      <w:r w:rsidRPr="0096588D">
        <w:rPr>
          <w:rFonts w:asciiTheme="minorHAnsi" w:hAnsiTheme="minorHAnsi" w:cstheme="minorHAnsi"/>
          <w:sz w:val="22"/>
          <w:szCs w:val="22"/>
        </w:rPr>
        <w:t>Touch</w:t>
      </w:r>
      <w:proofErr w:type="spellEnd"/>
      <w:r w:rsidRPr="0096588D">
        <w:rPr>
          <w:rFonts w:asciiTheme="minorHAnsi" w:hAnsiTheme="minorHAnsi" w:cstheme="minorHAnsi"/>
          <w:sz w:val="22"/>
          <w:szCs w:val="22"/>
        </w:rPr>
        <w:t>)</w:t>
      </w:r>
    </w:p>
    <w:p w14:paraId="1BC04CB3"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Uživatel má</w:t>
      </w:r>
      <w:r w:rsidRPr="0096588D">
        <w:rPr>
          <w:rFonts w:asciiTheme="minorHAnsi" w:hAnsiTheme="minorHAnsi" w:cstheme="minorHAnsi"/>
          <w:sz w:val="22"/>
          <w:szCs w:val="22"/>
        </w:rPr>
        <w:t xml:space="preserve"> k dispozici 2 pera píšící různými, nastavitelnými barvami a houbičku pro mazání. N</w:t>
      </w:r>
      <w:r>
        <w:rPr>
          <w:rFonts w:asciiTheme="minorHAnsi" w:hAnsiTheme="minorHAnsi" w:cstheme="minorHAnsi"/>
          <w:sz w:val="22"/>
          <w:szCs w:val="22"/>
        </w:rPr>
        <w:t xml:space="preserve">ástroj (psaní, mazání) je </w:t>
      </w:r>
      <w:r w:rsidRPr="0096588D">
        <w:rPr>
          <w:rFonts w:asciiTheme="minorHAnsi" w:hAnsiTheme="minorHAnsi" w:cstheme="minorHAnsi"/>
          <w:sz w:val="22"/>
          <w:szCs w:val="22"/>
        </w:rPr>
        <w:t>aktivován pouhým zdvižením p</w:t>
      </w:r>
      <w:r>
        <w:rPr>
          <w:rFonts w:asciiTheme="minorHAnsi" w:hAnsiTheme="minorHAnsi" w:cstheme="minorHAnsi"/>
          <w:sz w:val="22"/>
          <w:szCs w:val="22"/>
        </w:rPr>
        <w:t>era nebo houbičky a tabule aktivovaný nástroj indikuje</w:t>
      </w:r>
      <w:r w:rsidRPr="0096588D">
        <w:rPr>
          <w:rFonts w:asciiTheme="minorHAnsi" w:hAnsiTheme="minorHAnsi" w:cstheme="minorHAnsi"/>
          <w:sz w:val="22"/>
          <w:szCs w:val="22"/>
        </w:rPr>
        <w:t>.</w:t>
      </w:r>
    </w:p>
    <w:p w14:paraId="3B4B3336"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 xml:space="preserve">Pera jsou </w:t>
      </w:r>
      <w:r w:rsidRPr="0096588D">
        <w:rPr>
          <w:rFonts w:asciiTheme="minorHAnsi" w:hAnsiTheme="minorHAnsi" w:cstheme="minorHAnsi"/>
          <w:sz w:val="22"/>
          <w:szCs w:val="22"/>
        </w:rPr>
        <w:t xml:space="preserve">bezdrátová, </w:t>
      </w:r>
      <w:proofErr w:type="spellStart"/>
      <w:r w:rsidRPr="0096588D">
        <w:rPr>
          <w:rFonts w:asciiTheme="minorHAnsi" w:hAnsiTheme="minorHAnsi" w:cstheme="minorHAnsi"/>
          <w:sz w:val="22"/>
          <w:szCs w:val="22"/>
        </w:rPr>
        <w:t>bezbateriová</w:t>
      </w:r>
      <w:proofErr w:type="spellEnd"/>
      <w:r w:rsidRPr="0096588D">
        <w:rPr>
          <w:rFonts w:asciiTheme="minorHAnsi" w:hAnsiTheme="minorHAnsi" w:cstheme="minorHAnsi"/>
          <w:sz w:val="22"/>
          <w:szCs w:val="22"/>
        </w:rPr>
        <w:t xml:space="preserve"> a mechanicky a konstrukčně odolná.</w:t>
      </w:r>
    </w:p>
    <w:p w14:paraId="4EF883B2"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 xml:space="preserve">Tabule není na perech závislá, je </w:t>
      </w:r>
      <w:r w:rsidRPr="0096588D">
        <w:rPr>
          <w:rFonts w:asciiTheme="minorHAnsi" w:hAnsiTheme="minorHAnsi" w:cstheme="minorHAnsi"/>
          <w:sz w:val="22"/>
          <w:szCs w:val="22"/>
        </w:rPr>
        <w:t>ovladatelná i bez per pro případ, že se pera ztratí (nebo jsou uživateli nedostupná)Rozpoznání aktivity – tabule rozpozná dotyk prstu (ovládání), popisovač (psaní) a dlaně (mazání)</w:t>
      </w:r>
    </w:p>
    <w:p w14:paraId="2EE11EC7"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 xml:space="preserve">Součástí tabule je </w:t>
      </w:r>
      <w:r w:rsidRPr="0096588D">
        <w:rPr>
          <w:rFonts w:asciiTheme="minorHAnsi" w:hAnsiTheme="minorHAnsi" w:cstheme="minorHAnsi"/>
          <w:sz w:val="22"/>
          <w:szCs w:val="22"/>
        </w:rPr>
        <w:t>závěs na stěnu, včetně montážního materiálu a pr</w:t>
      </w:r>
      <w:r>
        <w:rPr>
          <w:rFonts w:asciiTheme="minorHAnsi" w:hAnsiTheme="minorHAnsi" w:cstheme="minorHAnsi"/>
          <w:sz w:val="22"/>
          <w:szCs w:val="22"/>
        </w:rPr>
        <w:t>opojovací USB kabel o délce 5</w:t>
      </w:r>
      <w:r w:rsidRPr="0096588D">
        <w:rPr>
          <w:rFonts w:asciiTheme="minorHAnsi" w:hAnsiTheme="minorHAnsi" w:cstheme="minorHAnsi"/>
          <w:sz w:val="22"/>
          <w:szCs w:val="22"/>
        </w:rPr>
        <w:t>m</w:t>
      </w:r>
    </w:p>
    <w:p w14:paraId="0D668D57" w14:textId="77777777" w:rsidR="00681554" w:rsidRPr="0096588D"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6588D">
        <w:rPr>
          <w:rFonts w:asciiTheme="minorHAnsi" w:hAnsiTheme="minorHAnsi" w:cstheme="minorHAnsi"/>
          <w:sz w:val="22"/>
          <w:szCs w:val="22"/>
        </w:rPr>
        <w:t>Záruka 5 let</w:t>
      </w:r>
    </w:p>
    <w:p w14:paraId="3248FC4D" w14:textId="77777777" w:rsidR="00681554" w:rsidRDefault="00681554" w:rsidP="00681554">
      <w:pPr>
        <w:spacing w:after="40"/>
        <w:ind w:firstLine="708"/>
        <w:rPr>
          <w:rFonts w:asciiTheme="minorHAnsi" w:hAnsiTheme="minorHAnsi" w:cstheme="minorHAnsi"/>
        </w:rPr>
      </w:pPr>
    </w:p>
    <w:p w14:paraId="3503EA91" w14:textId="77777777" w:rsidR="00681554" w:rsidRDefault="006D5FA0" w:rsidP="00681554">
      <w:pPr>
        <w:spacing w:after="40"/>
        <w:ind w:firstLine="708"/>
        <w:rPr>
          <w:rFonts w:asciiTheme="minorHAnsi" w:hAnsiTheme="minorHAnsi" w:cstheme="minorHAnsi"/>
          <w:b/>
        </w:rPr>
      </w:pPr>
      <w:r>
        <w:rPr>
          <w:rFonts w:asciiTheme="minorHAnsi" w:hAnsiTheme="minorHAnsi" w:cstheme="minorHAnsi"/>
        </w:rPr>
        <w:t>1</w:t>
      </w:r>
      <w:r w:rsidR="00681554">
        <w:rPr>
          <w:rFonts w:asciiTheme="minorHAnsi" w:hAnsiTheme="minorHAnsi" w:cstheme="minorHAnsi"/>
        </w:rPr>
        <w:t xml:space="preserve"> ks – software pro tvorbu digitálních učebních materiálů – </w:t>
      </w:r>
      <w:r w:rsidR="00681554" w:rsidRPr="000845F4">
        <w:rPr>
          <w:rFonts w:asciiTheme="minorHAnsi" w:hAnsiTheme="minorHAnsi" w:cstheme="minorHAnsi"/>
          <w:b/>
        </w:rPr>
        <w:t>SMART Notebook 1</w:t>
      </w:r>
      <w:r>
        <w:rPr>
          <w:rFonts w:asciiTheme="minorHAnsi" w:hAnsiTheme="minorHAnsi" w:cstheme="minorHAnsi"/>
          <w:b/>
        </w:rPr>
        <w:t>6</w:t>
      </w:r>
    </w:p>
    <w:p w14:paraId="724A9949" w14:textId="77777777" w:rsidR="00681554" w:rsidRPr="00C73601"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C73601">
        <w:rPr>
          <w:rFonts w:asciiTheme="minorHAnsi" w:hAnsiTheme="minorHAnsi" w:cstheme="minorHAnsi"/>
          <w:sz w:val="22"/>
          <w:szCs w:val="22"/>
        </w:rPr>
        <w:t>Tvůrčí software, který umožňuje tvorbu vlastních výukových materiálů</w:t>
      </w:r>
    </w:p>
    <w:p w14:paraId="32E772D7" w14:textId="77777777" w:rsidR="00681554" w:rsidRPr="00C73601"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C73601">
        <w:rPr>
          <w:rFonts w:asciiTheme="minorHAnsi" w:hAnsiTheme="minorHAnsi" w:cstheme="minorHAnsi"/>
          <w:sz w:val="22"/>
          <w:szCs w:val="22"/>
        </w:rPr>
        <w:t>Česká lokalizace</w:t>
      </w:r>
    </w:p>
    <w:p w14:paraId="742D7C8B" w14:textId="77777777" w:rsidR="00681554" w:rsidRPr="00C73601"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C73601">
        <w:rPr>
          <w:rFonts w:asciiTheme="minorHAnsi" w:hAnsiTheme="minorHAnsi" w:cstheme="minorHAnsi"/>
          <w:sz w:val="22"/>
          <w:szCs w:val="22"/>
        </w:rPr>
        <w:t>Umožňuje pohybu objektů</w:t>
      </w:r>
    </w:p>
    <w:p w14:paraId="100FC38E" w14:textId="77777777" w:rsidR="00681554" w:rsidRPr="00C73601"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C73601">
        <w:rPr>
          <w:rFonts w:asciiTheme="minorHAnsi" w:hAnsiTheme="minorHAnsi" w:cstheme="minorHAnsi"/>
          <w:sz w:val="22"/>
          <w:szCs w:val="22"/>
        </w:rPr>
        <w:t>Podpora 3D smíšené reality</w:t>
      </w:r>
    </w:p>
    <w:p w14:paraId="47CDD728"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C73601">
        <w:rPr>
          <w:rFonts w:asciiTheme="minorHAnsi" w:hAnsiTheme="minorHAnsi" w:cstheme="minorHAnsi"/>
          <w:sz w:val="22"/>
          <w:szCs w:val="22"/>
        </w:rPr>
        <w:t xml:space="preserve">Součástí SW je obsáhlá galerie obrázků, animací, zvuků, pozadí a podkladů (motivů) - 6710 ks, které lze využít pro tvorbu </w:t>
      </w:r>
      <w:proofErr w:type="spellStart"/>
      <w:r w:rsidRPr="00C73601">
        <w:rPr>
          <w:rFonts w:asciiTheme="minorHAnsi" w:hAnsiTheme="minorHAnsi" w:cstheme="minorHAnsi"/>
          <w:sz w:val="22"/>
          <w:szCs w:val="22"/>
        </w:rPr>
        <w:t>DUMů</w:t>
      </w:r>
      <w:proofErr w:type="spellEnd"/>
    </w:p>
    <w:p w14:paraId="3EC3F8B1" w14:textId="77777777" w:rsidR="00681554" w:rsidRDefault="00681554" w:rsidP="00681554">
      <w:pPr>
        <w:spacing w:after="40"/>
        <w:ind w:firstLine="708"/>
        <w:rPr>
          <w:b/>
        </w:rPr>
      </w:pPr>
    </w:p>
    <w:p w14:paraId="7F286BFF" w14:textId="77777777" w:rsidR="00681554" w:rsidRPr="00AA08E7" w:rsidRDefault="006D5FA0" w:rsidP="00681554">
      <w:pPr>
        <w:spacing w:after="40"/>
        <w:ind w:firstLine="708"/>
        <w:rPr>
          <w:rFonts w:asciiTheme="minorHAnsi" w:hAnsiTheme="minorHAnsi" w:cstheme="minorHAnsi"/>
          <w:b/>
        </w:rPr>
      </w:pPr>
      <w:r>
        <w:rPr>
          <w:rFonts w:asciiTheme="minorHAnsi" w:hAnsiTheme="minorHAnsi" w:cstheme="minorHAnsi"/>
        </w:rPr>
        <w:t>1</w:t>
      </w:r>
      <w:r w:rsidR="00681554" w:rsidRPr="000845F4">
        <w:rPr>
          <w:rFonts w:asciiTheme="minorHAnsi" w:hAnsiTheme="minorHAnsi" w:cstheme="minorHAnsi"/>
        </w:rPr>
        <w:t xml:space="preserve"> ks USB ozvučení </w:t>
      </w:r>
      <w:r w:rsidR="00681554">
        <w:rPr>
          <w:rFonts w:asciiTheme="minorHAnsi" w:hAnsiTheme="minorHAnsi" w:cstheme="minorHAnsi"/>
        </w:rPr>
        <w:t>–</w:t>
      </w:r>
      <w:r w:rsidR="00681554" w:rsidRPr="000845F4">
        <w:rPr>
          <w:rFonts w:asciiTheme="minorHAnsi" w:hAnsiTheme="minorHAnsi" w:cstheme="minorHAnsi"/>
        </w:rPr>
        <w:t xml:space="preserve"> </w:t>
      </w:r>
      <w:r w:rsidR="00681554">
        <w:rPr>
          <w:rFonts w:asciiTheme="minorHAnsi" w:hAnsiTheme="minorHAnsi" w:cstheme="minorHAnsi"/>
          <w:b/>
        </w:rPr>
        <w:t>SMART USB Audio</w:t>
      </w:r>
    </w:p>
    <w:p w14:paraId="4CC423B3"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Aktivní dvoupásmové reproduktory 2x15W</w:t>
      </w:r>
      <w:r>
        <w:rPr>
          <w:rFonts w:asciiTheme="minorHAnsi" w:hAnsiTheme="minorHAnsi" w:cstheme="minorHAnsi"/>
          <w:sz w:val="22"/>
          <w:szCs w:val="22"/>
        </w:rPr>
        <w:t xml:space="preserve"> (2 ks)</w:t>
      </w:r>
    </w:p>
    <w:p w14:paraId="1B9A72DB"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Zvuk z PC přes USB</w:t>
      </w:r>
    </w:p>
    <w:p w14:paraId="0F34F375"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 xml:space="preserve">Další vstup </w:t>
      </w:r>
      <w:proofErr w:type="spellStart"/>
      <w:r w:rsidRPr="000845F4">
        <w:rPr>
          <w:rFonts w:asciiTheme="minorHAnsi" w:hAnsiTheme="minorHAnsi" w:cstheme="minorHAnsi"/>
          <w:sz w:val="22"/>
          <w:szCs w:val="22"/>
        </w:rPr>
        <w:t>cinch</w:t>
      </w:r>
      <w:proofErr w:type="spellEnd"/>
      <w:r w:rsidRPr="000845F4">
        <w:rPr>
          <w:rFonts w:asciiTheme="minorHAnsi" w:hAnsiTheme="minorHAnsi" w:cstheme="minorHAnsi"/>
          <w:sz w:val="22"/>
          <w:szCs w:val="22"/>
        </w:rPr>
        <w:t xml:space="preserve"> pro externí zařízení</w:t>
      </w:r>
    </w:p>
    <w:p w14:paraId="7D6C964F"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Ovládání hlasitosti na jednom z reproduktorů</w:t>
      </w:r>
    </w:p>
    <w:p w14:paraId="49CF477D"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Dva USB vstupy na jednom z reproduktorů</w:t>
      </w:r>
    </w:p>
    <w:p w14:paraId="2FF66ABE"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Záruka 2 roky</w:t>
      </w:r>
    </w:p>
    <w:p w14:paraId="1B69B6D2" w14:textId="77777777" w:rsidR="00681554"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p>
    <w:p w14:paraId="419747D1" w14:textId="77777777" w:rsidR="00681554" w:rsidRDefault="006D5FA0"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b/>
          <w:sz w:val="22"/>
          <w:szCs w:val="22"/>
        </w:rPr>
      </w:pPr>
      <w:r>
        <w:rPr>
          <w:rFonts w:asciiTheme="minorHAnsi" w:hAnsiTheme="minorHAnsi" w:cstheme="minorHAnsi"/>
          <w:sz w:val="22"/>
          <w:szCs w:val="22"/>
        </w:rPr>
        <w:tab/>
        <w:t>1</w:t>
      </w:r>
      <w:r w:rsidR="00681554">
        <w:rPr>
          <w:rFonts w:asciiTheme="minorHAnsi" w:hAnsiTheme="minorHAnsi" w:cstheme="minorHAnsi"/>
          <w:sz w:val="22"/>
          <w:szCs w:val="22"/>
        </w:rPr>
        <w:t xml:space="preserve"> ks – Projektor (ultrakrátká projekce) – </w:t>
      </w:r>
      <w:r>
        <w:rPr>
          <w:rFonts w:asciiTheme="minorHAnsi" w:hAnsiTheme="minorHAnsi" w:cstheme="minorHAnsi"/>
          <w:b/>
          <w:sz w:val="22"/>
          <w:szCs w:val="22"/>
        </w:rPr>
        <w:t>EPSON EB-5</w:t>
      </w:r>
      <w:r w:rsidR="00681554">
        <w:rPr>
          <w:rFonts w:asciiTheme="minorHAnsi" w:hAnsiTheme="minorHAnsi" w:cstheme="minorHAnsi"/>
          <w:b/>
          <w:sz w:val="22"/>
          <w:szCs w:val="22"/>
        </w:rPr>
        <w:t>85W</w:t>
      </w:r>
    </w:p>
    <w:p w14:paraId="63AAF93C"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LCD Technologie</w:t>
      </w:r>
    </w:p>
    <w:p w14:paraId="31286A9C"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Rozlišení 1280x800</w:t>
      </w:r>
      <w:r w:rsidRPr="000845F4">
        <w:rPr>
          <w:rFonts w:asciiTheme="minorHAnsi" w:hAnsiTheme="minorHAnsi" w:cstheme="minorHAnsi"/>
          <w:sz w:val="22"/>
          <w:szCs w:val="22"/>
        </w:rPr>
        <w:t xml:space="preserve"> (</w:t>
      </w:r>
      <w:r>
        <w:rPr>
          <w:rFonts w:asciiTheme="minorHAnsi" w:hAnsiTheme="minorHAnsi" w:cstheme="minorHAnsi"/>
          <w:sz w:val="22"/>
          <w:szCs w:val="22"/>
        </w:rPr>
        <w:t>W</w:t>
      </w:r>
      <w:r w:rsidRPr="000845F4">
        <w:rPr>
          <w:rFonts w:asciiTheme="minorHAnsi" w:hAnsiTheme="minorHAnsi" w:cstheme="minorHAnsi"/>
          <w:sz w:val="22"/>
          <w:szCs w:val="22"/>
        </w:rPr>
        <w:t>XGA)</w:t>
      </w:r>
    </w:p>
    <w:p w14:paraId="768EA727"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Ultrakrátk</w:t>
      </w:r>
      <w:r>
        <w:rPr>
          <w:rFonts w:asciiTheme="minorHAnsi" w:hAnsiTheme="minorHAnsi" w:cstheme="minorHAnsi"/>
          <w:sz w:val="22"/>
          <w:szCs w:val="22"/>
        </w:rPr>
        <w:t>á projekční vzdálenost – max. 50</w:t>
      </w:r>
      <w:r w:rsidRPr="000845F4">
        <w:rPr>
          <w:rFonts w:asciiTheme="minorHAnsi" w:hAnsiTheme="minorHAnsi" w:cstheme="minorHAnsi"/>
          <w:sz w:val="22"/>
          <w:szCs w:val="22"/>
        </w:rPr>
        <w:t xml:space="preserve"> cm</w:t>
      </w:r>
    </w:p>
    <w:p w14:paraId="59AF841E"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Světelný výkon 31</w:t>
      </w:r>
      <w:r w:rsidRPr="000845F4">
        <w:rPr>
          <w:rFonts w:asciiTheme="minorHAnsi" w:hAnsiTheme="minorHAnsi" w:cstheme="minorHAnsi"/>
          <w:sz w:val="22"/>
          <w:szCs w:val="22"/>
        </w:rPr>
        <w:t>00 ANSI</w:t>
      </w:r>
    </w:p>
    <w:p w14:paraId="3D6C63F7"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Menu v češtině</w:t>
      </w:r>
    </w:p>
    <w:p w14:paraId="0243D83F" w14:textId="77777777" w:rsidR="00681554" w:rsidRPr="000845F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Součástí dodávky je originální držák na stěnu</w:t>
      </w:r>
    </w:p>
    <w:p w14:paraId="7FCB905F"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b/>
          <w:sz w:val="22"/>
          <w:szCs w:val="22"/>
        </w:rPr>
      </w:pPr>
      <w:r w:rsidRPr="000845F4">
        <w:rPr>
          <w:rFonts w:asciiTheme="minorHAnsi" w:hAnsiTheme="minorHAnsi" w:cstheme="minorHAnsi"/>
          <w:sz w:val="22"/>
          <w:szCs w:val="22"/>
        </w:rPr>
        <w:t>Záruka 3 roky (3 roky na lampu nebo 2000 hodin)</w:t>
      </w:r>
    </w:p>
    <w:p w14:paraId="3F6E8227" w14:textId="77777777" w:rsidR="00681554"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b/>
          <w:sz w:val="22"/>
          <w:szCs w:val="22"/>
        </w:rPr>
      </w:pPr>
    </w:p>
    <w:p w14:paraId="0D83E378" w14:textId="77777777" w:rsidR="00681554" w:rsidRPr="008E141B"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b/>
          <w:sz w:val="22"/>
          <w:szCs w:val="22"/>
        </w:rPr>
      </w:pPr>
      <w:r>
        <w:rPr>
          <w:rFonts w:asciiTheme="minorHAnsi" w:hAnsiTheme="minorHAnsi" w:cstheme="minorHAnsi"/>
          <w:b/>
          <w:sz w:val="22"/>
          <w:szCs w:val="22"/>
        </w:rPr>
        <w:tab/>
      </w:r>
      <w:r w:rsidR="006D5FA0">
        <w:rPr>
          <w:rFonts w:asciiTheme="minorHAnsi" w:hAnsiTheme="minorHAnsi" w:cstheme="minorHAnsi"/>
          <w:sz w:val="22"/>
          <w:szCs w:val="22"/>
        </w:rPr>
        <w:t>1</w:t>
      </w:r>
      <w:r w:rsidRPr="008E141B">
        <w:rPr>
          <w:rFonts w:asciiTheme="minorHAnsi" w:hAnsiTheme="minorHAnsi" w:cstheme="minorHAnsi"/>
          <w:sz w:val="22"/>
          <w:szCs w:val="22"/>
        </w:rPr>
        <w:t xml:space="preserve"> ks – vertikální posuv – </w:t>
      </w:r>
      <w:r w:rsidRPr="008E141B">
        <w:rPr>
          <w:rFonts w:asciiTheme="minorHAnsi" w:hAnsiTheme="minorHAnsi" w:cstheme="minorHAnsi"/>
          <w:b/>
          <w:sz w:val="22"/>
          <w:szCs w:val="22"/>
        </w:rPr>
        <w:t>pylonový posuv SANTAL</w:t>
      </w:r>
      <w:r w:rsidR="006D5FA0">
        <w:rPr>
          <w:rFonts w:asciiTheme="minorHAnsi" w:hAnsiTheme="minorHAnsi" w:cstheme="minorHAnsi"/>
          <w:b/>
          <w:sz w:val="22"/>
          <w:szCs w:val="22"/>
        </w:rPr>
        <w:t xml:space="preserve"> s křídly</w:t>
      </w:r>
    </w:p>
    <w:p w14:paraId="17BA2925" w14:textId="77777777" w:rsidR="00681554" w:rsidRDefault="00681554" w:rsidP="00681554">
      <w:pPr>
        <w:pStyle w:val="Zkladntext"/>
        <w:numPr>
          <w:ilvl w:val="0"/>
          <w:numId w:val="1"/>
        </w:numPr>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0845F4">
        <w:rPr>
          <w:rFonts w:asciiTheme="minorHAnsi" w:hAnsiTheme="minorHAnsi" w:cstheme="minorHAnsi"/>
          <w:sz w:val="22"/>
          <w:szCs w:val="22"/>
        </w:rPr>
        <w:t>Vertikální posuv – výška pylonů 250cm</w:t>
      </w:r>
    </w:p>
    <w:p w14:paraId="5BC92CE8"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8E141B">
        <w:rPr>
          <w:rFonts w:asciiTheme="minorHAnsi" w:hAnsiTheme="minorHAnsi" w:cstheme="minorHAnsi"/>
          <w:sz w:val="22"/>
          <w:szCs w:val="22"/>
        </w:rPr>
        <w:t>Uzamykatelný v jedné poloze</w:t>
      </w:r>
    </w:p>
    <w:p w14:paraId="4FCCB086" w14:textId="5E3AFAD1" w:rsidR="006D5FA0" w:rsidRDefault="00C4301B"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lastRenderedPageBreak/>
        <w:t>Bílá keramická křídl</w:t>
      </w:r>
      <w:r w:rsidRPr="00C4301B">
        <w:rPr>
          <w:rFonts w:asciiTheme="minorHAnsi" w:hAnsiTheme="minorHAnsi" w:cstheme="minorHAnsi"/>
          <w:color w:val="FF0000"/>
          <w:sz w:val="22"/>
          <w:szCs w:val="22"/>
        </w:rPr>
        <w:t>a</w:t>
      </w:r>
    </w:p>
    <w:p w14:paraId="7A9CE243"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8E141B">
        <w:rPr>
          <w:rFonts w:asciiTheme="minorHAnsi" w:hAnsiTheme="minorHAnsi" w:cstheme="minorHAnsi"/>
          <w:sz w:val="22"/>
          <w:szCs w:val="22"/>
        </w:rPr>
        <w:t>Záruka 2 roky</w:t>
      </w:r>
    </w:p>
    <w:p w14:paraId="6FA11F85" w14:textId="77777777" w:rsidR="00681554"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25"/>
        <w:rPr>
          <w:rFonts w:asciiTheme="minorHAnsi" w:hAnsiTheme="minorHAnsi" w:cstheme="minorHAnsi"/>
          <w:sz w:val="22"/>
          <w:szCs w:val="22"/>
        </w:rPr>
      </w:pPr>
    </w:p>
    <w:p w14:paraId="134322D6" w14:textId="77777777" w:rsidR="00681554" w:rsidRPr="008E141B"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Pr>
          <w:rFonts w:asciiTheme="minorHAnsi" w:hAnsiTheme="minorHAnsi" w:cstheme="minorHAnsi"/>
          <w:sz w:val="22"/>
          <w:szCs w:val="22"/>
        </w:rPr>
        <w:tab/>
      </w:r>
      <w:r w:rsidR="006D5FA0">
        <w:rPr>
          <w:rFonts w:asciiTheme="minorHAnsi" w:hAnsiTheme="minorHAnsi" w:cstheme="minorHAnsi"/>
          <w:sz w:val="22"/>
          <w:szCs w:val="22"/>
        </w:rPr>
        <w:t>1</w:t>
      </w:r>
      <w:r w:rsidRPr="008E141B">
        <w:rPr>
          <w:rFonts w:asciiTheme="minorHAnsi" w:hAnsiTheme="minorHAnsi" w:cstheme="minorHAnsi"/>
          <w:sz w:val="22"/>
          <w:szCs w:val="22"/>
        </w:rPr>
        <w:t xml:space="preserve"> ks – Instalace komponent</w:t>
      </w:r>
    </w:p>
    <w:p w14:paraId="119C266A" w14:textId="77777777" w:rsidR="00681554" w:rsidRPr="009E5A27"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Calibri" w:hAnsi="Calibri" w:cs="Calibri"/>
          <w:sz w:val="22"/>
          <w:szCs w:val="22"/>
        </w:rPr>
      </w:pPr>
      <w:r w:rsidRPr="009E5A27">
        <w:rPr>
          <w:rFonts w:ascii="Calibri" w:hAnsi="Calibri" w:cs="Calibri"/>
          <w:sz w:val="22"/>
          <w:szCs w:val="22"/>
        </w:rPr>
        <w:t>Kompletní instalace výše uvedených komponent do zadavatelem určených místností</w:t>
      </w:r>
    </w:p>
    <w:p w14:paraId="2E7A6C9A" w14:textId="77777777" w:rsidR="00681554" w:rsidRPr="009E5A27"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Calibri" w:hAnsi="Calibri" w:cs="Calibri"/>
          <w:sz w:val="22"/>
          <w:szCs w:val="22"/>
        </w:rPr>
      </w:pPr>
      <w:r>
        <w:rPr>
          <w:rFonts w:asciiTheme="minorHAnsi" w:hAnsiTheme="minorHAnsi" w:cstheme="minorHAnsi"/>
          <w:sz w:val="22"/>
          <w:szCs w:val="22"/>
        </w:rPr>
        <w:t xml:space="preserve">Včetně kompletní kabeláže </w:t>
      </w:r>
      <w:r w:rsidRPr="009E5A27">
        <w:rPr>
          <w:rFonts w:ascii="Calibri" w:hAnsi="Calibri" w:cs="Calibri"/>
          <w:sz w:val="22"/>
          <w:szCs w:val="22"/>
        </w:rPr>
        <w:t>do délky 15 m</w:t>
      </w:r>
    </w:p>
    <w:p w14:paraId="29A51D59" w14:textId="77777777" w:rsidR="00681554" w:rsidRPr="009E5A27"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Calibri" w:hAnsi="Calibri" w:cs="Calibri"/>
          <w:sz w:val="22"/>
          <w:szCs w:val="22"/>
        </w:rPr>
      </w:pPr>
      <w:r w:rsidRPr="009E5A27">
        <w:rPr>
          <w:rFonts w:ascii="Calibri" w:hAnsi="Calibri" w:cs="Calibri"/>
          <w:sz w:val="22"/>
          <w:szCs w:val="22"/>
        </w:rPr>
        <w:t>Včetně revize elektroinstalace</w:t>
      </w:r>
    </w:p>
    <w:p w14:paraId="3E63AB29" w14:textId="77777777" w:rsidR="00681554" w:rsidRDefault="00681554" w:rsidP="00681554">
      <w:pPr>
        <w:pStyle w:val="Zkladntext"/>
        <w:numPr>
          <w:ilvl w:val="0"/>
          <w:numId w:val="1"/>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r w:rsidRPr="009E5A27">
        <w:rPr>
          <w:rFonts w:ascii="Calibri" w:hAnsi="Calibri" w:cs="Calibri"/>
          <w:sz w:val="22"/>
          <w:szCs w:val="22"/>
        </w:rPr>
        <w:t>Včetně dopravy na místo instalace</w:t>
      </w:r>
    </w:p>
    <w:p w14:paraId="10AA16D8" w14:textId="77777777" w:rsidR="00681554"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2"/>
          <w:szCs w:val="22"/>
        </w:rPr>
      </w:pPr>
    </w:p>
    <w:p w14:paraId="683B12DD" w14:textId="77777777" w:rsidR="00681554" w:rsidRPr="00DB3482" w:rsidRDefault="00681554" w:rsidP="00681554">
      <w:pPr>
        <w:pStyle w:val="Zkladntext"/>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25"/>
        <w:rPr>
          <w:rFonts w:asciiTheme="minorHAnsi" w:hAnsiTheme="minorHAnsi" w:cstheme="minorHAnsi"/>
          <w:sz w:val="22"/>
          <w:szCs w:val="22"/>
        </w:rPr>
      </w:pPr>
    </w:p>
    <w:p w14:paraId="3D4FA38B" w14:textId="77777777" w:rsidR="00681554" w:rsidRPr="00DB3482" w:rsidRDefault="00681554" w:rsidP="00681554">
      <w:pPr>
        <w:pStyle w:val="Bezmezer"/>
        <w:numPr>
          <w:ilvl w:val="1"/>
          <w:numId w:val="2"/>
        </w:numPr>
        <w:rPr>
          <w:rFonts w:asciiTheme="minorHAnsi" w:hAnsiTheme="minorHAnsi" w:cstheme="minorHAnsi"/>
        </w:rPr>
      </w:pPr>
      <w:r w:rsidRPr="00DB3482">
        <w:rPr>
          <w:rFonts w:asciiTheme="minorHAnsi" w:hAnsiTheme="minorHAnsi" w:cstheme="minorHAnsi"/>
        </w:rPr>
        <w:t>Součástí dodávky podle této smlouvy je:</w:t>
      </w:r>
    </w:p>
    <w:p w14:paraId="3341DD9E" w14:textId="77777777" w:rsidR="00681554" w:rsidRPr="00DB3482" w:rsidRDefault="00681554" w:rsidP="00681554">
      <w:pPr>
        <w:pStyle w:val="Bezmezer"/>
        <w:numPr>
          <w:ilvl w:val="0"/>
          <w:numId w:val="3"/>
        </w:numPr>
        <w:rPr>
          <w:rFonts w:asciiTheme="minorHAnsi" w:hAnsiTheme="minorHAnsi" w:cstheme="minorHAnsi"/>
        </w:rPr>
      </w:pPr>
      <w:r w:rsidRPr="00DB3482">
        <w:rPr>
          <w:rFonts w:asciiTheme="minorHAnsi" w:hAnsiTheme="minorHAnsi" w:cstheme="minorHAnsi"/>
        </w:rPr>
        <w:t>Dodávka komponent</w:t>
      </w:r>
    </w:p>
    <w:p w14:paraId="00DFD33D" w14:textId="77777777" w:rsidR="00681554" w:rsidRPr="00DB3482" w:rsidRDefault="00681554" w:rsidP="00681554">
      <w:pPr>
        <w:pStyle w:val="Bezmezer"/>
        <w:numPr>
          <w:ilvl w:val="0"/>
          <w:numId w:val="3"/>
        </w:numPr>
        <w:rPr>
          <w:rFonts w:asciiTheme="minorHAnsi" w:hAnsiTheme="minorHAnsi" w:cstheme="minorHAnsi"/>
        </w:rPr>
      </w:pPr>
      <w:r w:rsidRPr="00DB3482">
        <w:rPr>
          <w:rFonts w:asciiTheme="minorHAnsi" w:hAnsiTheme="minorHAnsi" w:cstheme="minorHAnsi"/>
        </w:rPr>
        <w:t>Montáž komponent a jejich oživení</w:t>
      </w:r>
    </w:p>
    <w:p w14:paraId="25B780A9" w14:textId="77777777" w:rsidR="00681554" w:rsidRPr="00DB3482" w:rsidRDefault="00681554" w:rsidP="00681554">
      <w:pPr>
        <w:pStyle w:val="Bezmezer"/>
        <w:numPr>
          <w:ilvl w:val="1"/>
          <w:numId w:val="2"/>
        </w:numPr>
        <w:rPr>
          <w:rFonts w:asciiTheme="minorHAnsi" w:hAnsiTheme="minorHAnsi" w:cstheme="minorHAnsi"/>
        </w:rPr>
      </w:pPr>
      <w:r w:rsidRPr="00DB3482">
        <w:rPr>
          <w:rFonts w:asciiTheme="minorHAnsi" w:hAnsiTheme="minorHAnsi" w:cstheme="minorHAnsi"/>
        </w:rPr>
        <w:t xml:space="preserve">Součástí dodávky podle této smlouvy </w:t>
      </w:r>
      <w:r w:rsidRPr="00DB3482">
        <w:rPr>
          <w:rFonts w:asciiTheme="minorHAnsi" w:hAnsiTheme="minorHAnsi" w:cstheme="minorHAnsi"/>
          <w:u w:val="single"/>
        </w:rPr>
        <w:t>není</w:t>
      </w:r>
      <w:r w:rsidRPr="00DB3482">
        <w:rPr>
          <w:rFonts w:asciiTheme="minorHAnsi" w:hAnsiTheme="minorHAnsi" w:cstheme="minorHAnsi"/>
        </w:rPr>
        <w:t xml:space="preserve"> zejména:</w:t>
      </w:r>
    </w:p>
    <w:p w14:paraId="0BCFA166" w14:textId="77777777" w:rsidR="00681554" w:rsidRPr="00DB3482" w:rsidRDefault="00681554" w:rsidP="00681554">
      <w:pPr>
        <w:pStyle w:val="Bezmezer"/>
        <w:numPr>
          <w:ilvl w:val="0"/>
          <w:numId w:val="4"/>
        </w:numPr>
        <w:rPr>
          <w:rFonts w:asciiTheme="minorHAnsi" w:hAnsiTheme="minorHAnsi" w:cstheme="minorHAnsi"/>
        </w:rPr>
      </w:pPr>
      <w:r w:rsidRPr="00DB3482">
        <w:rPr>
          <w:rFonts w:asciiTheme="minorHAnsi" w:hAnsiTheme="minorHAnsi" w:cstheme="minorHAnsi"/>
        </w:rPr>
        <w:t>Demontáž stávající techniky objednatele,</w:t>
      </w:r>
    </w:p>
    <w:p w14:paraId="376F8868" w14:textId="77777777" w:rsidR="00681554" w:rsidRPr="00DB3482" w:rsidRDefault="00681554" w:rsidP="00681554">
      <w:pPr>
        <w:pStyle w:val="Bezmezer"/>
        <w:numPr>
          <w:ilvl w:val="0"/>
          <w:numId w:val="4"/>
        </w:numPr>
        <w:rPr>
          <w:rFonts w:asciiTheme="minorHAnsi" w:hAnsiTheme="minorHAnsi" w:cstheme="minorHAnsi"/>
        </w:rPr>
      </w:pPr>
      <w:r w:rsidRPr="00DB3482">
        <w:rPr>
          <w:rFonts w:asciiTheme="minorHAnsi" w:hAnsiTheme="minorHAnsi" w:cstheme="minorHAnsi"/>
        </w:rPr>
        <w:t>Úpravy elektrických rozvodů objednatele.</w:t>
      </w:r>
    </w:p>
    <w:p w14:paraId="4CD0BE68"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Prodávající dodá dodávku dle specifikace v bodě 2.3. této smlouvy na adresu kupujícího -  </w:t>
      </w:r>
      <w:r>
        <w:rPr>
          <w:rFonts w:asciiTheme="minorHAnsi" w:hAnsiTheme="minorHAnsi" w:cstheme="minorHAnsi"/>
        </w:rPr>
        <w:t xml:space="preserve">Františka </w:t>
      </w:r>
      <w:proofErr w:type="spellStart"/>
      <w:r>
        <w:rPr>
          <w:rFonts w:asciiTheme="minorHAnsi" w:hAnsiTheme="minorHAnsi" w:cstheme="minorHAnsi"/>
        </w:rPr>
        <w:t>Diepolta</w:t>
      </w:r>
      <w:proofErr w:type="spellEnd"/>
      <w:r>
        <w:rPr>
          <w:rFonts w:asciiTheme="minorHAnsi" w:hAnsiTheme="minorHAnsi" w:cstheme="minorHAnsi"/>
        </w:rPr>
        <w:t xml:space="preserve"> 1576, 269 01 Rakovník</w:t>
      </w:r>
      <w:r w:rsidRPr="00DB3482">
        <w:rPr>
          <w:rFonts w:asciiTheme="minorHAnsi" w:hAnsiTheme="minorHAnsi" w:cstheme="minorHAnsi"/>
        </w:rPr>
        <w:t xml:space="preserve"> a to do místností kupujícím určených.</w:t>
      </w:r>
    </w:p>
    <w:p w14:paraId="7F257BFC" w14:textId="77777777" w:rsidR="00681554" w:rsidRPr="00DB3482" w:rsidRDefault="00681554" w:rsidP="00681554">
      <w:pPr>
        <w:pStyle w:val="Bezmezer"/>
        <w:ind w:left="360"/>
        <w:jc w:val="both"/>
        <w:rPr>
          <w:rFonts w:asciiTheme="minorHAnsi" w:hAnsiTheme="minorHAnsi" w:cstheme="minorHAnsi"/>
        </w:rPr>
      </w:pPr>
    </w:p>
    <w:p w14:paraId="5C127B71" w14:textId="77777777" w:rsidR="00681554" w:rsidRPr="00DB3482" w:rsidRDefault="00681554" w:rsidP="00681554">
      <w:pPr>
        <w:pStyle w:val="Bezmezer"/>
        <w:numPr>
          <w:ilvl w:val="0"/>
          <w:numId w:val="2"/>
        </w:numPr>
        <w:rPr>
          <w:rFonts w:asciiTheme="minorHAnsi" w:hAnsiTheme="minorHAnsi" w:cstheme="minorHAnsi"/>
          <w:b/>
          <w:u w:val="single"/>
        </w:rPr>
      </w:pPr>
      <w:r w:rsidRPr="00DB3482">
        <w:rPr>
          <w:rFonts w:asciiTheme="minorHAnsi" w:hAnsiTheme="minorHAnsi" w:cstheme="minorHAnsi"/>
          <w:b/>
          <w:u w:val="single"/>
        </w:rPr>
        <w:t>Doba plnění</w:t>
      </w:r>
    </w:p>
    <w:p w14:paraId="4C16727F"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Zahájení dodávek nastane po podpisu Kupní smlouvy. </w:t>
      </w:r>
    </w:p>
    <w:p w14:paraId="143340D0" w14:textId="77777777" w:rsidR="00681554" w:rsidRPr="00DB3482" w:rsidRDefault="00681554" w:rsidP="006D5FA0">
      <w:pPr>
        <w:pStyle w:val="Bezmezer"/>
        <w:ind w:left="624"/>
        <w:jc w:val="both"/>
        <w:rPr>
          <w:rFonts w:asciiTheme="minorHAnsi" w:hAnsiTheme="minorHAnsi" w:cstheme="minorHAnsi"/>
          <w:b/>
        </w:rPr>
      </w:pPr>
      <w:r w:rsidRPr="00DB3482">
        <w:rPr>
          <w:rFonts w:asciiTheme="minorHAnsi" w:hAnsiTheme="minorHAnsi" w:cstheme="minorHAnsi"/>
          <w:b/>
        </w:rPr>
        <w:t xml:space="preserve">      Stanovení termínu dodávky zaříz</w:t>
      </w:r>
      <w:r w:rsidR="006D5FA0">
        <w:rPr>
          <w:rFonts w:asciiTheme="minorHAnsi" w:hAnsiTheme="minorHAnsi" w:cstheme="minorHAnsi"/>
          <w:b/>
        </w:rPr>
        <w:t>ení a fakturace plnění zakázky</w:t>
      </w:r>
      <w:r w:rsidRPr="00DB3482">
        <w:rPr>
          <w:rFonts w:asciiTheme="minorHAnsi" w:hAnsiTheme="minorHAnsi" w:cstheme="minorHAnsi"/>
          <w:b/>
        </w:rPr>
        <w:t>:</w:t>
      </w:r>
    </w:p>
    <w:p w14:paraId="0D4A3AC4" w14:textId="77777777" w:rsidR="00681554" w:rsidRPr="00DB3482" w:rsidRDefault="00681554" w:rsidP="00681554">
      <w:pPr>
        <w:pStyle w:val="Bezmezer"/>
        <w:ind w:left="1428"/>
        <w:rPr>
          <w:rFonts w:asciiTheme="minorHAnsi" w:hAnsiTheme="minorHAnsi" w:cstheme="minorHAnsi"/>
          <w:u w:val="single"/>
        </w:rPr>
      </w:pPr>
      <w:r w:rsidRPr="00DB3482">
        <w:rPr>
          <w:rFonts w:asciiTheme="minorHAnsi" w:hAnsiTheme="minorHAnsi" w:cstheme="minorHAnsi"/>
          <w:b/>
        </w:rPr>
        <w:t xml:space="preserve">      </w:t>
      </w:r>
      <w:r w:rsidRPr="00DB3482">
        <w:rPr>
          <w:rFonts w:asciiTheme="minorHAnsi" w:hAnsiTheme="minorHAnsi" w:cstheme="minorHAnsi"/>
        </w:rPr>
        <w:t xml:space="preserve">Termín dodávky: </w:t>
      </w:r>
      <w:r w:rsidRPr="00DB3482">
        <w:rPr>
          <w:rFonts w:asciiTheme="minorHAnsi" w:hAnsiTheme="minorHAnsi" w:cstheme="minorHAnsi"/>
        </w:rPr>
        <w:tab/>
      </w:r>
      <w:r w:rsidRPr="00DB3482">
        <w:rPr>
          <w:rFonts w:asciiTheme="minorHAnsi" w:hAnsiTheme="minorHAnsi" w:cstheme="minorHAnsi"/>
        </w:rPr>
        <w:tab/>
      </w:r>
      <w:r w:rsidRPr="00DB3482">
        <w:rPr>
          <w:rFonts w:asciiTheme="minorHAnsi" w:hAnsiTheme="minorHAnsi" w:cstheme="minorHAnsi"/>
          <w:b/>
        </w:rPr>
        <w:t xml:space="preserve">do </w:t>
      </w:r>
      <w:r w:rsidR="006D5FA0">
        <w:rPr>
          <w:rFonts w:asciiTheme="minorHAnsi" w:hAnsiTheme="minorHAnsi" w:cstheme="minorHAnsi"/>
          <w:b/>
        </w:rPr>
        <w:t>30.10.2016</w:t>
      </w:r>
    </w:p>
    <w:p w14:paraId="73BD2474" w14:textId="77777777" w:rsidR="00681554" w:rsidRPr="00DB3482" w:rsidRDefault="00681554" w:rsidP="00681554">
      <w:pPr>
        <w:pStyle w:val="Bezmezer"/>
        <w:ind w:left="1800" w:hanging="180"/>
        <w:rPr>
          <w:rFonts w:asciiTheme="minorHAnsi" w:hAnsiTheme="minorHAnsi" w:cstheme="minorHAnsi"/>
          <w:b/>
        </w:rPr>
      </w:pPr>
      <w:r w:rsidRPr="00DB3482">
        <w:rPr>
          <w:rFonts w:asciiTheme="minorHAnsi" w:hAnsiTheme="minorHAnsi" w:cstheme="minorHAnsi"/>
          <w:b/>
        </w:rPr>
        <w:t xml:space="preserve"> </w:t>
      </w:r>
      <w:r w:rsidRPr="00DB3482">
        <w:rPr>
          <w:rFonts w:asciiTheme="minorHAnsi" w:hAnsiTheme="minorHAnsi" w:cstheme="minorHAnsi"/>
          <w:b/>
        </w:rPr>
        <w:tab/>
      </w:r>
      <w:r w:rsidRPr="00DB3482">
        <w:rPr>
          <w:rFonts w:asciiTheme="minorHAnsi" w:hAnsiTheme="minorHAnsi" w:cstheme="minorHAnsi"/>
        </w:rPr>
        <w:t xml:space="preserve">Termín fakturace:  </w:t>
      </w:r>
      <w:r w:rsidRPr="00DB3482">
        <w:rPr>
          <w:rFonts w:asciiTheme="minorHAnsi" w:hAnsiTheme="minorHAnsi" w:cstheme="minorHAnsi"/>
        </w:rPr>
        <w:tab/>
      </w:r>
      <w:r w:rsidRPr="00DB3482">
        <w:rPr>
          <w:rFonts w:asciiTheme="minorHAnsi" w:hAnsiTheme="minorHAnsi" w:cstheme="minorHAnsi"/>
          <w:b/>
        </w:rPr>
        <w:t>do 14 dnů od převzetí zadavatelem</w:t>
      </w:r>
    </w:p>
    <w:p w14:paraId="3A2C5945" w14:textId="77777777" w:rsidR="00681554" w:rsidRPr="00DB3482" w:rsidRDefault="00681554" w:rsidP="00681554">
      <w:pPr>
        <w:pStyle w:val="Bezmezer"/>
        <w:ind w:left="1800" w:hanging="180"/>
        <w:rPr>
          <w:rFonts w:asciiTheme="minorHAnsi" w:hAnsiTheme="minorHAnsi" w:cstheme="minorHAnsi"/>
        </w:rPr>
      </w:pPr>
      <w:r w:rsidRPr="00DB3482">
        <w:rPr>
          <w:rFonts w:asciiTheme="minorHAnsi" w:hAnsiTheme="minorHAnsi" w:cstheme="minorHAnsi"/>
          <w:b/>
        </w:rPr>
        <w:tab/>
      </w:r>
      <w:r w:rsidRPr="00DB3482">
        <w:rPr>
          <w:rFonts w:asciiTheme="minorHAnsi" w:hAnsiTheme="minorHAnsi" w:cstheme="minorHAnsi"/>
          <w:b/>
        </w:rPr>
        <w:tab/>
      </w:r>
      <w:r w:rsidRPr="00DB3482">
        <w:rPr>
          <w:rFonts w:asciiTheme="minorHAnsi" w:hAnsiTheme="minorHAnsi" w:cstheme="minorHAnsi"/>
          <w:b/>
        </w:rPr>
        <w:tab/>
      </w:r>
      <w:r w:rsidRPr="00DB3482">
        <w:rPr>
          <w:rFonts w:asciiTheme="minorHAnsi" w:hAnsiTheme="minorHAnsi" w:cstheme="minorHAnsi"/>
          <w:b/>
        </w:rPr>
        <w:tab/>
      </w:r>
      <w:r w:rsidRPr="00DB3482">
        <w:rPr>
          <w:rFonts w:asciiTheme="minorHAnsi" w:hAnsiTheme="minorHAnsi" w:cstheme="minorHAnsi"/>
          <w:b/>
        </w:rPr>
        <w:tab/>
      </w:r>
    </w:p>
    <w:p w14:paraId="526991E5"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Včasné a řádné dokončení díla ve sjednané době, závisí na řádném a včasném plnění závazků kupujícího k poskytování součinnosti sjednané touto smlouvou. Prodávající není v prodlení se splněním svých závazků podle této smlouvy, pokud takové prodlení způsobil kupující neposkytnutím sjednané součinnosti.</w:t>
      </w:r>
    </w:p>
    <w:p w14:paraId="370ED243" w14:textId="77777777" w:rsidR="00681554" w:rsidRPr="00DB3482" w:rsidRDefault="00681554" w:rsidP="00681554">
      <w:pPr>
        <w:pStyle w:val="Odstavecseseznamem"/>
        <w:numPr>
          <w:ilvl w:val="0"/>
          <w:numId w:val="0"/>
        </w:numPr>
        <w:ind w:left="1080"/>
        <w:rPr>
          <w:rFonts w:asciiTheme="minorHAnsi" w:hAnsiTheme="minorHAnsi" w:cstheme="minorHAnsi"/>
          <w:sz w:val="22"/>
          <w:szCs w:val="22"/>
        </w:rPr>
      </w:pPr>
    </w:p>
    <w:p w14:paraId="4EA52689" w14:textId="77777777" w:rsidR="00681554" w:rsidRPr="00DB3482" w:rsidRDefault="00681554" w:rsidP="00681554">
      <w:pPr>
        <w:pStyle w:val="Bezmezer"/>
        <w:numPr>
          <w:ilvl w:val="0"/>
          <w:numId w:val="2"/>
        </w:numPr>
        <w:rPr>
          <w:rFonts w:asciiTheme="minorHAnsi" w:hAnsiTheme="minorHAnsi" w:cstheme="minorHAnsi"/>
          <w:b/>
          <w:u w:val="single"/>
        </w:rPr>
      </w:pPr>
      <w:r w:rsidRPr="00DB3482">
        <w:rPr>
          <w:rFonts w:asciiTheme="minorHAnsi" w:hAnsiTheme="minorHAnsi" w:cstheme="minorHAnsi"/>
          <w:b/>
          <w:u w:val="single"/>
        </w:rPr>
        <w:t>Cenové a platební podmínky</w:t>
      </w:r>
    </w:p>
    <w:p w14:paraId="30C43993"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Kupní cena je stanovena dohodou smluvních stran na základě cenové nabídky prodávajícího, která ze dne </w:t>
      </w:r>
      <w:r w:rsidR="006D5FA0">
        <w:rPr>
          <w:rFonts w:asciiTheme="minorHAnsi" w:hAnsiTheme="minorHAnsi" w:cstheme="minorHAnsi"/>
        </w:rPr>
        <w:t>4.4.2016</w:t>
      </w:r>
      <w:r w:rsidRPr="00DB3482">
        <w:rPr>
          <w:rFonts w:asciiTheme="minorHAnsi" w:hAnsiTheme="minorHAnsi" w:cstheme="minorHAnsi"/>
        </w:rPr>
        <w:t>. Tato cena je konečná, pokud nedojde ke změnám požadavků ze strany kupujícího.</w:t>
      </w:r>
    </w:p>
    <w:p w14:paraId="52FD1DD1" w14:textId="7B106996" w:rsidR="00681554" w:rsidRDefault="00681554" w:rsidP="00663F4B">
      <w:pPr>
        <w:pStyle w:val="Bezmezer"/>
        <w:numPr>
          <w:ilvl w:val="1"/>
          <w:numId w:val="2"/>
        </w:numPr>
        <w:jc w:val="both"/>
        <w:rPr>
          <w:rFonts w:asciiTheme="minorHAnsi" w:hAnsiTheme="minorHAnsi" w:cstheme="minorHAnsi"/>
        </w:rPr>
      </w:pPr>
      <w:r w:rsidRPr="00925755">
        <w:rPr>
          <w:rFonts w:asciiTheme="minorHAnsi" w:hAnsiTheme="minorHAnsi" w:cstheme="minorHAnsi"/>
        </w:rPr>
        <w:t>Smluvní strany se dohodly, že kupní cena je cenou celkovou včetně DPH. Kupní cena je stanovena pro danou dobu plnění jako cena nejvýše přípustná se započtením veškerých nákladů, rizik, zisku a finančních vlivů (např. inflace), po celou dobu realizace zakázky</w:t>
      </w:r>
      <w:r w:rsidR="00925755">
        <w:rPr>
          <w:rFonts w:asciiTheme="minorHAnsi" w:hAnsiTheme="minorHAnsi" w:cstheme="minorHAnsi"/>
        </w:rPr>
        <w:t>.</w:t>
      </w:r>
    </w:p>
    <w:p w14:paraId="16D817A9" w14:textId="77777777" w:rsidR="00925755" w:rsidRPr="00925755" w:rsidRDefault="00925755" w:rsidP="00925755">
      <w:pPr>
        <w:pStyle w:val="Bezmezer"/>
        <w:ind w:left="908"/>
        <w:jc w:val="both"/>
        <w:rPr>
          <w:rFonts w:asciiTheme="minorHAnsi" w:hAnsiTheme="minorHAnsi" w:cstheme="minorHAnsi"/>
        </w:rPr>
      </w:pPr>
      <w:bookmarkStart w:id="0" w:name="_GoBack"/>
      <w:bookmarkEnd w:id="0"/>
    </w:p>
    <w:p w14:paraId="536DB4C4" w14:textId="77777777" w:rsidR="00681554" w:rsidRPr="00DB3482" w:rsidRDefault="00681554" w:rsidP="00681554">
      <w:pPr>
        <w:pStyle w:val="Nadpis1"/>
        <w:tabs>
          <w:tab w:val="num" w:pos="720"/>
        </w:tabs>
        <w:ind w:left="720"/>
        <w:rPr>
          <w:rFonts w:asciiTheme="minorHAnsi" w:hAnsiTheme="minorHAnsi" w:cstheme="minorHAnsi"/>
          <w:sz w:val="22"/>
          <w:szCs w:val="22"/>
        </w:rPr>
      </w:pPr>
      <w:r w:rsidRPr="00DB3482">
        <w:rPr>
          <w:rFonts w:asciiTheme="minorHAnsi" w:hAnsiTheme="minorHAnsi" w:cstheme="minorHAnsi"/>
          <w:sz w:val="22"/>
          <w:szCs w:val="22"/>
        </w:rPr>
        <w:t xml:space="preserve">Cenová nabídka </w:t>
      </w:r>
    </w:p>
    <w:tbl>
      <w:tblPr>
        <w:tblW w:w="0" w:type="auto"/>
        <w:jc w:val="center"/>
        <w:tblLayout w:type="fixed"/>
        <w:tblCellMar>
          <w:left w:w="70" w:type="dxa"/>
          <w:right w:w="70" w:type="dxa"/>
        </w:tblCellMar>
        <w:tblLook w:val="0000" w:firstRow="0" w:lastRow="0" w:firstColumn="0" w:lastColumn="0" w:noHBand="0" w:noVBand="0"/>
      </w:tblPr>
      <w:tblGrid>
        <w:gridCol w:w="4689"/>
        <w:gridCol w:w="3249"/>
        <w:gridCol w:w="717"/>
      </w:tblGrid>
      <w:tr w:rsidR="00681554" w:rsidRPr="00DB3482" w14:paraId="3B1FBEB7" w14:textId="77777777" w:rsidTr="00512D0D">
        <w:trPr>
          <w:cantSplit/>
          <w:trHeight w:val="397"/>
          <w:jc w:val="center"/>
        </w:trPr>
        <w:tc>
          <w:tcPr>
            <w:tcW w:w="4689" w:type="dxa"/>
            <w:tcBorders>
              <w:top w:val="single" w:sz="8" w:space="0" w:color="000000"/>
              <w:left w:val="single" w:sz="8" w:space="0" w:color="000000"/>
              <w:bottom w:val="single" w:sz="8" w:space="0" w:color="000000"/>
            </w:tcBorders>
            <w:shd w:val="clear" w:color="auto" w:fill="FFFFFF"/>
            <w:vAlign w:val="center"/>
          </w:tcPr>
          <w:p w14:paraId="32BC94E0" w14:textId="77777777" w:rsidR="00681554" w:rsidRPr="00DB3482" w:rsidRDefault="00681554" w:rsidP="00512D0D">
            <w:pPr>
              <w:snapToGrid w:val="0"/>
              <w:rPr>
                <w:rFonts w:asciiTheme="minorHAnsi" w:hAnsiTheme="minorHAnsi" w:cstheme="minorHAnsi"/>
              </w:rPr>
            </w:pPr>
            <w:r w:rsidRPr="00DB3482">
              <w:rPr>
                <w:rFonts w:asciiTheme="minorHAnsi" w:hAnsiTheme="minorHAnsi" w:cstheme="minorHAnsi"/>
                <w:lang w:eastAsia="ar-SA"/>
              </w:rPr>
              <w:t>Nabídková cena díla bez DPH</w:t>
            </w:r>
          </w:p>
        </w:tc>
        <w:tc>
          <w:tcPr>
            <w:tcW w:w="3249" w:type="dxa"/>
            <w:tcBorders>
              <w:top w:val="single" w:sz="8" w:space="0" w:color="000000"/>
              <w:left w:val="single" w:sz="8" w:space="0" w:color="000000"/>
              <w:bottom w:val="single" w:sz="8" w:space="0" w:color="000000"/>
            </w:tcBorders>
            <w:vAlign w:val="center"/>
          </w:tcPr>
          <w:p w14:paraId="07A82EC5" w14:textId="77777777" w:rsidR="00681554" w:rsidRPr="00DB3482" w:rsidRDefault="006D5FA0" w:rsidP="00512D0D">
            <w:pPr>
              <w:snapToGrid w:val="0"/>
              <w:jc w:val="center"/>
              <w:rPr>
                <w:rFonts w:asciiTheme="minorHAnsi" w:hAnsiTheme="minorHAnsi" w:cstheme="minorHAnsi"/>
              </w:rPr>
            </w:pPr>
            <w:r>
              <w:rPr>
                <w:rFonts w:asciiTheme="minorHAnsi" w:hAnsiTheme="minorHAnsi" w:cstheme="minorHAnsi"/>
              </w:rPr>
              <w:t>126 930</w:t>
            </w:r>
            <w:r w:rsidR="00681554" w:rsidRPr="00DB3482">
              <w:rPr>
                <w:rFonts w:asciiTheme="minorHAnsi" w:hAnsiTheme="minorHAnsi" w:cstheme="minorHAnsi"/>
              </w:rPr>
              <w:t>,-</w:t>
            </w:r>
          </w:p>
        </w:tc>
        <w:tc>
          <w:tcPr>
            <w:tcW w:w="717" w:type="dxa"/>
            <w:tcBorders>
              <w:top w:val="single" w:sz="8" w:space="0" w:color="000000"/>
              <w:left w:val="single" w:sz="8" w:space="0" w:color="000000"/>
              <w:bottom w:val="single" w:sz="8" w:space="0" w:color="000000"/>
              <w:right w:val="single" w:sz="8" w:space="0" w:color="000000"/>
            </w:tcBorders>
          </w:tcPr>
          <w:p w14:paraId="5A16E36D" w14:textId="77777777" w:rsidR="00681554" w:rsidRPr="00DB3482" w:rsidRDefault="00681554" w:rsidP="00512D0D">
            <w:pPr>
              <w:pStyle w:val="Nadpis5"/>
              <w:snapToGrid w:val="0"/>
              <w:jc w:val="center"/>
              <w:rPr>
                <w:rFonts w:asciiTheme="minorHAnsi" w:hAnsiTheme="minorHAnsi" w:cstheme="minorHAnsi"/>
                <w:sz w:val="22"/>
                <w:szCs w:val="22"/>
              </w:rPr>
            </w:pPr>
            <w:r w:rsidRPr="00DB3482">
              <w:rPr>
                <w:rFonts w:asciiTheme="minorHAnsi" w:hAnsiTheme="minorHAnsi" w:cstheme="minorHAnsi"/>
                <w:b w:val="0"/>
                <w:sz w:val="22"/>
                <w:szCs w:val="22"/>
              </w:rPr>
              <w:t>Kč</w:t>
            </w:r>
          </w:p>
        </w:tc>
      </w:tr>
      <w:tr w:rsidR="00681554" w:rsidRPr="00DB3482" w14:paraId="0AB2D3B2" w14:textId="77777777" w:rsidTr="00512D0D">
        <w:trPr>
          <w:cantSplit/>
          <w:trHeight w:val="397"/>
          <w:jc w:val="center"/>
        </w:trPr>
        <w:tc>
          <w:tcPr>
            <w:tcW w:w="4689" w:type="dxa"/>
            <w:tcBorders>
              <w:left w:val="single" w:sz="8" w:space="0" w:color="000000"/>
              <w:bottom w:val="single" w:sz="8" w:space="0" w:color="000000"/>
            </w:tcBorders>
            <w:shd w:val="clear" w:color="auto" w:fill="FFFFFF"/>
            <w:vAlign w:val="center"/>
          </w:tcPr>
          <w:p w14:paraId="4BE43E75" w14:textId="77777777" w:rsidR="00681554" w:rsidRPr="00DB3482" w:rsidRDefault="00681554" w:rsidP="00512D0D">
            <w:pPr>
              <w:snapToGrid w:val="0"/>
              <w:rPr>
                <w:rFonts w:asciiTheme="minorHAnsi" w:hAnsiTheme="minorHAnsi" w:cstheme="minorHAnsi"/>
                <w:b/>
                <w:bCs/>
              </w:rPr>
            </w:pPr>
            <w:r w:rsidRPr="00DB3482">
              <w:rPr>
                <w:rFonts w:asciiTheme="minorHAnsi" w:hAnsiTheme="minorHAnsi" w:cstheme="minorHAnsi"/>
                <w:lang w:eastAsia="ar-SA"/>
              </w:rPr>
              <w:t>Celkem DPH</w:t>
            </w:r>
          </w:p>
        </w:tc>
        <w:tc>
          <w:tcPr>
            <w:tcW w:w="3249" w:type="dxa"/>
            <w:tcBorders>
              <w:left w:val="single" w:sz="8" w:space="0" w:color="000000"/>
              <w:bottom w:val="single" w:sz="8" w:space="0" w:color="000000"/>
            </w:tcBorders>
            <w:vAlign w:val="center"/>
          </w:tcPr>
          <w:p w14:paraId="0E3CEF64" w14:textId="77777777" w:rsidR="00681554" w:rsidRPr="00DB3482" w:rsidRDefault="00174878" w:rsidP="00512D0D">
            <w:pPr>
              <w:snapToGrid w:val="0"/>
              <w:jc w:val="center"/>
              <w:rPr>
                <w:rFonts w:asciiTheme="minorHAnsi" w:hAnsiTheme="minorHAnsi" w:cstheme="minorHAnsi"/>
                <w:bCs/>
              </w:rPr>
            </w:pPr>
            <w:r>
              <w:rPr>
                <w:rFonts w:asciiTheme="minorHAnsi" w:hAnsiTheme="minorHAnsi" w:cstheme="minorHAnsi"/>
                <w:bCs/>
              </w:rPr>
              <w:t>26 655,30</w:t>
            </w:r>
          </w:p>
        </w:tc>
        <w:tc>
          <w:tcPr>
            <w:tcW w:w="717" w:type="dxa"/>
            <w:tcBorders>
              <w:left w:val="single" w:sz="8" w:space="0" w:color="000000"/>
              <w:bottom w:val="single" w:sz="8" w:space="0" w:color="000000"/>
              <w:right w:val="single" w:sz="8" w:space="0" w:color="000000"/>
            </w:tcBorders>
          </w:tcPr>
          <w:p w14:paraId="52B87D7C" w14:textId="77777777" w:rsidR="00681554" w:rsidRPr="00DB3482" w:rsidRDefault="00681554" w:rsidP="00512D0D">
            <w:pPr>
              <w:pStyle w:val="Nadpis5"/>
              <w:snapToGrid w:val="0"/>
              <w:jc w:val="center"/>
              <w:rPr>
                <w:rFonts w:asciiTheme="minorHAnsi" w:hAnsiTheme="minorHAnsi" w:cstheme="minorHAnsi"/>
                <w:b w:val="0"/>
                <w:bCs/>
                <w:sz w:val="22"/>
                <w:szCs w:val="22"/>
              </w:rPr>
            </w:pPr>
            <w:r w:rsidRPr="00DB3482">
              <w:rPr>
                <w:rFonts w:asciiTheme="minorHAnsi" w:hAnsiTheme="minorHAnsi" w:cstheme="minorHAnsi"/>
                <w:b w:val="0"/>
                <w:sz w:val="22"/>
                <w:szCs w:val="22"/>
              </w:rPr>
              <w:t>Kč</w:t>
            </w:r>
          </w:p>
        </w:tc>
      </w:tr>
      <w:tr w:rsidR="00681554" w:rsidRPr="00DB3482" w14:paraId="13E3C75C" w14:textId="77777777" w:rsidTr="00512D0D">
        <w:trPr>
          <w:cantSplit/>
          <w:trHeight w:val="397"/>
          <w:jc w:val="center"/>
        </w:trPr>
        <w:tc>
          <w:tcPr>
            <w:tcW w:w="4689" w:type="dxa"/>
            <w:tcBorders>
              <w:left w:val="single" w:sz="8" w:space="0" w:color="000000"/>
              <w:bottom w:val="single" w:sz="8" w:space="0" w:color="000000"/>
            </w:tcBorders>
            <w:shd w:val="clear" w:color="auto" w:fill="FFFFFF"/>
          </w:tcPr>
          <w:p w14:paraId="096FF862" w14:textId="77777777" w:rsidR="00681554" w:rsidRPr="00DB3482" w:rsidRDefault="00681554" w:rsidP="00512D0D">
            <w:pPr>
              <w:pStyle w:val="Nadpis4"/>
              <w:snapToGrid w:val="0"/>
              <w:jc w:val="left"/>
              <w:rPr>
                <w:rFonts w:asciiTheme="minorHAnsi" w:hAnsiTheme="minorHAnsi" w:cstheme="minorHAnsi"/>
                <w:sz w:val="22"/>
                <w:szCs w:val="22"/>
              </w:rPr>
            </w:pPr>
            <w:r w:rsidRPr="00DB3482">
              <w:rPr>
                <w:rFonts w:asciiTheme="minorHAnsi" w:hAnsiTheme="minorHAnsi" w:cstheme="minorHAnsi"/>
                <w:sz w:val="22"/>
                <w:szCs w:val="22"/>
              </w:rPr>
              <w:t xml:space="preserve">Celková nabídková cena včetně DPH </w:t>
            </w:r>
          </w:p>
        </w:tc>
        <w:tc>
          <w:tcPr>
            <w:tcW w:w="3249" w:type="dxa"/>
            <w:tcBorders>
              <w:left w:val="single" w:sz="8" w:space="0" w:color="000000"/>
              <w:bottom w:val="single" w:sz="8" w:space="0" w:color="000000"/>
            </w:tcBorders>
            <w:vAlign w:val="center"/>
          </w:tcPr>
          <w:p w14:paraId="27987B3B" w14:textId="77777777" w:rsidR="00681554" w:rsidRPr="00DB3482" w:rsidRDefault="00174878" w:rsidP="00512D0D">
            <w:pPr>
              <w:snapToGrid w:val="0"/>
              <w:jc w:val="center"/>
              <w:rPr>
                <w:rFonts w:asciiTheme="minorHAnsi" w:hAnsiTheme="minorHAnsi" w:cstheme="minorHAnsi"/>
                <w:b/>
              </w:rPr>
            </w:pPr>
            <w:r>
              <w:rPr>
                <w:rFonts w:asciiTheme="minorHAnsi" w:hAnsiTheme="minorHAnsi" w:cstheme="minorHAnsi"/>
                <w:b/>
              </w:rPr>
              <w:t>153 585,30</w:t>
            </w:r>
          </w:p>
        </w:tc>
        <w:tc>
          <w:tcPr>
            <w:tcW w:w="717" w:type="dxa"/>
            <w:tcBorders>
              <w:left w:val="single" w:sz="8" w:space="0" w:color="000000"/>
              <w:bottom w:val="single" w:sz="8" w:space="0" w:color="000000"/>
              <w:right w:val="single" w:sz="8" w:space="0" w:color="000000"/>
            </w:tcBorders>
          </w:tcPr>
          <w:p w14:paraId="1FBC3FAE" w14:textId="77777777" w:rsidR="00681554" w:rsidRPr="00DB3482" w:rsidRDefault="00681554" w:rsidP="00512D0D">
            <w:pPr>
              <w:pStyle w:val="Nadpis5"/>
              <w:snapToGrid w:val="0"/>
              <w:jc w:val="center"/>
              <w:rPr>
                <w:rFonts w:asciiTheme="minorHAnsi" w:hAnsiTheme="minorHAnsi" w:cstheme="minorHAnsi"/>
                <w:sz w:val="22"/>
                <w:szCs w:val="22"/>
              </w:rPr>
            </w:pPr>
            <w:r w:rsidRPr="00DB3482">
              <w:rPr>
                <w:rFonts w:asciiTheme="minorHAnsi" w:hAnsiTheme="minorHAnsi" w:cstheme="minorHAnsi"/>
                <w:sz w:val="22"/>
                <w:szCs w:val="22"/>
              </w:rPr>
              <w:t>Kč</w:t>
            </w:r>
          </w:p>
        </w:tc>
      </w:tr>
    </w:tbl>
    <w:p w14:paraId="2463E366" w14:textId="77777777" w:rsidR="00681554" w:rsidRPr="00DB3482" w:rsidRDefault="00681554" w:rsidP="00681554">
      <w:pPr>
        <w:pStyle w:val="Bezmezer"/>
        <w:ind w:left="624"/>
        <w:rPr>
          <w:rFonts w:asciiTheme="minorHAnsi" w:hAnsiTheme="minorHAnsi" w:cstheme="minorHAnsi"/>
        </w:rPr>
      </w:pPr>
    </w:p>
    <w:p w14:paraId="271784C4" w14:textId="77777777" w:rsidR="00681554" w:rsidRPr="00DB3482" w:rsidRDefault="00681554" w:rsidP="00681554">
      <w:pPr>
        <w:pStyle w:val="Nadpis1"/>
        <w:tabs>
          <w:tab w:val="num" w:pos="720"/>
        </w:tabs>
        <w:ind w:left="720"/>
        <w:rPr>
          <w:rFonts w:asciiTheme="minorHAnsi" w:hAnsiTheme="minorHAnsi" w:cstheme="minorHAnsi"/>
          <w:sz w:val="22"/>
          <w:szCs w:val="22"/>
        </w:rPr>
      </w:pPr>
    </w:p>
    <w:p w14:paraId="4C4D1C55"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 xml:space="preserve">Faktury budou obsahovat údaje o kupní smlouvě, údaje o dodaném zboží s uvedením počtu dodaných jednotek zboží a jeho jednotlivé ceny a s uvedením celkové výsledné ceny včetně vyčíslení DPH. Faktury budou mít náležitosti běžných daňových dokladů, které budou vystaveny na základě a v souladu s právními předpisy platnými a účinnými v době vystavení </w:t>
      </w:r>
      <w:r w:rsidRPr="00DB3482">
        <w:rPr>
          <w:rFonts w:asciiTheme="minorHAnsi" w:hAnsiTheme="minorHAnsi" w:cstheme="minorHAnsi"/>
        </w:rPr>
        <w:lastRenderedPageBreak/>
        <w:t>příslušného daňového dokladu. Nebude-li daňový doklad mít všechny stanovené náležitosti nebo bude-li obsahovat nesprávné údaje nebo bude-li vystaven neoprávněně (tzn. nikoli v souladu s touto smlouvou), není kupující povinen jej proplatit. Prodávající takový daňový doklad kupujícímu bezodkladně ve lhůtě jeho splatnosti vrátí spolu s písemným odůvodněním, proč je daňový doklad nesprávný či neoprávněný. Prodávající může po odstranění vad daňového dokladu či po vzniku svého oprávnění fakturovat a zaslat objednateli daňový doklad nový s novým datem splatnosti fakturované částky.</w:t>
      </w:r>
    </w:p>
    <w:p w14:paraId="4544CD82"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Splatnost faktur</w:t>
      </w:r>
      <w:r>
        <w:rPr>
          <w:rFonts w:asciiTheme="minorHAnsi" w:hAnsiTheme="minorHAnsi" w:cstheme="minorHAnsi"/>
        </w:rPr>
        <w:t xml:space="preserve"> je </w:t>
      </w:r>
      <w:r w:rsidR="00174878">
        <w:rPr>
          <w:rFonts w:asciiTheme="minorHAnsi" w:hAnsiTheme="minorHAnsi" w:cstheme="minorHAnsi"/>
        </w:rPr>
        <w:t>14</w:t>
      </w:r>
      <w:r w:rsidRPr="00DB3482">
        <w:rPr>
          <w:rFonts w:asciiTheme="minorHAnsi" w:hAnsiTheme="minorHAnsi" w:cstheme="minorHAnsi"/>
        </w:rPr>
        <w:t xml:space="preserve"> dní od vystavení faktury prodávajícím a jejím odeslání či předání kupujícímu.</w:t>
      </w:r>
      <w:r>
        <w:rPr>
          <w:rFonts w:asciiTheme="minorHAnsi" w:hAnsiTheme="minorHAnsi" w:cstheme="minorHAnsi"/>
        </w:rPr>
        <w:t xml:space="preserve"> </w:t>
      </w:r>
    </w:p>
    <w:p w14:paraId="7B8CCBE4" w14:textId="77777777" w:rsidR="00681554" w:rsidRPr="00DB3482" w:rsidRDefault="00681554" w:rsidP="00681554">
      <w:pPr>
        <w:pStyle w:val="Bezmezer"/>
        <w:numPr>
          <w:ilvl w:val="1"/>
          <w:numId w:val="2"/>
        </w:numPr>
        <w:jc w:val="both"/>
        <w:rPr>
          <w:rFonts w:asciiTheme="minorHAnsi" w:hAnsiTheme="minorHAnsi" w:cstheme="minorHAnsi"/>
        </w:rPr>
      </w:pPr>
      <w:r w:rsidRPr="00DB3482">
        <w:rPr>
          <w:rFonts w:asciiTheme="minorHAnsi" w:hAnsiTheme="minorHAnsi" w:cstheme="minorHAnsi"/>
        </w:rPr>
        <w:t>Kupující uhradí prodávajícímu fakturu bezhotovostním převodem na účet prodávajícího. Za den úhrady se považuje den, kdy byly peněžní prostředky odepsány z účtu kupujícího.</w:t>
      </w:r>
    </w:p>
    <w:p w14:paraId="6376D799" w14:textId="77777777" w:rsidR="00681554" w:rsidRPr="00DB3482" w:rsidRDefault="00681554" w:rsidP="00681554">
      <w:pPr>
        <w:pStyle w:val="Odstavecseseznamem"/>
        <w:numPr>
          <w:ilvl w:val="0"/>
          <w:numId w:val="0"/>
        </w:numPr>
        <w:ind w:left="1080"/>
        <w:jc w:val="both"/>
        <w:rPr>
          <w:rFonts w:asciiTheme="minorHAnsi" w:hAnsiTheme="minorHAnsi" w:cstheme="minorHAnsi"/>
          <w:b/>
          <w:sz w:val="22"/>
          <w:szCs w:val="22"/>
        </w:rPr>
      </w:pPr>
    </w:p>
    <w:p w14:paraId="6139E677" w14:textId="77777777" w:rsidR="00681554" w:rsidRPr="00DB3482" w:rsidRDefault="00681554" w:rsidP="00681554">
      <w:pPr>
        <w:pStyle w:val="Odstavecseseznamem"/>
        <w:numPr>
          <w:ilvl w:val="0"/>
          <w:numId w:val="5"/>
        </w:numPr>
        <w:rPr>
          <w:rFonts w:asciiTheme="minorHAnsi" w:eastAsia="Calibri" w:hAnsiTheme="minorHAnsi" w:cstheme="minorHAnsi"/>
          <w:b/>
          <w:sz w:val="22"/>
          <w:szCs w:val="22"/>
          <w:lang w:eastAsia="en-US"/>
        </w:rPr>
      </w:pPr>
      <w:r w:rsidRPr="00DB3482">
        <w:rPr>
          <w:rFonts w:asciiTheme="minorHAnsi" w:eastAsia="Calibri" w:hAnsiTheme="minorHAnsi" w:cstheme="minorHAnsi"/>
          <w:b/>
          <w:sz w:val="22"/>
          <w:szCs w:val="22"/>
          <w:u w:val="single"/>
          <w:lang w:eastAsia="en-US"/>
        </w:rPr>
        <w:t>Sankce</w:t>
      </w:r>
    </w:p>
    <w:p w14:paraId="054B53ED" w14:textId="77777777" w:rsidR="00681554" w:rsidRPr="00DB3482" w:rsidRDefault="00681554" w:rsidP="00681554">
      <w:pPr>
        <w:pStyle w:val="Odstavecseseznamem"/>
        <w:numPr>
          <w:ilvl w:val="1"/>
          <w:numId w:val="5"/>
        </w:numPr>
        <w:tabs>
          <w:tab w:val="clear" w:pos="792"/>
          <w:tab w:val="num" w:pos="993"/>
        </w:tabs>
        <w:ind w:left="993" w:hanging="567"/>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V případě prodlení prodávajícího s realizací dodávky – </w:t>
      </w:r>
      <w:r w:rsidRPr="00DB3482">
        <w:rPr>
          <w:rFonts w:asciiTheme="minorHAnsi" w:eastAsia="Calibri" w:hAnsiTheme="minorHAnsi" w:cstheme="minorHAnsi"/>
          <w:b/>
          <w:sz w:val="22"/>
          <w:szCs w:val="22"/>
          <w:lang w:eastAsia="en-US"/>
        </w:rPr>
        <w:t>0,01% z celkové ceny</w:t>
      </w:r>
      <w:r w:rsidRPr="00DB3482">
        <w:rPr>
          <w:rFonts w:asciiTheme="minorHAnsi" w:eastAsia="Calibri" w:hAnsiTheme="minorHAnsi" w:cstheme="minorHAnsi"/>
          <w:sz w:val="22"/>
          <w:szCs w:val="22"/>
          <w:lang w:eastAsia="en-US"/>
        </w:rPr>
        <w:t xml:space="preserve"> za každý i započatý den prodlení. Maximálně však 50% ceny zboží za celou dobu prodlení. </w:t>
      </w:r>
    </w:p>
    <w:p w14:paraId="35DF65C4" w14:textId="77777777" w:rsidR="00681554" w:rsidRPr="00DB3482" w:rsidRDefault="00681554" w:rsidP="00681554">
      <w:pPr>
        <w:pStyle w:val="Odstavecseseznamem"/>
        <w:numPr>
          <w:ilvl w:val="1"/>
          <w:numId w:val="5"/>
        </w:numPr>
        <w:tabs>
          <w:tab w:val="clear" w:pos="792"/>
          <w:tab w:val="num" w:pos="993"/>
        </w:tabs>
        <w:ind w:left="993" w:hanging="567"/>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Sankci zaplatí dodavatel na účet zadavatele do 10 dnů ode dne uplatnění sankce.</w:t>
      </w:r>
    </w:p>
    <w:p w14:paraId="564FF2A8"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541D0ACB" w14:textId="77777777" w:rsidR="00681554" w:rsidRPr="00DB3482" w:rsidRDefault="00681554" w:rsidP="00681554">
      <w:pPr>
        <w:pStyle w:val="Odstavecseseznamem"/>
        <w:numPr>
          <w:ilvl w:val="0"/>
          <w:numId w:val="6"/>
        </w:numPr>
        <w:rPr>
          <w:rFonts w:asciiTheme="minorHAnsi" w:eastAsia="Calibri" w:hAnsiTheme="minorHAnsi" w:cstheme="minorHAnsi"/>
          <w:sz w:val="22"/>
          <w:szCs w:val="22"/>
          <w:lang w:eastAsia="en-US"/>
        </w:rPr>
      </w:pPr>
      <w:r w:rsidRPr="00DB3482">
        <w:rPr>
          <w:rFonts w:asciiTheme="minorHAnsi" w:eastAsia="Calibri" w:hAnsiTheme="minorHAnsi" w:cstheme="minorHAnsi"/>
          <w:b/>
          <w:sz w:val="22"/>
          <w:szCs w:val="22"/>
          <w:u w:val="single"/>
          <w:lang w:eastAsia="en-US"/>
        </w:rPr>
        <w:t>Odpovědnost za vady díla, záruky, servis</w:t>
      </w:r>
    </w:p>
    <w:p w14:paraId="7933FFEF" w14:textId="77777777" w:rsidR="00681554" w:rsidRPr="00DB3482" w:rsidRDefault="00681554" w:rsidP="00681554">
      <w:pPr>
        <w:widowControl w:val="0"/>
        <w:numPr>
          <w:ilvl w:val="1"/>
          <w:numId w:val="6"/>
        </w:numPr>
        <w:spacing w:after="0" w:line="240" w:lineRule="auto"/>
        <w:jc w:val="both"/>
        <w:rPr>
          <w:rFonts w:asciiTheme="minorHAnsi" w:hAnsiTheme="minorHAnsi" w:cstheme="minorHAnsi"/>
        </w:rPr>
      </w:pPr>
      <w:r w:rsidRPr="00DB3482">
        <w:rPr>
          <w:rFonts w:asciiTheme="minorHAnsi" w:hAnsiTheme="minorHAnsi" w:cstheme="minorHAnsi"/>
        </w:rPr>
        <w:t xml:space="preserve">Záruka začíná ode dne převzetí zboží kupujícím dle vystaveného dokladu prodávajícím (např. faktura, dodací list). </w:t>
      </w:r>
    </w:p>
    <w:p w14:paraId="5AEE6D22" w14:textId="77777777" w:rsidR="00681554" w:rsidRPr="00DB3482" w:rsidRDefault="00681554" w:rsidP="00681554">
      <w:pPr>
        <w:widowControl w:val="0"/>
        <w:numPr>
          <w:ilvl w:val="1"/>
          <w:numId w:val="6"/>
        </w:numPr>
        <w:spacing w:after="0" w:line="240" w:lineRule="auto"/>
        <w:jc w:val="both"/>
        <w:rPr>
          <w:rFonts w:asciiTheme="minorHAnsi" w:hAnsiTheme="minorHAnsi" w:cstheme="minorHAnsi"/>
        </w:rPr>
      </w:pPr>
      <w:r w:rsidRPr="00DB3482">
        <w:rPr>
          <w:rFonts w:asciiTheme="minorHAnsi" w:hAnsiTheme="minorHAnsi" w:cstheme="minorHAnsi"/>
        </w:rPr>
        <w:t>Vady, k jejichž výskytu dojde v záruční době, se odstraní opravou nebo výměnou.</w:t>
      </w:r>
    </w:p>
    <w:p w14:paraId="07DD8E31" w14:textId="77777777" w:rsidR="00681554" w:rsidRPr="00DB3482" w:rsidRDefault="00681554" w:rsidP="00681554">
      <w:pPr>
        <w:widowControl w:val="0"/>
        <w:numPr>
          <w:ilvl w:val="1"/>
          <w:numId w:val="6"/>
        </w:numPr>
        <w:spacing w:after="0" w:line="240" w:lineRule="auto"/>
        <w:jc w:val="both"/>
        <w:rPr>
          <w:rFonts w:asciiTheme="minorHAnsi" w:hAnsiTheme="minorHAnsi" w:cstheme="minorHAnsi"/>
        </w:rPr>
      </w:pPr>
      <w:r w:rsidRPr="00DB3482">
        <w:rPr>
          <w:rFonts w:asciiTheme="minorHAnsi" w:hAnsiTheme="minorHAnsi" w:cstheme="minorHAnsi"/>
        </w:rPr>
        <w:t xml:space="preserve">Záruka na předmět </w:t>
      </w:r>
      <w:r>
        <w:rPr>
          <w:rFonts w:asciiTheme="minorHAnsi" w:hAnsiTheme="minorHAnsi" w:cstheme="minorHAnsi"/>
        </w:rPr>
        <w:t>je specifikována a bude poskytnuta prodávajícím dle bodu 2.3 této smlouvy</w:t>
      </w:r>
    </w:p>
    <w:p w14:paraId="59A4A34C"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Prodávající odpovídá za vady, které má jím dodané zboží při převzetí kupujícím, jakož i za vady, které se na vybavení vyskytnou po jeho převzetí kupujícím v záruční době, pokud ovšem vady nebyly způsobeny kupujícím (např. nedodržováním pokynů k užívání, neodbornou obsluhou, nezajištěním vhodného prostředí pro provoz vybavení apod.).</w:t>
      </w:r>
    </w:p>
    <w:p w14:paraId="1C198EFA"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Kupující je povinen dodané zboží při přejímacím řízení prohlédnout. Vady zjevné již při přejímacím řízení je kupující povinen uvést v předávacím protokolu. Ostatní vady je kupující povinen písemně oznámit prodávajícímu bezodkladně poté, kdy je zjistil, nejpozději však do konce záruční doby. V tomto oznámení (reklamaci) kupující vadu popíše nebo uvede, jak se vada projevuje.</w:t>
      </w:r>
    </w:p>
    <w:p w14:paraId="1B8EC3AC"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Je-li vada zboží odstranitelná, kupující požaduje především její bezplatné odstranění. Za účelem odstraňování takových vad v záruční době zabezpečí prodávající kupujícímu bezplatný záruční servis.</w:t>
      </w:r>
    </w:p>
    <w:p w14:paraId="4EF54F76"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Standardní délka záruční opravy činí 30 dnů. Reakce servisního oddělené na zadání servisní zakázky je 24h. Stejným způsobem je postupováno v případě pozáručního servisu.</w:t>
      </w:r>
    </w:p>
    <w:p w14:paraId="33F641A0"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Prodávající také poskytuje pozáruční servis. Standardní délka opravy je 30 dní. V případě požadavku je možné uzavřít speciální servisní smlouvu, které přesně definuje časy a servisní práce.</w:t>
      </w:r>
    </w:p>
    <w:p w14:paraId="09407636" w14:textId="77777777" w:rsidR="00681554" w:rsidRPr="00DB3482" w:rsidRDefault="00681554" w:rsidP="00681554">
      <w:pPr>
        <w:pStyle w:val="Odstavecseseznamem"/>
        <w:numPr>
          <w:ilvl w:val="0"/>
          <w:numId w:val="0"/>
        </w:numPr>
        <w:ind w:left="720"/>
        <w:rPr>
          <w:rFonts w:asciiTheme="minorHAnsi" w:eastAsia="Calibri" w:hAnsiTheme="minorHAnsi" w:cstheme="minorHAnsi"/>
          <w:sz w:val="22"/>
          <w:szCs w:val="22"/>
          <w:lang w:eastAsia="en-US"/>
        </w:rPr>
      </w:pPr>
    </w:p>
    <w:p w14:paraId="0903BC5A" w14:textId="77777777" w:rsidR="00681554" w:rsidRPr="00DB3482" w:rsidRDefault="00681554" w:rsidP="00681554">
      <w:pPr>
        <w:pStyle w:val="Odstavecseseznamem"/>
        <w:numPr>
          <w:ilvl w:val="0"/>
          <w:numId w:val="6"/>
        </w:numPr>
        <w:rPr>
          <w:rFonts w:asciiTheme="minorHAnsi" w:eastAsia="Calibri" w:hAnsiTheme="minorHAnsi" w:cstheme="minorHAnsi"/>
          <w:sz w:val="22"/>
          <w:szCs w:val="22"/>
          <w:lang w:eastAsia="en-US"/>
        </w:rPr>
      </w:pPr>
      <w:r w:rsidRPr="00DB3482">
        <w:rPr>
          <w:rFonts w:asciiTheme="minorHAnsi" w:eastAsia="Calibri" w:hAnsiTheme="minorHAnsi" w:cstheme="minorHAnsi"/>
          <w:b/>
          <w:sz w:val="22"/>
          <w:szCs w:val="22"/>
          <w:u w:val="single"/>
          <w:lang w:eastAsia="en-US"/>
        </w:rPr>
        <w:t>Možnost odstoupení od smlouvy</w:t>
      </w:r>
    </w:p>
    <w:p w14:paraId="6F5D8E27"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Smluvní strany se dohodly, že za podstatné porušení smlouvy pokládají nedodržení závazných dílčích termínů dodávky zboží uvedeného ve smlouvě a dále nezaplacení faktury s prodlením delším jednoho měsíce.</w:t>
      </w:r>
    </w:p>
    <w:p w14:paraId="7323569D"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Smluvní strany jsou povinny neprodleně si oznamovat změny týkající se své právní subjektivity, např. sloučení nebo splynutí s jinou osobou, přechod závazků na právního nástupce, jakož i jiné skutečnosti, které mohou ovlivnit plnění závazků z této smlouvy.</w:t>
      </w:r>
    </w:p>
    <w:p w14:paraId="2DBECD55"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Smluvní strany nenesou odpovědnost za nesplnění závazků založených touto smlouvou, pokud k porušení smlouvy došlo z důvodu nepředvídatelných a neodvratitelných událostí mimořádné povahy, které bezprostředně ovlivňují plnění závazků založených touto </w:t>
      </w:r>
      <w:r w:rsidRPr="00DB3482">
        <w:rPr>
          <w:rFonts w:asciiTheme="minorHAnsi" w:eastAsia="Calibri" w:hAnsiTheme="minorHAnsi" w:cstheme="minorHAnsi"/>
          <w:sz w:val="22"/>
          <w:szCs w:val="22"/>
          <w:lang w:eastAsia="en-US"/>
        </w:rPr>
        <w:lastRenderedPageBreak/>
        <w:t>smlouvou a které nastaly po uzavření této smlouvy (vyšší moc). Smluvní strana, u které se projeví následky působení vyšší moci, je povinna o této skutečnosti uvědomit písemně nejpozději do tří dnů druhou smluvní stanu. Stejně je povinna oznámit druhé smluvní straně, kdy působení vyšší moci skončilo. Pokud je působením vyšší moci ohroženo plnění závazků založených touto smlouvou, zavazují se smluvní strany projednat přiměřenou změnu této smlouvy.</w:t>
      </w:r>
    </w:p>
    <w:p w14:paraId="0BD7F8F1"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Prodávající prohlašuje, že činnosti, k jejichž provedení se touto smlouvou zavázal, jsou předmětem jeho podnikání a že je k provádění díla podle této smlouvy odborně způsobilý podle zvláštních předpisů.</w:t>
      </w:r>
    </w:p>
    <w:p w14:paraId="7775FED4" w14:textId="77777777" w:rsidR="00681554" w:rsidRPr="00DB3482" w:rsidRDefault="00681554" w:rsidP="00681554">
      <w:pPr>
        <w:pStyle w:val="Odstavecseseznamem"/>
        <w:numPr>
          <w:ilvl w:val="0"/>
          <w:numId w:val="0"/>
        </w:numPr>
        <w:ind w:left="720"/>
        <w:jc w:val="both"/>
        <w:rPr>
          <w:rFonts w:asciiTheme="minorHAnsi" w:eastAsia="Calibri" w:hAnsiTheme="minorHAnsi" w:cstheme="minorHAnsi"/>
          <w:sz w:val="22"/>
          <w:szCs w:val="22"/>
          <w:lang w:eastAsia="en-US"/>
        </w:rPr>
      </w:pPr>
    </w:p>
    <w:p w14:paraId="04BDFD96" w14:textId="77777777" w:rsidR="00681554" w:rsidRPr="00DB3482" w:rsidRDefault="00681554" w:rsidP="00681554">
      <w:pPr>
        <w:pStyle w:val="Odstavecseseznamem"/>
        <w:numPr>
          <w:ilvl w:val="0"/>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b/>
          <w:sz w:val="22"/>
          <w:szCs w:val="22"/>
          <w:u w:val="single"/>
          <w:lang w:eastAsia="en-US"/>
        </w:rPr>
        <w:t>Závěrečná ustanovení</w:t>
      </w:r>
    </w:p>
    <w:p w14:paraId="07B60CA2"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Tuto smlouvu lze měnit pouze písemnými průběžně číslovanými dodatky, které musí být podepsány oběma smluvními stranami.</w:t>
      </w:r>
    </w:p>
    <w:p w14:paraId="6E0F4B9C"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Tato smlouva jakož i závazky jí založené se řídí platnými právními předpisy, zejména zákonem č. 513/1991 Sb., obchodní zákoník, ve znění pozdějších předpisů.</w:t>
      </w:r>
    </w:p>
    <w:p w14:paraId="5BD498AE"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Odkazuje-li se v této smlouvě na články a odstavce bez bližšího určení, jde vždy o ujednání této smlouvy nebo o přílohy k této smlouvě.</w:t>
      </w:r>
    </w:p>
    <w:p w14:paraId="05F2328A"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Smluvní strany prohlašují, že tato smlouva vyjadřuje přesně, určitě a srozumitelně jejich vůli a že jim nejsou známy žádné skutečnosti, které by bránily jejímu uzavření a splnění závazků touto smlouvou založených.</w:t>
      </w:r>
    </w:p>
    <w:p w14:paraId="37899E1E"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Prokáže-li se, že některé ustanovení této smlouvy je neplatné, či nevymahatelné, platnost a účinnost ostatních částí smlouvy zůstává nedotčena; smluvní strany se zavazují nahradit neplatné nebo nevymahatelné ujednání jiným, které bude v souladu s právními předpisy a bude co nejlépe vystihovat účel ujednání původního.</w:t>
      </w:r>
    </w:p>
    <w:p w14:paraId="3583B167"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Tato smlouva nabývá platnosti a účinnosti dnem jejího podpisu oběma smluvními stranami.</w:t>
      </w:r>
    </w:p>
    <w:p w14:paraId="1839815B"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Tato smlouva je včetně svých příloh vypracována ve třech stejnopisech, z nichž prodávající obdrží jeden její stejnopis a kupují dva stejnopisy.</w:t>
      </w:r>
    </w:p>
    <w:p w14:paraId="712437BA" w14:textId="77777777" w:rsidR="00681554" w:rsidRPr="00DB3482" w:rsidRDefault="00681554" w:rsidP="00681554">
      <w:pPr>
        <w:pStyle w:val="Odstavecseseznamem"/>
        <w:numPr>
          <w:ilvl w:val="1"/>
          <w:numId w:val="6"/>
        </w:numPr>
        <w:jc w:val="both"/>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Kupující může od smlouvy odstoupit bez udání důvodu.</w:t>
      </w:r>
    </w:p>
    <w:p w14:paraId="157AD934" w14:textId="77777777" w:rsidR="00681554" w:rsidRPr="00DB3482" w:rsidRDefault="00681554" w:rsidP="00681554">
      <w:pPr>
        <w:pStyle w:val="Odstavecseseznamem"/>
        <w:numPr>
          <w:ilvl w:val="0"/>
          <w:numId w:val="0"/>
        </w:numPr>
        <w:ind w:left="720"/>
        <w:jc w:val="both"/>
        <w:rPr>
          <w:rFonts w:asciiTheme="minorHAnsi" w:eastAsia="Calibri" w:hAnsiTheme="minorHAnsi" w:cstheme="minorHAnsi"/>
          <w:sz w:val="22"/>
          <w:szCs w:val="22"/>
          <w:lang w:eastAsia="en-US"/>
        </w:rPr>
      </w:pPr>
    </w:p>
    <w:p w14:paraId="24EB5278"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72C7905F" w14:textId="77777777" w:rsidR="00681554" w:rsidRDefault="00681554" w:rsidP="00681554">
      <w:pPr>
        <w:pStyle w:val="Odstavecseseznamem"/>
        <w:numPr>
          <w:ilvl w:val="0"/>
          <w:numId w:val="0"/>
        </w:numPr>
        <w:rPr>
          <w:rFonts w:asciiTheme="minorHAnsi" w:eastAsia="Calibri" w:hAnsiTheme="minorHAnsi" w:cstheme="minorHAnsi"/>
          <w:sz w:val="22"/>
          <w:szCs w:val="22"/>
          <w:lang w:eastAsia="en-US"/>
        </w:rPr>
      </w:pPr>
    </w:p>
    <w:p w14:paraId="6CFA70FD"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V Praze, dne </w:t>
      </w:r>
      <w:r>
        <w:rPr>
          <w:rFonts w:asciiTheme="minorHAnsi" w:eastAsia="Calibri" w:hAnsiTheme="minorHAnsi" w:cstheme="minorHAnsi"/>
          <w:sz w:val="22"/>
          <w:szCs w:val="22"/>
          <w:lang w:eastAsia="en-US"/>
        </w:rPr>
        <w:t>……………………….</w:t>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t xml:space="preserve">             </w:t>
      </w:r>
      <w:r>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 xml:space="preserve"> </w:t>
      </w:r>
      <w:r w:rsidRPr="00DB3482">
        <w:rPr>
          <w:rFonts w:asciiTheme="minorHAnsi" w:eastAsia="Calibri" w:hAnsiTheme="minorHAnsi" w:cstheme="minorHAnsi"/>
          <w:sz w:val="22"/>
          <w:szCs w:val="22"/>
          <w:lang w:eastAsia="en-US"/>
        </w:rPr>
        <w:tab/>
        <w:t>V </w:t>
      </w:r>
      <w:r>
        <w:rPr>
          <w:rFonts w:asciiTheme="minorHAnsi" w:eastAsia="Calibri" w:hAnsiTheme="minorHAnsi" w:cstheme="minorHAnsi"/>
          <w:sz w:val="22"/>
          <w:szCs w:val="22"/>
          <w:lang w:eastAsia="en-US"/>
        </w:rPr>
        <w:t>Rakovníku</w:t>
      </w:r>
      <w:r w:rsidRPr="00DB3482">
        <w:rPr>
          <w:rFonts w:asciiTheme="minorHAnsi" w:eastAsia="Calibri" w:hAnsiTheme="minorHAnsi" w:cstheme="minorHAnsi"/>
          <w:sz w:val="22"/>
          <w:szCs w:val="22"/>
          <w:lang w:eastAsia="en-US"/>
        </w:rPr>
        <w:t>,  dne  …………</w:t>
      </w:r>
      <w:r>
        <w:rPr>
          <w:rFonts w:asciiTheme="minorHAnsi" w:eastAsia="Calibri" w:hAnsiTheme="minorHAnsi" w:cstheme="minorHAnsi"/>
          <w:sz w:val="22"/>
          <w:szCs w:val="22"/>
          <w:lang w:eastAsia="en-US"/>
        </w:rPr>
        <w:t>………………….</w:t>
      </w:r>
    </w:p>
    <w:p w14:paraId="5ECD8A14"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0E36F7F6"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6DD351E9"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5EFA44AA"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p>
    <w:p w14:paraId="422912B0"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w:t>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t xml:space="preserve">     ……………………………………</w:t>
      </w:r>
    </w:p>
    <w:p w14:paraId="3CBEB71D"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         Ing.</w:t>
      </w:r>
      <w:r>
        <w:rPr>
          <w:rFonts w:asciiTheme="minorHAnsi" w:eastAsia="Calibri" w:hAnsiTheme="minorHAnsi" w:cstheme="minorHAnsi"/>
          <w:sz w:val="22"/>
          <w:szCs w:val="22"/>
          <w:lang w:eastAsia="en-US"/>
        </w:rPr>
        <w:t xml:space="preserve"> David Lesch</w:t>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t xml:space="preserve">        </w:t>
      </w:r>
      <w:r>
        <w:rPr>
          <w:rFonts w:asciiTheme="minorHAnsi" w:eastAsia="Calibri" w:hAnsiTheme="minorHAnsi" w:cstheme="minorHAnsi"/>
          <w:sz w:val="22"/>
          <w:szCs w:val="22"/>
          <w:lang w:eastAsia="en-US"/>
        </w:rPr>
        <w:tab/>
        <w:t xml:space="preserve">         </w:t>
      </w:r>
      <w:r w:rsidRPr="00DB3482">
        <w:rPr>
          <w:rFonts w:asciiTheme="minorHAnsi" w:eastAsia="Calibri" w:hAnsiTheme="minorHAnsi" w:cstheme="minorHAnsi"/>
          <w:sz w:val="22"/>
          <w:szCs w:val="22"/>
          <w:lang w:eastAsia="en-US"/>
        </w:rPr>
        <w:t xml:space="preserve">Mgr. </w:t>
      </w:r>
      <w:r>
        <w:rPr>
          <w:rFonts w:asciiTheme="minorHAnsi" w:eastAsia="Calibri" w:hAnsiTheme="minorHAnsi" w:cstheme="minorHAnsi"/>
          <w:sz w:val="22"/>
          <w:szCs w:val="22"/>
          <w:lang w:eastAsia="en-US"/>
        </w:rPr>
        <w:t>Ludvík Vožeh</w:t>
      </w:r>
    </w:p>
    <w:p w14:paraId="7B83B0D1"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člen představenstva</w:t>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t xml:space="preserve"> ředitel</w:t>
      </w:r>
      <w:r w:rsidRPr="00DB3482">
        <w:rPr>
          <w:rFonts w:asciiTheme="minorHAnsi" w:eastAsia="Calibri" w:hAnsiTheme="minorHAnsi" w:cstheme="minorHAnsi"/>
          <w:sz w:val="22"/>
          <w:szCs w:val="22"/>
          <w:lang w:eastAsia="en-US"/>
        </w:rPr>
        <w:t xml:space="preserve"> školy</w:t>
      </w:r>
    </w:p>
    <w:p w14:paraId="0623479A" w14:textId="77777777" w:rsidR="00681554" w:rsidRPr="00DB3482" w:rsidRDefault="00681554" w:rsidP="00681554">
      <w:pPr>
        <w:pStyle w:val="Odstavecseseznamem"/>
        <w:numPr>
          <w:ilvl w:val="0"/>
          <w:numId w:val="0"/>
        </w:numPr>
        <w:rPr>
          <w:rFonts w:asciiTheme="minorHAnsi" w:eastAsia="Calibri" w:hAnsiTheme="minorHAnsi" w:cstheme="minorHAnsi"/>
          <w:sz w:val="22"/>
          <w:szCs w:val="22"/>
          <w:lang w:eastAsia="en-US"/>
        </w:rPr>
      </w:pPr>
      <w:r w:rsidRPr="00DB3482">
        <w:rPr>
          <w:rFonts w:asciiTheme="minorHAnsi" w:eastAsia="Calibri" w:hAnsiTheme="minorHAnsi" w:cstheme="minorHAnsi"/>
          <w:sz w:val="22"/>
          <w:szCs w:val="22"/>
          <w:lang w:eastAsia="en-US"/>
        </w:rPr>
        <w:t xml:space="preserve">            AV MEDIA, a.s.</w:t>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r>
      <w:r w:rsidRPr="00DB3482">
        <w:rPr>
          <w:rFonts w:asciiTheme="minorHAnsi" w:eastAsia="Calibri" w:hAnsiTheme="minorHAnsi" w:cstheme="minorHAnsi"/>
          <w:sz w:val="22"/>
          <w:szCs w:val="22"/>
          <w:lang w:eastAsia="en-US"/>
        </w:rPr>
        <w:tab/>
        <w:t xml:space="preserve">    </w:t>
      </w:r>
    </w:p>
    <w:p w14:paraId="127E9439" w14:textId="77777777" w:rsidR="00681554" w:rsidRPr="00DB3482" w:rsidRDefault="00681554" w:rsidP="00681554">
      <w:pPr>
        <w:ind w:left="1440"/>
        <w:rPr>
          <w:rFonts w:asciiTheme="minorHAnsi" w:hAnsiTheme="minorHAnsi" w:cstheme="minorHAnsi"/>
          <w:snapToGrid w:val="0"/>
        </w:rPr>
      </w:pPr>
    </w:p>
    <w:p w14:paraId="1D0907CE" w14:textId="77777777" w:rsidR="00681554" w:rsidRPr="00DB3482" w:rsidRDefault="00681554" w:rsidP="00681554">
      <w:pPr>
        <w:rPr>
          <w:rFonts w:asciiTheme="minorHAnsi" w:hAnsiTheme="minorHAnsi"/>
        </w:rPr>
      </w:pPr>
    </w:p>
    <w:p w14:paraId="7E7D2D0B" w14:textId="77777777" w:rsidR="00681554" w:rsidRPr="00DB3482" w:rsidRDefault="00681554" w:rsidP="00681554">
      <w:pPr>
        <w:rPr>
          <w:rFonts w:asciiTheme="minorHAnsi" w:hAnsiTheme="minorHAnsi"/>
        </w:rPr>
      </w:pPr>
    </w:p>
    <w:sectPr w:rsidR="00681554" w:rsidRPr="00DB3482" w:rsidSect="000B58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579C3" w14:textId="77777777" w:rsidR="006918C9" w:rsidRDefault="006918C9">
      <w:pPr>
        <w:spacing w:after="0" w:line="240" w:lineRule="auto"/>
      </w:pPr>
      <w:r>
        <w:separator/>
      </w:r>
    </w:p>
  </w:endnote>
  <w:endnote w:type="continuationSeparator" w:id="0">
    <w:p w14:paraId="4B8A839B" w14:textId="77777777" w:rsidR="006918C9" w:rsidRDefault="0069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2185" w14:textId="77777777" w:rsidR="00437EAB" w:rsidRDefault="006918C9" w:rsidP="00437EAB">
    <w:pPr>
      <w:spacing w:after="0" w:line="240" w:lineRule="auto"/>
      <w:jc w:val="center"/>
      <w:rPr>
        <w:rFonts w:ascii="Times New Roman" w:hAnsi="Times New Roman"/>
        <w:b/>
        <w:sz w:val="24"/>
        <w:szCs w:val="24"/>
      </w:rPr>
    </w:pPr>
  </w:p>
  <w:p w14:paraId="05CEB919" w14:textId="77777777" w:rsidR="00437EAB" w:rsidRDefault="006918C9" w:rsidP="00437EAB">
    <w:pPr>
      <w:pStyle w:val="Zpat"/>
    </w:pPr>
  </w:p>
  <w:p w14:paraId="669F9606" w14:textId="77777777" w:rsidR="00437EAB" w:rsidRDefault="006918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74594" w14:textId="77777777" w:rsidR="006918C9" w:rsidRDefault="006918C9">
      <w:pPr>
        <w:spacing w:after="0" w:line="240" w:lineRule="auto"/>
      </w:pPr>
      <w:r>
        <w:separator/>
      </w:r>
    </w:p>
  </w:footnote>
  <w:footnote w:type="continuationSeparator" w:id="0">
    <w:p w14:paraId="012F4FD3" w14:textId="77777777" w:rsidR="006918C9" w:rsidRDefault="00691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277"/>
    <w:multiLevelType w:val="multilevel"/>
    <w:tmpl w:val="03E0FB8E"/>
    <w:lvl w:ilvl="0">
      <w:start w:val="6"/>
      <w:numFmt w:val="decimal"/>
      <w:lvlText w:val="%1."/>
      <w:lvlJc w:val="left"/>
      <w:pPr>
        <w:tabs>
          <w:tab w:val="num" w:pos="0"/>
        </w:tabs>
        <w:ind w:left="360" w:hanging="360"/>
      </w:pPr>
      <w:rPr>
        <w:rFonts w:hint="default"/>
        <w:b/>
      </w:rPr>
    </w:lvl>
    <w:lvl w:ilvl="1">
      <w:start w:val="1"/>
      <w:numFmt w:val="decimal"/>
      <w:isLgl/>
      <w:lvlText w:val="%1.%2."/>
      <w:lvlJc w:val="left"/>
      <w:pPr>
        <w:tabs>
          <w:tab w:val="num" w:pos="0"/>
        </w:tabs>
        <w:ind w:left="984" w:hanging="624"/>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 w15:restartNumberingAfterBreak="0">
    <w:nsid w:val="198D5909"/>
    <w:multiLevelType w:val="hybridMultilevel"/>
    <w:tmpl w:val="A5449206"/>
    <w:lvl w:ilvl="0" w:tplc="04050017">
      <w:start w:val="1"/>
      <w:numFmt w:val="lowerLetter"/>
      <w:lvlText w:val="%1)"/>
      <w:lvlJc w:val="left"/>
      <w:pPr>
        <w:ind w:left="1068" w:hanging="360"/>
      </w:pPr>
      <w:rPr>
        <w:rFonts w:hint="default"/>
      </w:rPr>
    </w:lvl>
    <w:lvl w:ilvl="1" w:tplc="04050001">
      <w:start w:val="95"/>
      <w:numFmt w:val="bullet"/>
      <w:lvlText w:val="-"/>
      <w:lvlJc w:val="left"/>
      <w:pPr>
        <w:tabs>
          <w:tab w:val="num" w:pos="1788"/>
        </w:tabs>
        <w:ind w:left="1788" w:hanging="360"/>
      </w:pPr>
      <w:rPr>
        <w:rFonts w:ascii="Times New Roman" w:eastAsia="Calibri"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5CD52C05"/>
    <w:multiLevelType w:val="hybridMultilevel"/>
    <w:tmpl w:val="069E4828"/>
    <w:lvl w:ilvl="0" w:tplc="2E48DF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8670BDE"/>
    <w:multiLevelType w:val="multilevel"/>
    <w:tmpl w:val="B26A1318"/>
    <w:lvl w:ilvl="0">
      <w:start w:val="1"/>
      <w:numFmt w:val="decimal"/>
      <w:lvlText w:val="%1."/>
      <w:lvlJc w:val="left"/>
      <w:pPr>
        <w:ind w:left="360" w:hanging="360"/>
      </w:pPr>
      <w:rPr>
        <w:rFonts w:hint="default"/>
        <w:b/>
      </w:rPr>
    </w:lvl>
    <w:lvl w:ilvl="1">
      <w:start w:val="1"/>
      <w:numFmt w:val="decimal"/>
      <w:isLgl/>
      <w:lvlText w:val="%1.%2."/>
      <w:lvlJc w:val="left"/>
      <w:pPr>
        <w:ind w:left="908" w:hanging="62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8AE2F11"/>
    <w:multiLevelType w:val="multilevel"/>
    <w:tmpl w:val="9DD47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29C1968"/>
    <w:multiLevelType w:val="hybridMultilevel"/>
    <w:tmpl w:val="B4DA8EB2"/>
    <w:lvl w:ilvl="0" w:tplc="795ADBB4">
      <w:start w:val="4"/>
      <w:numFmt w:val="bullet"/>
      <w:lvlText w:val="-"/>
      <w:lvlJc w:val="left"/>
      <w:pPr>
        <w:ind w:left="1425" w:hanging="360"/>
      </w:pPr>
      <w:rPr>
        <w:rFonts w:ascii="Calibri" w:eastAsia="Times New Roman" w:hAnsi="Calibri" w:cs="Calibri" w:hint="default"/>
      </w:rPr>
    </w:lvl>
    <w:lvl w:ilvl="1" w:tplc="0664ABCE">
      <w:start w:val="1"/>
      <w:numFmt w:val="bullet"/>
      <w:lvlText w:val="o"/>
      <w:lvlJc w:val="left"/>
      <w:pPr>
        <w:ind w:left="2145" w:hanging="360"/>
      </w:pPr>
      <w:rPr>
        <w:rFonts w:ascii="Courier New" w:hAnsi="Courier New" w:cs="Courier New" w:hint="default"/>
      </w:rPr>
    </w:lvl>
    <w:lvl w:ilvl="2" w:tplc="6A3E4E72" w:tentative="1">
      <w:start w:val="1"/>
      <w:numFmt w:val="bullet"/>
      <w:lvlText w:val=""/>
      <w:lvlJc w:val="left"/>
      <w:pPr>
        <w:ind w:left="2865" w:hanging="360"/>
      </w:pPr>
      <w:rPr>
        <w:rFonts w:ascii="Wingdings" w:hAnsi="Wingdings" w:hint="default"/>
      </w:rPr>
    </w:lvl>
    <w:lvl w:ilvl="3" w:tplc="FFC48B64" w:tentative="1">
      <w:start w:val="1"/>
      <w:numFmt w:val="bullet"/>
      <w:lvlText w:val=""/>
      <w:lvlJc w:val="left"/>
      <w:pPr>
        <w:ind w:left="3585" w:hanging="360"/>
      </w:pPr>
      <w:rPr>
        <w:rFonts w:ascii="Symbol" w:hAnsi="Symbol" w:hint="default"/>
      </w:rPr>
    </w:lvl>
    <w:lvl w:ilvl="4" w:tplc="F194574A" w:tentative="1">
      <w:start w:val="1"/>
      <w:numFmt w:val="bullet"/>
      <w:lvlText w:val="o"/>
      <w:lvlJc w:val="left"/>
      <w:pPr>
        <w:ind w:left="4305" w:hanging="360"/>
      </w:pPr>
      <w:rPr>
        <w:rFonts w:ascii="Courier New" w:hAnsi="Courier New" w:cs="Courier New" w:hint="default"/>
      </w:rPr>
    </w:lvl>
    <w:lvl w:ilvl="5" w:tplc="4112A712" w:tentative="1">
      <w:start w:val="1"/>
      <w:numFmt w:val="bullet"/>
      <w:lvlText w:val=""/>
      <w:lvlJc w:val="left"/>
      <w:pPr>
        <w:ind w:left="5025" w:hanging="360"/>
      </w:pPr>
      <w:rPr>
        <w:rFonts w:ascii="Wingdings" w:hAnsi="Wingdings" w:hint="default"/>
      </w:rPr>
    </w:lvl>
    <w:lvl w:ilvl="6" w:tplc="D3C85CDA" w:tentative="1">
      <w:start w:val="1"/>
      <w:numFmt w:val="bullet"/>
      <w:lvlText w:val=""/>
      <w:lvlJc w:val="left"/>
      <w:pPr>
        <w:ind w:left="5745" w:hanging="360"/>
      </w:pPr>
      <w:rPr>
        <w:rFonts w:ascii="Symbol" w:hAnsi="Symbol" w:hint="default"/>
      </w:rPr>
    </w:lvl>
    <w:lvl w:ilvl="7" w:tplc="6C28B456" w:tentative="1">
      <w:start w:val="1"/>
      <w:numFmt w:val="bullet"/>
      <w:lvlText w:val="o"/>
      <w:lvlJc w:val="left"/>
      <w:pPr>
        <w:ind w:left="6465" w:hanging="360"/>
      </w:pPr>
      <w:rPr>
        <w:rFonts w:ascii="Courier New" w:hAnsi="Courier New" w:cs="Courier New" w:hint="default"/>
      </w:rPr>
    </w:lvl>
    <w:lvl w:ilvl="8" w:tplc="E960A42C" w:tentative="1">
      <w:start w:val="1"/>
      <w:numFmt w:val="bullet"/>
      <w:lvlText w:val=""/>
      <w:lvlJc w:val="left"/>
      <w:pPr>
        <w:ind w:left="718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54"/>
    <w:rsid w:val="000C6123"/>
    <w:rsid w:val="00174878"/>
    <w:rsid w:val="006408C4"/>
    <w:rsid w:val="00681554"/>
    <w:rsid w:val="006918C9"/>
    <w:rsid w:val="006D5FA0"/>
    <w:rsid w:val="00925755"/>
    <w:rsid w:val="00C4301B"/>
    <w:rsid w:val="00D9395A"/>
    <w:rsid w:val="00FB7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7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1554"/>
    <w:rPr>
      <w:rFonts w:ascii="Calibri" w:eastAsia="Times New Roman" w:hAnsi="Calibri" w:cs="Times New Roman"/>
    </w:rPr>
  </w:style>
  <w:style w:type="paragraph" w:styleId="Nadpis1">
    <w:name w:val="heading 1"/>
    <w:basedOn w:val="Normln"/>
    <w:next w:val="Normln"/>
    <w:link w:val="Nadpis1Char"/>
    <w:qFormat/>
    <w:rsid w:val="00681554"/>
    <w:pPr>
      <w:keepNext/>
      <w:spacing w:after="0" w:line="240" w:lineRule="auto"/>
      <w:outlineLvl w:val="0"/>
    </w:pPr>
    <w:rPr>
      <w:rFonts w:ascii="Times New Roman" w:hAnsi="Times New Roman"/>
      <w:b/>
      <w:bCs/>
      <w:sz w:val="24"/>
      <w:szCs w:val="24"/>
      <w:lang w:eastAsia="cs-CZ"/>
    </w:rPr>
  </w:style>
  <w:style w:type="paragraph" w:styleId="Nadpis4">
    <w:name w:val="heading 4"/>
    <w:basedOn w:val="Normln"/>
    <w:next w:val="Normln"/>
    <w:link w:val="Nadpis4Char"/>
    <w:qFormat/>
    <w:rsid w:val="00681554"/>
    <w:pPr>
      <w:keepNext/>
      <w:spacing w:after="0" w:line="240" w:lineRule="auto"/>
      <w:jc w:val="right"/>
      <w:outlineLvl w:val="3"/>
    </w:pPr>
    <w:rPr>
      <w:rFonts w:ascii="Times New Roman" w:hAnsi="Times New Roman"/>
      <w:b/>
      <w:sz w:val="18"/>
      <w:szCs w:val="24"/>
      <w:lang w:eastAsia="cs-CZ"/>
    </w:rPr>
  </w:style>
  <w:style w:type="paragraph" w:styleId="Nadpis5">
    <w:name w:val="heading 5"/>
    <w:basedOn w:val="Normln"/>
    <w:next w:val="Normln"/>
    <w:link w:val="Nadpis5Char"/>
    <w:qFormat/>
    <w:rsid w:val="00681554"/>
    <w:pPr>
      <w:keepNext/>
      <w:spacing w:after="0" w:line="240" w:lineRule="auto"/>
      <w:outlineLvl w:val="4"/>
    </w:pPr>
    <w:rPr>
      <w:rFonts w:ascii="Times New Roman" w:hAnsi="Times New Roman"/>
      <w:b/>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1554"/>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81554"/>
    <w:rPr>
      <w:rFonts w:ascii="Times New Roman" w:eastAsia="Times New Roman" w:hAnsi="Times New Roman" w:cs="Times New Roman"/>
      <w:b/>
      <w:sz w:val="18"/>
      <w:szCs w:val="24"/>
      <w:lang w:eastAsia="cs-CZ"/>
    </w:rPr>
  </w:style>
  <w:style w:type="character" w:customStyle="1" w:styleId="Nadpis5Char">
    <w:name w:val="Nadpis 5 Char"/>
    <w:basedOn w:val="Standardnpsmoodstavce"/>
    <w:link w:val="Nadpis5"/>
    <w:rsid w:val="00681554"/>
    <w:rPr>
      <w:rFonts w:ascii="Times New Roman" w:eastAsia="Times New Roman" w:hAnsi="Times New Roman" w:cs="Times New Roman"/>
      <w:b/>
      <w:sz w:val="18"/>
      <w:szCs w:val="24"/>
      <w:lang w:eastAsia="cs-CZ"/>
    </w:rPr>
  </w:style>
  <w:style w:type="paragraph" w:styleId="Zhlav">
    <w:name w:val="header"/>
    <w:basedOn w:val="Normln"/>
    <w:link w:val="ZhlavChar"/>
    <w:uiPriority w:val="99"/>
    <w:unhideWhenUsed/>
    <w:rsid w:val="006815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1554"/>
    <w:rPr>
      <w:rFonts w:ascii="Calibri" w:eastAsia="Times New Roman" w:hAnsi="Calibri" w:cs="Times New Roman"/>
    </w:rPr>
  </w:style>
  <w:style w:type="paragraph" w:styleId="Zpat">
    <w:name w:val="footer"/>
    <w:basedOn w:val="Normln"/>
    <w:link w:val="ZpatChar"/>
    <w:uiPriority w:val="99"/>
    <w:unhideWhenUsed/>
    <w:rsid w:val="00681554"/>
    <w:pPr>
      <w:tabs>
        <w:tab w:val="center" w:pos="4536"/>
        <w:tab w:val="right" w:pos="9072"/>
      </w:tabs>
      <w:spacing w:after="0" w:line="240" w:lineRule="auto"/>
    </w:pPr>
  </w:style>
  <w:style w:type="character" w:customStyle="1" w:styleId="ZpatChar">
    <w:name w:val="Zápatí Char"/>
    <w:basedOn w:val="Standardnpsmoodstavce"/>
    <w:link w:val="Zpat"/>
    <w:uiPriority w:val="99"/>
    <w:rsid w:val="00681554"/>
    <w:rPr>
      <w:rFonts w:ascii="Calibri" w:eastAsia="Times New Roman" w:hAnsi="Calibri" w:cs="Times New Roman"/>
    </w:rPr>
  </w:style>
  <w:style w:type="paragraph" w:styleId="Zkladntext">
    <w:name w:val="Body Text"/>
    <w:basedOn w:val="Normln"/>
    <w:link w:val="ZkladntextChar"/>
    <w:rsid w:val="00681554"/>
    <w:pPr>
      <w:spacing w:after="120" w:line="240" w:lineRule="auto"/>
    </w:pPr>
    <w:rPr>
      <w:rFonts w:ascii="Arial" w:hAnsi="Arial"/>
      <w:sz w:val="24"/>
      <w:szCs w:val="24"/>
      <w:lang w:eastAsia="cs-CZ"/>
    </w:rPr>
  </w:style>
  <w:style w:type="character" w:customStyle="1" w:styleId="ZkladntextChar">
    <w:name w:val="Základní text Char"/>
    <w:basedOn w:val="Standardnpsmoodstavce"/>
    <w:link w:val="Zkladntext"/>
    <w:rsid w:val="00681554"/>
    <w:rPr>
      <w:rFonts w:ascii="Arial" w:eastAsia="Times New Roman" w:hAnsi="Arial" w:cs="Times New Roman"/>
      <w:sz w:val="24"/>
      <w:szCs w:val="24"/>
      <w:lang w:eastAsia="cs-CZ"/>
    </w:rPr>
  </w:style>
  <w:style w:type="paragraph" w:styleId="Bezmezer">
    <w:name w:val="No Spacing"/>
    <w:uiPriority w:val="1"/>
    <w:qFormat/>
    <w:rsid w:val="00681554"/>
    <w:pPr>
      <w:spacing w:after="0" w:line="240" w:lineRule="auto"/>
    </w:pPr>
    <w:rPr>
      <w:rFonts w:ascii="Calibri" w:eastAsia="Times New Roman" w:hAnsi="Calibri" w:cs="Times New Roman"/>
    </w:rPr>
  </w:style>
  <w:style w:type="paragraph" w:styleId="Odstavecseseznamem">
    <w:name w:val="List Paragraph"/>
    <w:basedOn w:val="Normln"/>
    <w:uiPriority w:val="34"/>
    <w:qFormat/>
    <w:rsid w:val="00681554"/>
    <w:pPr>
      <w:widowControl w:val="0"/>
      <w:numPr>
        <w:ilvl w:val="1"/>
      </w:numPr>
      <w:tabs>
        <w:tab w:val="num" w:pos="1440"/>
      </w:tabs>
      <w:spacing w:after="0" w:line="240" w:lineRule="auto"/>
      <w:ind w:left="720" w:hanging="720"/>
      <w:contextualSpacing/>
    </w:pPr>
    <w:rPr>
      <w:rFonts w:ascii="Trebuchet MS" w:hAnsi="Trebuchet MS"/>
      <w:sz w:val="24"/>
      <w:szCs w:val="20"/>
      <w:lang w:eastAsia="cs-CZ"/>
    </w:rPr>
  </w:style>
  <w:style w:type="character" w:styleId="Siln">
    <w:name w:val="Strong"/>
    <w:basedOn w:val="Standardnpsmoodstavce"/>
    <w:uiPriority w:val="22"/>
    <w:qFormat/>
    <w:rsid w:val="00681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10384</Characters>
  <Application>Microsoft Office Word</Application>
  <DocSecurity>0</DocSecurity>
  <Lines>86</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AV MEDIA, a.s.</Company>
  <LinksUpToDate>false</LinksUpToDate>
  <CharactersWithSpaces>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Metlička</dc:creator>
  <cp:lastModifiedBy>Jaroslav Metlička</cp:lastModifiedBy>
  <cp:revision>2</cp:revision>
  <dcterms:created xsi:type="dcterms:W3CDTF">2016-09-12T06:56:00Z</dcterms:created>
  <dcterms:modified xsi:type="dcterms:W3CDTF">2016-09-12T06:56:00Z</dcterms:modified>
</cp:coreProperties>
</file>