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63059DF" w14:textId="77777777" w:rsidR="005C4478" w:rsidRDefault="005C4478" w:rsidP="005C4478">
      <w:pPr>
        <w:suppressAutoHyphens/>
        <w:autoSpaceDE w:val="0"/>
        <w:spacing w:line="240" w:lineRule="auto"/>
        <w:jc w:val="left"/>
      </w:pPr>
      <w:r>
        <w:rPr>
          <w:b/>
          <w:bCs/>
        </w:rPr>
        <w:t>PHOENIX lékárenský velkoobchod, s.r.o.</w:t>
      </w:r>
    </w:p>
    <w:p w14:paraId="77F485EB" w14:textId="77777777" w:rsidR="005C4478" w:rsidRDefault="005C4478" w:rsidP="005C4478">
      <w:r>
        <w:t>IČO: 45359326</w:t>
      </w:r>
    </w:p>
    <w:p w14:paraId="7AC27444" w14:textId="77777777" w:rsidR="005C4478" w:rsidRDefault="005C4478" w:rsidP="005C4478">
      <w:r>
        <w:t>DIČ: CZ45359326</w:t>
      </w:r>
    </w:p>
    <w:p w14:paraId="10F34420" w14:textId="77777777" w:rsidR="005C4478" w:rsidRDefault="005C4478" w:rsidP="005C4478">
      <w:r>
        <w:t>se sídlem: K pérovně 945/7, 102 00 Praha 10 - Hostivař</w:t>
      </w:r>
    </w:p>
    <w:p w14:paraId="5F8936FF" w14:textId="77777777" w:rsidR="005C4478" w:rsidRDefault="005C4478" w:rsidP="005C4478">
      <w:r>
        <w:t>zastoupena: MUDr. Michaelou Steklou, prokuristkou a Ing. Martinem Pytlíkem, prokuristou</w:t>
      </w:r>
    </w:p>
    <w:p w14:paraId="2E0FB765" w14:textId="77777777" w:rsidR="005C4478" w:rsidRDefault="005C4478" w:rsidP="005C4478">
      <w:r>
        <w:t>bankovní spojení: Česká spořitelna</w:t>
      </w:r>
    </w:p>
    <w:p w14:paraId="2BFB609B" w14:textId="77777777" w:rsidR="005C4478" w:rsidRDefault="005C4478" w:rsidP="005C4478">
      <w:r>
        <w:t>číslo účtu: 1054262/0800</w:t>
      </w:r>
    </w:p>
    <w:p w14:paraId="65B5D5A6" w14:textId="77777777" w:rsidR="005C4478" w:rsidRDefault="005C4478" w:rsidP="005C4478">
      <w:r>
        <w:t>zapsána v obchodním rejstříku vedeném Městským soudem v Praze, oddíl C, vložka 275345</w:t>
      </w:r>
      <w:r>
        <w:rPr>
          <w:b/>
          <w:highlight w:val="yellow"/>
        </w:rPr>
        <w:t xml:space="preserve"> </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4A992D03" w14:textId="77777777" w:rsidR="00626766" w:rsidRDefault="00626766" w:rsidP="00726B26">
      <w:pPr>
        <w:rPr>
          <w:rStyle w:val="platne1"/>
        </w:rPr>
      </w:pPr>
    </w:p>
    <w:p w14:paraId="62F78EFF" w14:textId="77777777" w:rsidR="00726B26" w:rsidRDefault="00726B26" w:rsidP="00726B26">
      <w:pPr>
        <w:spacing w:after="60"/>
        <w:rPr>
          <w:rStyle w:val="platne1"/>
        </w:rPr>
      </w:pPr>
    </w:p>
    <w:p w14:paraId="6A3B4FF1" w14:textId="77777777" w:rsidR="00C42C10" w:rsidRDefault="00C42C10" w:rsidP="00726B26">
      <w:pPr>
        <w:spacing w:after="60"/>
        <w:rPr>
          <w:rStyle w:val="platne1"/>
        </w:rPr>
      </w:pPr>
    </w:p>
    <w:p w14:paraId="0076B0B0" w14:textId="77777777" w:rsidR="00C42C10" w:rsidRDefault="00C42C10" w:rsidP="00726B26">
      <w:pPr>
        <w:spacing w:after="60"/>
        <w:rPr>
          <w:rStyle w:val="platne1"/>
        </w:rPr>
      </w:pPr>
    </w:p>
    <w:p w14:paraId="64650522" w14:textId="77777777" w:rsidR="00C42C10" w:rsidRDefault="00C42C10" w:rsidP="00726B26">
      <w:pPr>
        <w:spacing w:after="60"/>
        <w:rPr>
          <w:rStyle w:val="platne1"/>
        </w:rPr>
      </w:pPr>
    </w:p>
    <w:p w14:paraId="1282E836" w14:textId="77777777" w:rsidR="00C42C10" w:rsidRDefault="00C42C10" w:rsidP="00726B26">
      <w:pPr>
        <w:spacing w:after="60"/>
        <w:rPr>
          <w:rStyle w:val="platne1"/>
        </w:rPr>
      </w:pPr>
    </w:p>
    <w:p w14:paraId="43130C0D" w14:textId="77777777" w:rsidR="00C42C10" w:rsidRDefault="00C42C10" w:rsidP="00726B26">
      <w:pPr>
        <w:spacing w:after="60"/>
        <w:rPr>
          <w:rStyle w:val="platne1"/>
        </w:rPr>
      </w:pPr>
    </w:p>
    <w:p w14:paraId="4CC21D8C" w14:textId="77777777" w:rsidR="00C42C10" w:rsidRDefault="00C42C10" w:rsidP="00726B26">
      <w:pPr>
        <w:spacing w:after="60"/>
        <w:rPr>
          <w:rStyle w:val="platne1"/>
        </w:rPr>
      </w:pPr>
    </w:p>
    <w:p w14:paraId="4DF460FF" w14:textId="77777777" w:rsidR="00C42C10" w:rsidRDefault="00C42C10" w:rsidP="00726B26">
      <w:pPr>
        <w:spacing w:after="60"/>
        <w:rPr>
          <w:rStyle w:val="platne1"/>
        </w:rPr>
      </w:pPr>
    </w:p>
    <w:p w14:paraId="3339E803" w14:textId="77777777" w:rsidR="00C42C10" w:rsidRDefault="00C42C10" w:rsidP="00726B26">
      <w:pPr>
        <w:spacing w:after="60"/>
        <w:rPr>
          <w:rStyle w:val="platne1"/>
        </w:rPr>
      </w:pPr>
    </w:p>
    <w:p w14:paraId="4F86789B" w14:textId="77777777" w:rsidR="00C42C10" w:rsidRDefault="00C42C10" w:rsidP="00726B26">
      <w:pPr>
        <w:spacing w:after="60"/>
        <w:rPr>
          <w:rStyle w:val="platne1"/>
        </w:rPr>
      </w:pPr>
    </w:p>
    <w:p w14:paraId="74CDB104" w14:textId="77777777" w:rsidR="00C42C10" w:rsidRDefault="00C42C10" w:rsidP="00726B26">
      <w:pPr>
        <w:spacing w:after="60"/>
        <w:rPr>
          <w:rStyle w:val="platne1"/>
        </w:rPr>
      </w:pPr>
    </w:p>
    <w:p w14:paraId="120CD713" w14:textId="77777777" w:rsidR="00C42C10" w:rsidRDefault="00C42C10" w:rsidP="00726B26">
      <w:pPr>
        <w:spacing w:after="60"/>
        <w:rPr>
          <w:rStyle w:val="platne1"/>
        </w:rPr>
      </w:pPr>
    </w:p>
    <w:p w14:paraId="4E648564" w14:textId="77777777" w:rsidR="00C42C10" w:rsidRPr="002B77A6" w:rsidRDefault="00C42C10" w:rsidP="00726B26">
      <w:pPr>
        <w:spacing w:after="60"/>
        <w:rPr>
          <w:rStyle w:val="platne1"/>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176ADC32"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E70DB4">
        <w:rPr>
          <w:b/>
        </w:rPr>
        <w:t>Avapritinib</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Kupujícímu dodáváno postupně, a to dle potřeb Kupujícího, na základě </w:t>
      </w:r>
      <w:r>
        <w:lastRenderedPageBreak/>
        <w:t>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1E6F77E" w:rsidR="00014CFB" w:rsidRPr="00C42C10" w:rsidRDefault="00014CFB" w:rsidP="00014CFB">
      <w:pPr>
        <w:pStyle w:val="Psmenoodstavce"/>
        <w:rPr>
          <w:color w:val="000000" w:themeColor="text1"/>
        </w:rPr>
      </w:pPr>
      <w:r>
        <w:t xml:space="preserve">e-mailem na adresu </w:t>
      </w:r>
      <w:proofErr w:type="spellStart"/>
      <w:r w:rsidR="00C42C10" w:rsidRPr="00C42C10">
        <w:rPr>
          <w:rStyle w:val="Hypertextovodkaz"/>
          <w:color w:val="000000" w:themeColor="text1"/>
          <w:u w:val="none"/>
        </w:rPr>
        <w:t>xxxx</w:t>
      </w:r>
      <w:proofErr w:type="spellEnd"/>
    </w:p>
    <w:p w14:paraId="62F78F14" w14:textId="1365E1A5" w:rsidR="00014CFB" w:rsidRPr="00C42C10" w:rsidRDefault="00014CFB" w:rsidP="00014CFB">
      <w:pPr>
        <w:pStyle w:val="Psmenoodstavce"/>
        <w:rPr>
          <w:color w:val="000000" w:themeColor="text1"/>
        </w:rPr>
      </w:pPr>
      <w:r w:rsidRPr="00C42C10">
        <w:rPr>
          <w:color w:val="000000" w:themeColor="text1"/>
        </w:rPr>
        <w:t xml:space="preserve">faxem na telefonní číslo </w:t>
      </w:r>
      <w:proofErr w:type="spellStart"/>
      <w:r w:rsidR="00C42C10" w:rsidRPr="00C42C10">
        <w:rPr>
          <w:color w:val="000000" w:themeColor="text1"/>
        </w:rPr>
        <w:t>xxxx</w:t>
      </w:r>
      <w:proofErr w:type="spellEnd"/>
    </w:p>
    <w:p w14:paraId="62F78F15" w14:textId="5ABE3159" w:rsidR="00014CFB" w:rsidRPr="00C42C10" w:rsidRDefault="00014CFB" w:rsidP="00014CFB">
      <w:pPr>
        <w:pStyle w:val="Psmenoodstavce"/>
        <w:rPr>
          <w:color w:val="000000" w:themeColor="text1"/>
        </w:rPr>
      </w:pPr>
      <w:r w:rsidRPr="00C42C10">
        <w:rPr>
          <w:color w:val="000000" w:themeColor="text1"/>
        </w:rPr>
        <w:t xml:space="preserve">v internetovém systému Prodávajícího na adrese </w:t>
      </w:r>
      <w:proofErr w:type="spellStart"/>
      <w:r w:rsidR="00C42C10" w:rsidRPr="00C42C10">
        <w:rPr>
          <w:rStyle w:val="Hypertextovodkaz"/>
          <w:color w:val="000000" w:themeColor="text1"/>
          <w:u w:val="none"/>
        </w:rPr>
        <w:t>xxxx</w:t>
      </w:r>
      <w:proofErr w:type="spellEnd"/>
    </w:p>
    <w:p w14:paraId="62F78F16" w14:textId="77777777" w:rsidR="00014CFB" w:rsidRDefault="00014CFB" w:rsidP="00014CFB">
      <w:pPr>
        <w:pStyle w:val="Odstavecsmlouvy"/>
        <w:numPr>
          <w:ilvl w:val="0"/>
          <w:numId w:val="0"/>
        </w:numPr>
        <w:ind w:left="567"/>
      </w:pPr>
    </w:p>
    <w:p w14:paraId="62F78F17" w14:textId="0FD94B6B" w:rsidR="00014CFB" w:rsidRDefault="00014CFB" w:rsidP="00014CFB">
      <w:pPr>
        <w:pStyle w:val="Odstavecsmlouvy"/>
      </w:pPr>
      <w:r>
        <w:t xml:space="preserve">V naléhavých případech je Kupující oprávněn učinit Objednávku rovněž telefonicky na čísle </w:t>
      </w:r>
      <w:proofErr w:type="spellStart"/>
      <w:r w:rsidR="00C42C10">
        <w:t>xxxx</w:t>
      </w:r>
      <w:proofErr w:type="spellEnd"/>
      <w:r w:rsidR="00C42C10">
        <w:t>.</w:t>
      </w:r>
    </w:p>
    <w:p w14:paraId="62F78F18" w14:textId="77777777" w:rsidR="00014CFB" w:rsidRDefault="00014CFB" w:rsidP="00014CFB">
      <w:pPr>
        <w:pStyle w:val="Odstavecsmlouvy"/>
        <w:numPr>
          <w:ilvl w:val="0"/>
          <w:numId w:val="0"/>
        </w:numPr>
        <w:ind w:left="567"/>
      </w:pPr>
    </w:p>
    <w:p w14:paraId="62F78F19" w14:textId="0B4518D1"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C42C10">
        <w:t>xxxx</w:t>
      </w:r>
      <w:proofErr w:type="spellEnd"/>
      <w:r w:rsidR="00C42C10">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Default="00014CFB" w:rsidP="00626766">
      <w:pPr>
        <w:pStyle w:val="Psmenoodstavce"/>
      </w:pPr>
      <w:r>
        <w:t>místo dodání.</w:t>
      </w:r>
    </w:p>
    <w:p w14:paraId="015E3C9A" w14:textId="77777777" w:rsidR="00C42C10" w:rsidRDefault="00C42C10" w:rsidP="00C42C10">
      <w:pPr>
        <w:pStyle w:val="Psmenoodstavce"/>
        <w:numPr>
          <w:ilvl w:val="0"/>
          <w:numId w:val="0"/>
        </w:numPr>
        <w:ind w:left="2160"/>
      </w:pPr>
    </w:p>
    <w:p w14:paraId="1747894F" w14:textId="77777777" w:rsidR="00C42C10" w:rsidRDefault="00C42C10" w:rsidP="00C42C10">
      <w:pPr>
        <w:pStyle w:val="Psmenoodstavce"/>
        <w:numPr>
          <w:ilvl w:val="0"/>
          <w:numId w:val="0"/>
        </w:numPr>
        <w:ind w:left="2160"/>
      </w:pPr>
    </w:p>
    <w:p w14:paraId="1546FAC8" w14:textId="77777777" w:rsidR="00C42C10" w:rsidRDefault="00C42C10" w:rsidP="00C42C10">
      <w:pPr>
        <w:pStyle w:val="Psmenoodstavce"/>
        <w:numPr>
          <w:ilvl w:val="0"/>
          <w:numId w:val="0"/>
        </w:numPr>
        <w:ind w:left="2160"/>
      </w:pPr>
    </w:p>
    <w:p w14:paraId="5F0F7690" w14:textId="77777777" w:rsidR="00C42C10" w:rsidRPr="00626766" w:rsidRDefault="00C42C10" w:rsidP="00C42C10">
      <w:pPr>
        <w:pStyle w:val="Psmenoodstavce"/>
        <w:numPr>
          <w:ilvl w:val="0"/>
          <w:numId w:val="0"/>
        </w:numPr>
        <w:ind w:left="2160"/>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w:t>
      </w:r>
      <w:r>
        <w:lastRenderedPageBreak/>
        <w:t xml:space="preserve">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boží do mí</w:t>
      </w:r>
      <w:bookmarkStart w:id="8" w:name="_GoBack"/>
      <w:bookmarkEnd w:id="8"/>
      <w:r w:rsidRPr="00512AB9">
        <w:t xml:space="preserve">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76465E66" w14:textId="49A44980"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proofErr w:type="spellStart"/>
      <w:r w:rsidR="00C42C10">
        <w:rPr>
          <w:color w:val="000000"/>
        </w:rPr>
        <w:t>xxxx</w:t>
      </w:r>
      <w:proofErr w:type="spellEnd"/>
      <w:r w:rsidR="00C42C10">
        <w:rPr>
          <w:color w:val="000000"/>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0DD895B1" w14:textId="0BA63E4B" w:rsidR="009B37EC" w:rsidRPr="00C42C10" w:rsidRDefault="005B45F7" w:rsidP="00C42C10">
      <w:pPr>
        <w:pStyle w:val="Odstavecsmlouvy"/>
      </w:pPr>
      <w:r w:rsidRPr="00ED558C">
        <w:rPr>
          <w:iCs/>
          <w:color w:val="000000"/>
          <w:shd w:val="clear" w:color="auto" w:fill="FFFFFF"/>
        </w:rPr>
        <w:t xml:space="preserve">Prodávající se zavazuje písemně informovat kupujícího o změně regulačních předpisů mající vliv na cenu léčivých přípravků, které jsou předmětem plnění této smlouvy. V případě, že dojde ke </w:t>
      </w:r>
      <w:r w:rsidRPr="00ED558C">
        <w:rPr>
          <w:iCs/>
          <w:color w:val="000000"/>
          <w:shd w:val="clear" w:color="auto" w:fill="FFFFFF"/>
        </w:rPr>
        <w:lastRenderedPageBreak/>
        <w:t>snížení/ zvýšení úhradových cen předmětu plnění, je prodávající povinen provést snížení/ zvýšení kupní ceny dodatkem k této smlouvě.</w:t>
      </w:r>
    </w:p>
    <w:p w14:paraId="0C184CEF" w14:textId="77777777" w:rsidR="00C42C10" w:rsidRDefault="00C42C10" w:rsidP="00C42C10">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3B0D1C46" w14:textId="77777777" w:rsidR="005C4478" w:rsidRDefault="000C1FD1" w:rsidP="005C4478">
      <w:pPr>
        <w:pStyle w:val="Odstavecsmlouvy"/>
        <w:numPr>
          <w:ilvl w:val="1"/>
          <w:numId w:val="25"/>
        </w:numPr>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5C4478">
        <w:t xml:space="preserve">ve formě tzv. sběrných faktur v denním intervalu.  </w:t>
      </w:r>
    </w:p>
    <w:p w14:paraId="62F78F54" w14:textId="01028F09" w:rsidR="000C1FD1" w:rsidRDefault="000C1FD1" w:rsidP="00FB754C">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F445D15" w14:textId="77777777" w:rsidR="00C42C10" w:rsidRDefault="00C42C10" w:rsidP="00C42C10">
      <w:pPr>
        <w:pStyle w:val="Odstavecsmlouvy"/>
        <w:numPr>
          <w:ilvl w:val="0"/>
          <w:numId w:val="0"/>
        </w:numPr>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390248A" w14:textId="77777777" w:rsidR="00C42C10" w:rsidRPr="00BC5EF7" w:rsidRDefault="00C42C10" w:rsidP="00C42C10">
      <w:pPr>
        <w:pStyle w:val="Odstavecsmlouvy"/>
        <w:numPr>
          <w:ilvl w:val="0"/>
          <w:numId w:val="0"/>
        </w:numPr>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0B4047BE"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šest měsíců (doložené prohlášením výrobce zboží), 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Pr="002B77A6" w:rsidRDefault="0010739D"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510EF945" w14:textId="14DD975E" w:rsidR="00626766" w:rsidRDefault="003153B5" w:rsidP="00C42C10">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3F2CAF6" w14:textId="77777777" w:rsidR="00C42C10" w:rsidRDefault="00C42C10" w:rsidP="00C42C10">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395"/>
        <w:gridCol w:w="816"/>
        <w:gridCol w:w="4212"/>
      </w:tblGrid>
      <w:tr w:rsidR="004A45B0" w:rsidRPr="00D722DC" w14:paraId="62F78FAD" w14:textId="77777777" w:rsidTr="005C4478">
        <w:tc>
          <w:tcPr>
            <w:tcW w:w="4395" w:type="dxa"/>
            <w:shd w:val="clear" w:color="auto" w:fill="auto"/>
          </w:tcPr>
          <w:p w14:paraId="62F78FAA" w14:textId="13AD62F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5C4478" w:rsidRPr="005C4478">
              <w:rPr>
                <w:sz w:val="22"/>
                <w:szCs w:val="22"/>
              </w:rPr>
              <w:t>Praze</w:t>
            </w:r>
            <w:r w:rsidRPr="00D722DC">
              <w:rPr>
                <w:sz w:val="22"/>
                <w:szCs w:val="22"/>
              </w:rPr>
              <w:t xml:space="preserve"> dne</w:t>
            </w:r>
            <w:r w:rsidR="00C42C10">
              <w:rPr>
                <w:sz w:val="22"/>
                <w:szCs w:val="22"/>
              </w:rPr>
              <w:t xml:space="preserve"> 5. 1. 2024</w:t>
            </w:r>
          </w:p>
        </w:tc>
        <w:tc>
          <w:tcPr>
            <w:tcW w:w="816"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DBA2C1D"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C42C10">
              <w:rPr>
                <w:sz w:val="22"/>
                <w:szCs w:val="22"/>
              </w:rPr>
              <w:t xml:space="preserve"> 12. 1. 2024</w:t>
            </w:r>
          </w:p>
        </w:tc>
      </w:tr>
      <w:tr w:rsidR="004A45B0" w:rsidRPr="00D722DC" w14:paraId="62F78FB6" w14:textId="77777777" w:rsidTr="005C4478">
        <w:tc>
          <w:tcPr>
            <w:tcW w:w="4395"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816"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C42C10" w14:paraId="62F78FBD" w14:textId="77777777" w:rsidTr="005C4478">
        <w:tc>
          <w:tcPr>
            <w:tcW w:w="4395" w:type="dxa"/>
            <w:tcBorders>
              <w:top w:val="single" w:sz="4" w:space="0" w:color="auto"/>
            </w:tcBorders>
            <w:shd w:val="clear" w:color="auto" w:fill="auto"/>
          </w:tcPr>
          <w:p w14:paraId="53D15718" w14:textId="755EB799" w:rsidR="005C4478" w:rsidRPr="00C42C10" w:rsidRDefault="00C42C10" w:rsidP="00C42C10">
            <w:pPr>
              <w:pStyle w:val="slovn"/>
              <w:numPr>
                <w:ilvl w:val="0"/>
                <w:numId w:val="0"/>
              </w:numPr>
              <w:tabs>
                <w:tab w:val="num" w:pos="567"/>
              </w:tabs>
              <w:spacing w:after="0" w:line="280" w:lineRule="atLeast"/>
              <w:jc w:val="center"/>
              <w:rPr>
                <w:b/>
                <w:sz w:val="22"/>
                <w:szCs w:val="22"/>
              </w:rPr>
            </w:pPr>
            <w:r>
              <w:rPr>
                <w:b/>
                <w:sz w:val="22"/>
                <w:szCs w:val="22"/>
              </w:rPr>
              <w:t xml:space="preserve">PHOENIX lékárenský velkoobchod </w:t>
            </w:r>
            <w:r w:rsidR="005C4478" w:rsidRPr="00C42C10">
              <w:rPr>
                <w:b/>
                <w:sz w:val="22"/>
                <w:szCs w:val="22"/>
              </w:rPr>
              <w:t>s.r.o.</w:t>
            </w:r>
          </w:p>
          <w:p w14:paraId="450C9F68" w14:textId="5ED0C4A1" w:rsidR="00C42C10" w:rsidRPr="00C42C10" w:rsidRDefault="00C42C10" w:rsidP="00C42C10">
            <w:pPr>
              <w:pStyle w:val="slovn"/>
              <w:numPr>
                <w:ilvl w:val="0"/>
                <w:numId w:val="0"/>
              </w:numPr>
              <w:tabs>
                <w:tab w:val="num" w:pos="567"/>
              </w:tabs>
              <w:spacing w:after="0" w:line="280" w:lineRule="atLeast"/>
              <w:jc w:val="center"/>
              <w:rPr>
                <w:sz w:val="22"/>
                <w:szCs w:val="22"/>
              </w:rPr>
            </w:pPr>
            <w:r w:rsidRPr="00C42C10">
              <w:rPr>
                <w:sz w:val="22"/>
                <w:szCs w:val="22"/>
              </w:rPr>
              <w:t>MUDr.</w:t>
            </w:r>
            <w:r w:rsidRPr="00C42C10">
              <w:rPr>
                <w:sz w:val="22"/>
                <w:szCs w:val="22"/>
              </w:rPr>
              <w:t xml:space="preserve"> Michaela Steklá, prokuristka</w:t>
            </w:r>
          </w:p>
          <w:p w14:paraId="62F78FB8" w14:textId="23D3F624" w:rsidR="004A45B0" w:rsidRPr="00C42C10" w:rsidRDefault="00C42C10" w:rsidP="00C42C10">
            <w:pPr>
              <w:pStyle w:val="slovn"/>
              <w:numPr>
                <w:ilvl w:val="0"/>
                <w:numId w:val="0"/>
              </w:numPr>
              <w:tabs>
                <w:tab w:val="num" w:pos="567"/>
              </w:tabs>
              <w:spacing w:after="0" w:line="280" w:lineRule="atLeast"/>
              <w:jc w:val="center"/>
              <w:rPr>
                <w:sz w:val="22"/>
                <w:szCs w:val="22"/>
              </w:rPr>
            </w:pPr>
            <w:r w:rsidRPr="00C42C10">
              <w:rPr>
                <w:sz w:val="22"/>
                <w:szCs w:val="22"/>
              </w:rPr>
              <w:t>Ing. Martin Pytlík, prokurista</w:t>
            </w:r>
          </w:p>
        </w:tc>
        <w:tc>
          <w:tcPr>
            <w:tcW w:w="816" w:type="dxa"/>
            <w:shd w:val="clear" w:color="auto" w:fill="auto"/>
          </w:tcPr>
          <w:p w14:paraId="62F78FB9" w14:textId="77777777" w:rsidR="004A45B0" w:rsidRPr="00C42C10" w:rsidRDefault="004A45B0" w:rsidP="00C42C10">
            <w:pPr>
              <w:pStyle w:val="slovn"/>
              <w:numPr>
                <w:ilvl w:val="0"/>
                <w:numId w:val="0"/>
              </w:numPr>
              <w:tabs>
                <w:tab w:val="num" w:pos="567"/>
              </w:tabs>
              <w:spacing w:after="0" w:line="280" w:lineRule="atLeast"/>
              <w:jc w:val="center"/>
              <w:rPr>
                <w:sz w:val="22"/>
                <w:szCs w:val="22"/>
              </w:rPr>
            </w:pPr>
          </w:p>
        </w:tc>
        <w:tc>
          <w:tcPr>
            <w:tcW w:w="4212" w:type="dxa"/>
            <w:tcBorders>
              <w:top w:val="single" w:sz="4" w:space="0" w:color="auto"/>
            </w:tcBorders>
            <w:shd w:val="clear" w:color="auto" w:fill="auto"/>
          </w:tcPr>
          <w:p w14:paraId="62F78FBA" w14:textId="77777777" w:rsidR="004A45B0" w:rsidRPr="00C42C10" w:rsidRDefault="004A45B0" w:rsidP="00C42C10">
            <w:pPr>
              <w:pStyle w:val="slovn"/>
              <w:numPr>
                <w:ilvl w:val="0"/>
                <w:numId w:val="0"/>
              </w:numPr>
              <w:tabs>
                <w:tab w:val="num" w:pos="567"/>
              </w:tabs>
              <w:spacing w:after="0" w:line="280" w:lineRule="atLeast"/>
              <w:jc w:val="center"/>
              <w:rPr>
                <w:b/>
                <w:sz w:val="22"/>
                <w:szCs w:val="22"/>
              </w:rPr>
            </w:pPr>
            <w:r w:rsidRPr="00C42C10">
              <w:rPr>
                <w:b/>
                <w:sz w:val="22"/>
                <w:szCs w:val="22"/>
              </w:rPr>
              <w:t>Fakultní nemocnice Brno</w:t>
            </w:r>
          </w:p>
          <w:p w14:paraId="62F78FBC" w14:textId="488CD771" w:rsidR="004A45B0" w:rsidRPr="00C42C10" w:rsidRDefault="00907D3A" w:rsidP="00C42C10">
            <w:pPr>
              <w:pStyle w:val="slovn"/>
              <w:numPr>
                <w:ilvl w:val="0"/>
                <w:numId w:val="0"/>
              </w:numPr>
              <w:tabs>
                <w:tab w:val="num" w:pos="567"/>
              </w:tabs>
              <w:spacing w:after="0" w:line="280" w:lineRule="atLeast"/>
              <w:jc w:val="center"/>
              <w:rPr>
                <w:sz w:val="22"/>
                <w:szCs w:val="22"/>
              </w:rPr>
            </w:pPr>
            <w:r w:rsidRPr="00C42C10">
              <w:rPr>
                <w:sz w:val="22"/>
                <w:szCs w:val="22"/>
              </w:rPr>
              <w:t>MUDr. Ivo Rovný, MBA</w:t>
            </w:r>
            <w:r w:rsidR="004A45B0" w:rsidRPr="00C42C10">
              <w:rPr>
                <w:sz w:val="22"/>
                <w:szCs w:val="22"/>
              </w:rPr>
              <w:t>, ředitel</w:t>
            </w:r>
          </w:p>
        </w:tc>
      </w:tr>
    </w:tbl>
    <w:p w14:paraId="26056917" w14:textId="77777777" w:rsidR="007426B4" w:rsidRDefault="007426B4" w:rsidP="007426B4">
      <w:pPr>
        <w:jc w:val="center"/>
        <w:rPr>
          <w:b/>
        </w:rPr>
      </w:pPr>
    </w:p>
    <w:p w14:paraId="58366AE1" w14:textId="77777777" w:rsidR="00C42C10" w:rsidRDefault="00C42C10" w:rsidP="007426B4">
      <w:pPr>
        <w:jc w:val="center"/>
        <w:rPr>
          <w:b/>
        </w:rPr>
      </w:pPr>
    </w:p>
    <w:p w14:paraId="3AAF1048" w14:textId="77777777" w:rsidR="00C42C10" w:rsidRDefault="00C42C10" w:rsidP="007426B4">
      <w:pPr>
        <w:jc w:val="center"/>
        <w:rPr>
          <w:b/>
        </w:rPr>
      </w:pPr>
    </w:p>
    <w:p w14:paraId="69106C20" w14:textId="77777777" w:rsidR="00C42C10" w:rsidRDefault="00C42C10" w:rsidP="007426B4">
      <w:pPr>
        <w:jc w:val="center"/>
        <w:rPr>
          <w:b/>
        </w:rPr>
      </w:pPr>
    </w:p>
    <w:p w14:paraId="3610FCE4" w14:textId="77777777" w:rsidR="00C42C10" w:rsidRDefault="00C42C10" w:rsidP="007426B4">
      <w:pPr>
        <w:jc w:val="center"/>
        <w:rPr>
          <w:b/>
        </w:rPr>
      </w:pPr>
    </w:p>
    <w:p w14:paraId="44C27492" w14:textId="77777777" w:rsidR="00C42C10" w:rsidRDefault="00C42C10" w:rsidP="007426B4">
      <w:pPr>
        <w:jc w:val="center"/>
        <w:rPr>
          <w:b/>
        </w:rPr>
      </w:pPr>
    </w:p>
    <w:p w14:paraId="72FED24A" w14:textId="77777777" w:rsidR="00C42C10" w:rsidRDefault="00C42C10" w:rsidP="007426B4">
      <w:pPr>
        <w:jc w:val="center"/>
        <w:rPr>
          <w:b/>
        </w:rPr>
      </w:pPr>
    </w:p>
    <w:p w14:paraId="34D64523" w14:textId="77777777" w:rsidR="00C42C10" w:rsidRDefault="00C42C10" w:rsidP="007426B4">
      <w:pPr>
        <w:jc w:val="center"/>
        <w:rPr>
          <w:b/>
        </w:rPr>
      </w:pPr>
    </w:p>
    <w:tbl>
      <w:tblPr>
        <w:tblW w:w="0" w:type="auto"/>
        <w:tblInd w:w="567" w:type="dxa"/>
        <w:tblLook w:val="04A0" w:firstRow="1" w:lastRow="0" w:firstColumn="1" w:lastColumn="0" w:noHBand="0" w:noVBand="1"/>
      </w:tblPr>
      <w:tblGrid>
        <w:gridCol w:w="4212"/>
      </w:tblGrid>
      <w:tr w:rsidR="00C42C10" w:rsidRPr="00D722DC" w14:paraId="20683F6E" w14:textId="77777777" w:rsidTr="00D049A5">
        <w:tc>
          <w:tcPr>
            <w:tcW w:w="4212" w:type="dxa"/>
            <w:tcBorders>
              <w:bottom w:val="single" w:sz="4" w:space="0" w:color="auto"/>
            </w:tcBorders>
            <w:shd w:val="clear" w:color="auto" w:fill="auto"/>
          </w:tcPr>
          <w:p w14:paraId="75B4492D" w14:textId="77777777" w:rsidR="00C42C10" w:rsidRPr="00D722DC" w:rsidRDefault="00C42C10" w:rsidP="00D049A5">
            <w:pPr>
              <w:pStyle w:val="slovn"/>
              <w:numPr>
                <w:ilvl w:val="0"/>
                <w:numId w:val="0"/>
              </w:numPr>
              <w:tabs>
                <w:tab w:val="num" w:pos="567"/>
              </w:tabs>
              <w:spacing w:after="0" w:line="280" w:lineRule="atLeast"/>
              <w:rPr>
                <w:sz w:val="22"/>
                <w:szCs w:val="22"/>
              </w:rPr>
            </w:pPr>
          </w:p>
        </w:tc>
      </w:tr>
      <w:tr w:rsidR="00C42C10" w:rsidRPr="00C42C10" w14:paraId="00CE7A35" w14:textId="77777777" w:rsidTr="00D049A5">
        <w:tc>
          <w:tcPr>
            <w:tcW w:w="4212" w:type="dxa"/>
            <w:tcBorders>
              <w:top w:val="single" w:sz="4" w:space="0" w:color="auto"/>
            </w:tcBorders>
            <w:shd w:val="clear" w:color="auto" w:fill="auto"/>
          </w:tcPr>
          <w:p w14:paraId="185BAAB1" w14:textId="0FAFF406" w:rsidR="00C42C10" w:rsidRDefault="00C42C10" w:rsidP="00D049A5">
            <w:pPr>
              <w:pStyle w:val="slovn"/>
              <w:numPr>
                <w:ilvl w:val="0"/>
                <w:numId w:val="0"/>
              </w:numPr>
              <w:tabs>
                <w:tab w:val="num" w:pos="567"/>
              </w:tabs>
              <w:spacing w:after="0" w:line="280" w:lineRule="atLeast"/>
              <w:jc w:val="center"/>
              <w:rPr>
                <w:b/>
                <w:sz w:val="22"/>
                <w:szCs w:val="22"/>
              </w:rPr>
            </w:pPr>
            <w:r>
              <w:rPr>
                <w:b/>
                <w:sz w:val="22"/>
                <w:szCs w:val="22"/>
              </w:rPr>
              <w:t>Za právní oddělení</w:t>
            </w:r>
          </w:p>
          <w:p w14:paraId="37A2EF98" w14:textId="3AE45770" w:rsidR="00C42C10" w:rsidRPr="00C42C10" w:rsidRDefault="00C42C10" w:rsidP="00D049A5">
            <w:pPr>
              <w:pStyle w:val="slovn"/>
              <w:numPr>
                <w:ilvl w:val="0"/>
                <w:numId w:val="0"/>
              </w:numPr>
              <w:tabs>
                <w:tab w:val="num" w:pos="567"/>
              </w:tabs>
              <w:spacing w:after="0" w:line="280" w:lineRule="atLeast"/>
              <w:jc w:val="center"/>
              <w:rPr>
                <w:sz w:val="22"/>
                <w:szCs w:val="22"/>
              </w:rPr>
            </w:pPr>
            <w:proofErr w:type="spellStart"/>
            <w:r>
              <w:rPr>
                <w:sz w:val="22"/>
                <w:szCs w:val="22"/>
              </w:rPr>
              <w:t>xxxx</w:t>
            </w:r>
            <w:proofErr w:type="spellEnd"/>
          </w:p>
        </w:tc>
      </w:tr>
    </w:tbl>
    <w:p w14:paraId="1B272B0E" w14:textId="77777777" w:rsidR="00C42C10" w:rsidRDefault="00C42C10" w:rsidP="007426B4">
      <w:pPr>
        <w:jc w:val="center"/>
        <w:rPr>
          <w:b/>
        </w:rPr>
      </w:pPr>
    </w:p>
    <w:p w14:paraId="48AB7BAC" w14:textId="77777777" w:rsidR="00C42C10" w:rsidRDefault="00C42C10" w:rsidP="00C42C10">
      <w:pPr>
        <w:jc w:val="left"/>
        <w:rPr>
          <w:b/>
        </w:rPr>
        <w:sectPr w:rsidR="00C42C10"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3594D963" w14:textId="6C72EE13" w:rsidR="00B23D81" w:rsidRDefault="00B23D81" w:rsidP="00575F84">
      <w:r>
        <w:t>Nabídkové ceny</w:t>
      </w:r>
    </w:p>
    <w:p w14:paraId="62F78FC4" w14:textId="77777777" w:rsidR="00AA34DF" w:rsidRDefault="00AA34DF" w:rsidP="00023008"/>
    <w:tbl>
      <w:tblPr>
        <w:tblW w:w="9985" w:type="dxa"/>
        <w:tblCellMar>
          <w:left w:w="70" w:type="dxa"/>
          <w:right w:w="70" w:type="dxa"/>
        </w:tblCellMar>
        <w:tblLook w:val="04A0" w:firstRow="1" w:lastRow="0" w:firstColumn="1" w:lastColumn="0" w:noHBand="0" w:noVBand="1"/>
      </w:tblPr>
      <w:tblGrid>
        <w:gridCol w:w="1190"/>
        <w:gridCol w:w="1478"/>
        <w:gridCol w:w="2344"/>
        <w:gridCol w:w="1725"/>
        <w:gridCol w:w="1495"/>
        <w:gridCol w:w="1753"/>
      </w:tblGrid>
      <w:tr w:rsidR="00A51696" w:rsidRPr="00A51696" w14:paraId="652C8E99" w14:textId="77777777" w:rsidTr="00A51696">
        <w:trPr>
          <w:trHeight w:val="1586"/>
        </w:trPr>
        <w:tc>
          <w:tcPr>
            <w:tcW w:w="1190" w:type="dxa"/>
            <w:tcBorders>
              <w:top w:val="single" w:sz="8" w:space="0" w:color="000000"/>
              <w:left w:val="single" w:sz="8" w:space="0" w:color="000000"/>
              <w:bottom w:val="nil"/>
              <w:right w:val="single" w:sz="8" w:space="0" w:color="000000"/>
            </w:tcBorders>
            <w:shd w:val="clear" w:color="auto" w:fill="auto"/>
            <w:vAlign w:val="center"/>
            <w:hideMark/>
          </w:tcPr>
          <w:p w14:paraId="5B44C1BC" w14:textId="77777777" w:rsidR="00A51696" w:rsidRPr="00A51696" w:rsidRDefault="00A51696" w:rsidP="00A51696">
            <w:pPr>
              <w:spacing w:line="240" w:lineRule="auto"/>
              <w:rPr>
                <w:b/>
                <w:bCs/>
              </w:rPr>
            </w:pPr>
            <w:r w:rsidRPr="00A51696">
              <w:rPr>
                <w:b/>
                <w:bCs/>
              </w:rPr>
              <w:t>Kód SÚKL</w:t>
            </w:r>
          </w:p>
        </w:tc>
        <w:tc>
          <w:tcPr>
            <w:tcW w:w="1478" w:type="dxa"/>
            <w:tcBorders>
              <w:top w:val="single" w:sz="8" w:space="0" w:color="000000"/>
              <w:left w:val="nil"/>
              <w:bottom w:val="nil"/>
              <w:right w:val="single" w:sz="8" w:space="0" w:color="000000"/>
            </w:tcBorders>
            <w:shd w:val="clear" w:color="auto" w:fill="auto"/>
            <w:vAlign w:val="center"/>
            <w:hideMark/>
          </w:tcPr>
          <w:p w14:paraId="77C92CB9" w14:textId="77777777" w:rsidR="00A51696" w:rsidRPr="00A51696" w:rsidRDefault="00A51696" w:rsidP="00A51696">
            <w:pPr>
              <w:spacing w:line="240" w:lineRule="auto"/>
              <w:rPr>
                <w:b/>
                <w:bCs/>
              </w:rPr>
            </w:pPr>
            <w:r w:rsidRPr="00A51696">
              <w:rPr>
                <w:b/>
                <w:bCs/>
              </w:rPr>
              <w:t>Název léčivého přípravku</w:t>
            </w:r>
          </w:p>
        </w:tc>
        <w:tc>
          <w:tcPr>
            <w:tcW w:w="2344" w:type="dxa"/>
            <w:tcBorders>
              <w:top w:val="single" w:sz="8" w:space="0" w:color="000000"/>
              <w:left w:val="nil"/>
              <w:bottom w:val="single" w:sz="8" w:space="0" w:color="000000"/>
              <w:right w:val="single" w:sz="8" w:space="0" w:color="000000"/>
            </w:tcBorders>
            <w:shd w:val="clear" w:color="auto" w:fill="auto"/>
            <w:vAlign w:val="center"/>
            <w:hideMark/>
          </w:tcPr>
          <w:p w14:paraId="7BC5B6D4" w14:textId="77777777" w:rsidR="00A51696" w:rsidRPr="00A51696" w:rsidRDefault="00A51696" w:rsidP="00A51696">
            <w:pPr>
              <w:spacing w:line="240" w:lineRule="auto"/>
              <w:rPr>
                <w:b/>
                <w:bCs/>
              </w:rPr>
            </w:pPr>
            <w:r w:rsidRPr="00A51696">
              <w:rPr>
                <w:b/>
                <w:bCs/>
              </w:rPr>
              <w:t>balení</w:t>
            </w:r>
          </w:p>
        </w:tc>
        <w:tc>
          <w:tcPr>
            <w:tcW w:w="1725" w:type="dxa"/>
            <w:tcBorders>
              <w:top w:val="single" w:sz="8" w:space="0" w:color="000000"/>
              <w:left w:val="nil"/>
              <w:bottom w:val="single" w:sz="8" w:space="0" w:color="000000"/>
              <w:right w:val="single" w:sz="8" w:space="0" w:color="000000"/>
            </w:tcBorders>
            <w:shd w:val="clear" w:color="auto" w:fill="auto"/>
            <w:vAlign w:val="center"/>
            <w:hideMark/>
          </w:tcPr>
          <w:p w14:paraId="6B03EC82" w14:textId="77777777" w:rsidR="00A51696" w:rsidRPr="00A51696" w:rsidRDefault="00A51696" w:rsidP="00A51696">
            <w:pPr>
              <w:spacing w:line="240" w:lineRule="auto"/>
              <w:rPr>
                <w:b/>
                <w:bCs/>
              </w:rPr>
            </w:pPr>
            <w:r w:rsidRPr="00A51696">
              <w:rPr>
                <w:b/>
                <w:bCs/>
              </w:rPr>
              <w:t>Cena bez DPH</w:t>
            </w:r>
          </w:p>
        </w:tc>
        <w:tc>
          <w:tcPr>
            <w:tcW w:w="1495" w:type="dxa"/>
            <w:tcBorders>
              <w:top w:val="single" w:sz="8" w:space="0" w:color="000000"/>
              <w:left w:val="nil"/>
              <w:bottom w:val="single" w:sz="8" w:space="0" w:color="000000"/>
              <w:right w:val="single" w:sz="8" w:space="0" w:color="000000"/>
            </w:tcBorders>
            <w:shd w:val="clear" w:color="auto" w:fill="auto"/>
            <w:vAlign w:val="center"/>
            <w:hideMark/>
          </w:tcPr>
          <w:p w14:paraId="10951D0F" w14:textId="77777777" w:rsidR="00A51696" w:rsidRPr="00A51696" w:rsidRDefault="00A51696" w:rsidP="00A51696">
            <w:pPr>
              <w:spacing w:line="240" w:lineRule="auto"/>
              <w:rPr>
                <w:b/>
                <w:bCs/>
              </w:rPr>
            </w:pPr>
            <w:r w:rsidRPr="00A51696">
              <w:rPr>
                <w:b/>
                <w:bCs/>
              </w:rPr>
              <w:t>DPH</w:t>
            </w:r>
          </w:p>
        </w:tc>
        <w:tc>
          <w:tcPr>
            <w:tcW w:w="1753" w:type="dxa"/>
            <w:tcBorders>
              <w:top w:val="single" w:sz="8" w:space="0" w:color="000000"/>
              <w:left w:val="nil"/>
              <w:bottom w:val="single" w:sz="8" w:space="0" w:color="000000"/>
              <w:right w:val="single" w:sz="8" w:space="0" w:color="000000"/>
            </w:tcBorders>
            <w:shd w:val="clear" w:color="auto" w:fill="auto"/>
            <w:vAlign w:val="center"/>
            <w:hideMark/>
          </w:tcPr>
          <w:p w14:paraId="4388763B" w14:textId="77777777" w:rsidR="00A51696" w:rsidRPr="00A51696" w:rsidRDefault="00A51696" w:rsidP="00A51696">
            <w:pPr>
              <w:spacing w:line="240" w:lineRule="auto"/>
              <w:rPr>
                <w:b/>
                <w:bCs/>
              </w:rPr>
            </w:pPr>
            <w:r w:rsidRPr="00A51696">
              <w:rPr>
                <w:b/>
                <w:bCs/>
              </w:rPr>
              <w:t>Cena včetně DPH</w:t>
            </w:r>
          </w:p>
        </w:tc>
      </w:tr>
      <w:tr w:rsidR="00A51696" w:rsidRPr="00A51696" w14:paraId="1C4173D8" w14:textId="77777777" w:rsidTr="00C42C10">
        <w:trPr>
          <w:trHeight w:val="264"/>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76343" w14:textId="77777777" w:rsidR="00A51696" w:rsidRPr="00A51696" w:rsidRDefault="00A51696" w:rsidP="00A51696">
            <w:pPr>
              <w:spacing w:line="240" w:lineRule="auto"/>
              <w:jc w:val="left"/>
              <w:rPr>
                <w:rFonts w:ascii="Arial CE" w:hAnsi="Arial CE" w:cs="Arial CE"/>
                <w:sz w:val="20"/>
                <w:szCs w:val="20"/>
              </w:rPr>
            </w:pPr>
            <w:r w:rsidRPr="00A51696">
              <w:rPr>
                <w:rFonts w:ascii="Arial CE" w:hAnsi="Arial CE" w:cs="Arial CE"/>
                <w:sz w:val="20"/>
                <w:szCs w:val="20"/>
              </w:rPr>
              <w:t>0249916</w:t>
            </w:r>
          </w:p>
        </w:tc>
        <w:tc>
          <w:tcPr>
            <w:tcW w:w="1478" w:type="dxa"/>
            <w:tcBorders>
              <w:top w:val="single" w:sz="8" w:space="0" w:color="auto"/>
              <w:left w:val="nil"/>
              <w:bottom w:val="single" w:sz="8" w:space="0" w:color="auto"/>
              <w:right w:val="single" w:sz="8" w:space="0" w:color="auto"/>
            </w:tcBorders>
            <w:shd w:val="clear" w:color="auto" w:fill="auto"/>
            <w:noWrap/>
            <w:vAlign w:val="bottom"/>
            <w:hideMark/>
          </w:tcPr>
          <w:p w14:paraId="0E57FFD2" w14:textId="77777777" w:rsidR="00A51696" w:rsidRPr="00A51696" w:rsidRDefault="00A51696" w:rsidP="00A51696">
            <w:pPr>
              <w:spacing w:line="240" w:lineRule="auto"/>
              <w:jc w:val="left"/>
              <w:rPr>
                <w:rFonts w:ascii="Arial CE" w:hAnsi="Arial CE" w:cs="Arial CE"/>
                <w:sz w:val="20"/>
                <w:szCs w:val="20"/>
              </w:rPr>
            </w:pPr>
            <w:proofErr w:type="spellStart"/>
            <w:r w:rsidRPr="00A51696">
              <w:rPr>
                <w:rFonts w:ascii="Arial CE" w:hAnsi="Arial CE" w:cs="Arial CE"/>
                <w:sz w:val="20"/>
                <w:szCs w:val="20"/>
              </w:rPr>
              <w:t>Ayvakyt</w:t>
            </w:r>
            <w:proofErr w:type="spellEnd"/>
          </w:p>
        </w:tc>
        <w:tc>
          <w:tcPr>
            <w:tcW w:w="2344" w:type="dxa"/>
            <w:tcBorders>
              <w:top w:val="nil"/>
              <w:left w:val="nil"/>
              <w:bottom w:val="single" w:sz="8" w:space="0" w:color="000000"/>
              <w:right w:val="single" w:sz="8" w:space="0" w:color="000000"/>
            </w:tcBorders>
            <w:shd w:val="clear" w:color="auto" w:fill="auto"/>
            <w:vAlign w:val="center"/>
            <w:hideMark/>
          </w:tcPr>
          <w:p w14:paraId="60FDE624" w14:textId="77777777" w:rsidR="00A51696" w:rsidRPr="00A51696" w:rsidRDefault="00A51696" w:rsidP="00A51696">
            <w:pPr>
              <w:spacing w:line="240" w:lineRule="auto"/>
            </w:pPr>
            <w:r w:rsidRPr="00A51696">
              <w:t>300mg tbl.flm.30</w:t>
            </w:r>
          </w:p>
        </w:tc>
        <w:tc>
          <w:tcPr>
            <w:tcW w:w="1725" w:type="dxa"/>
            <w:tcBorders>
              <w:top w:val="nil"/>
              <w:left w:val="nil"/>
              <w:bottom w:val="single" w:sz="8" w:space="0" w:color="000000"/>
              <w:right w:val="single" w:sz="8" w:space="0" w:color="000000"/>
            </w:tcBorders>
            <w:shd w:val="clear" w:color="auto" w:fill="auto"/>
            <w:vAlign w:val="center"/>
          </w:tcPr>
          <w:p w14:paraId="0772DE87" w14:textId="11B9C6CC" w:rsidR="00A51696" w:rsidRPr="00A51696" w:rsidRDefault="00C42C10" w:rsidP="00C42C10">
            <w:pPr>
              <w:spacing w:line="240" w:lineRule="auto"/>
              <w:jc w:val="center"/>
            </w:pPr>
            <w:proofErr w:type="spellStart"/>
            <w:r>
              <w:t>xxxx</w:t>
            </w:r>
            <w:proofErr w:type="spellEnd"/>
          </w:p>
        </w:tc>
        <w:tc>
          <w:tcPr>
            <w:tcW w:w="1495" w:type="dxa"/>
            <w:tcBorders>
              <w:top w:val="nil"/>
              <w:left w:val="nil"/>
              <w:bottom w:val="single" w:sz="8" w:space="0" w:color="000000"/>
              <w:right w:val="single" w:sz="8" w:space="0" w:color="000000"/>
            </w:tcBorders>
            <w:shd w:val="clear" w:color="auto" w:fill="auto"/>
            <w:vAlign w:val="center"/>
          </w:tcPr>
          <w:p w14:paraId="5CCFA6A6" w14:textId="1F0C3FE0" w:rsidR="00A51696" w:rsidRPr="00A51696" w:rsidRDefault="00C42C10" w:rsidP="00C42C10">
            <w:pPr>
              <w:spacing w:line="240" w:lineRule="auto"/>
              <w:jc w:val="center"/>
            </w:pPr>
            <w:proofErr w:type="spellStart"/>
            <w:r>
              <w:t>xxxx</w:t>
            </w:r>
            <w:proofErr w:type="spellEnd"/>
          </w:p>
        </w:tc>
        <w:tc>
          <w:tcPr>
            <w:tcW w:w="1753" w:type="dxa"/>
            <w:tcBorders>
              <w:top w:val="nil"/>
              <w:left w:val="nil"/>
              <w:bottom w:val="single" w:sz="8" w:space="0" w:color="000000"/>
              <w:right w:val="single" w:sz="8" w:space="0" w:color="000000"/>
            </w:tcBorders>
            <w:shd w:val="clear" w:color="auto" w:fill="auto"/>
            <w:vAlign w:val="center"/>
          </w:tcPr>
          <w:p w14:paraId="253924B1" w14:textId="33FB3DF5" w:rsidR="00A51696" w:rsidRPr="00A51696" w:rsidRDefault="00C42C10" w:rsidP="00C42C10">
            <w:pPr>
              <w:spacing w:line="240" w:lineRule="auto"/>
              <w:jc w:val="center"/>
            </w:pPr>
            <w:proofErr w:type="spellStart"/>
            <w:r>
              <w:t>xxxx</w:t>
            </w:r>
            <w:proofErr w:type="spellEnd"/>
          </w:p>
        </w:tc>
      </w:tr>
    </w:tbl>
    <w:p w14:paraId="03389445" w14:textId="485D0F28" w:rsidR="00B23D81" w:rsidRDefault="00B23D81" w:rsidP="00023008"/>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17BDF">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917BDF">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478"/>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D3A"/>
    <w:rsid w:val="00917BDF"/>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51696"/>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42C10"/>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0DB4"/>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686099075">
      <w:bodyDiv w:val="1"/>
      <w:marLeft w:val="0"/>
      <w:marRight w:val="0"/>
      <w:marTop w:val="0"/>
      <w:marBottom w:val="0"/>
      <w:divBdr>
        <w:top w:val="none" w:sz="0" w:space="0" w:color="auto"/>
        <w:left w:val="none" w:sz="0" w:space="0" w:color="auto"/>
        <w:bottom w:val="none" w:sz="0" w:space="0" w:color="auto"/>
        <w:right w:val="none" w:sz="0" w:space="0" w:color="auto"/>
      </w:divBdr>
    </w:div>
    <w:div w:id="912162250">
      <w:bodyDiv w:val="1"/>
      <w:marLeft w:val="0"/>
      <w:marRight w:val="0"/>
      <w:marTop w:val="0"/>
      <w:marBottom w:val="0"/>
      <w:divBdr>
        <w:top w:val="none" w:sz="0" w:space="0" w:color="auto"/>
        <w:left w:val="none" w:sz="0" w:space="0" w:color="auto"/>
        <w:bottom w:val="none" w:sz="0" w:space="0" w:color="auto"/>
        <w:right w:val="none" w:sz="0" w:space="0" w:color="auto"/>
      </w:divBdr>
    </w:div>
    <w:div w:id="178167701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20048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78c52381-f758-41be-8546-d878b91803ec"/>
    <ds:schemaRef ds:uri="http://www.w3.org/XML/1998/namespace"/>
  </ds:schemaRefs>
</ds:datastoreItem>
</file>

<file path=customXml/itemProps4.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63BFF-E66C-484E-899C-A73F35CE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3632</Words>
  <Characters>21057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3</cp:revision>
  <cp:lastPrinted>2023-05-20T12:37:00Z</cp:lastPrinted>
  <dcterms:created xsi:type="dcterms:W3CDTF">2023-11-28T12:45:00Z</dcterms:created>
  <dcterms:modified xsi:type="dcterms:W3CDTF">2024-01-16T08:06:00Z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