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43" w:rsidRPr="007E5CB5" w:rsidRDefault="006305D6" w:rsidP="00703FE0">
      <w:pPr>
        <w:pStyle w:val="Default"/>
        <w:jc w:val="center"/>
        <w:rPr>
          <w:sz w:val="28"/>
          <w:szCs w:val="28"/>
        </w:rPr>
      </w:pPr>
      <w:r w:rsidRPr="007E5CB5">
        <w:rPr>
          <w:b/>
          <w:bCs/>
          <w:sz w:val="28"/>
          <w:szCs w:val="28"/>
        </w:rPr>
        <w:t xml:space="preserve">Dohoda o </w:t>
      </w:r>
      <w:r w:rsidR="00C408F6">
        <w:rPr>
          <w:b/>
          <w:bCs/>
          <w:sz w:val="28"/>
          <w:szCs w:val="28"/>
        </w:rPr>
        <w:t>uznání závazku</w:t>
      </w:r>
      <w:r w:rsidR="00D8050E">
        <w:rPr>
          <w:b/>
          <w:bCs/>
          <w:sz w:val="28"/>
          <w:szCs w:val="28"/>
        </w:rPr>
        <w:t xml:space="preserve"> a o vypořádání bezdůvodného obohacení</w:t>
      </w:r>
    </w:p>
    <w:p w:rsidR="002C3643" w:rsidRPr="007E5CB5" w:rsidRDefault="006305D6" w:rsidP="00703FE0">
      <w:pPr>
        <w:pStyle w:val="Default"/>
        <w:jc w:val="center"/>
        <w:rPr>
          <w:sz w:val="22"/>
          <w:szCs w:val="22"/>
        </w:rPr>
      </w:pPr>
      <w:r w:rsidRPr="007E5CB5">
        <w:rPr>
          <w:sz w:val="22"/>
          <w:szCs w:val="22"/>
        </w:rPr>
        <w:t>uzavřena dle § 1746 odst. 2 zákona č. 89/2012 Sb., občanský zákoník, ve znění pozdějších</w:t>
      </w:r>
    </w:p>
    <w:p w:rsidR="002C3643" w:rsidRPr="007E5CB5" w:rsidRDefault="006305D6" w:rsidP="00703FE0">
      <w:pPr>
        <w:pStyle w:val="Default"/>
        <w:jc w:val="center"/>
        <w:rPr>
          <w:sz w:val="22"/>
          <w:szCs w:val="22"/>
        </w:rPr>
      </w:pPr>
      <w:r w:rsidRPr="007E5CB5">
        <w:rPr>
          <w:sz w:val="22"/>
          <w:szCs w:val="22"/>
        </w:rPr>
        <w:t>předpisů (dále je „</w:t>
      </w:r>
      <w:r w:rsidRPr="007E5CB5">
        <w:rPr>
          <w:b/>
          <w:i/>
          <w:sz w:val="22"/>
          <w:szCs w:val="22"/>
        </w:rPr>
        <w:t>dohoda</w:t>
      </w:r>
      <w:r w:rsidRPr="007E5CB5">
        <w:rPr>
          <w:sz w:val="22"/>
          <w:szCs w:val="22"/>
        </w:rPr>
        <w:t>“)</w:t>
      </w:r>
    </w:p>
    <w:p w:rsidR="002C3643" w:rsidRDefault="006305D6" w:rsidP="00703FE0">
      <w:pPr>
        <w:pStyle w:val="Default"/>
        <w:rPr>
          <w:sz w:val="22"/>
          <w:szCs w:val="22"/>
        </w:rPr>
      </w:pPr>
      <w:r w:rsidRPr="007E5CB5">
        <w:rPr>
          <w:sz w:val="22"/>
          <w:szCs w:val="22"/>
        </w:rPr>
        <w:t xml:space="preserve"> </w:t>
      </w:r>
    </w:p>
    <w:p w:rsidR="00C408F6" w:rsidRPr="007E5CB5" w:rsidRDefault="00C408F6" w:rsidP="00703FE0">
      <w:pPr>
        <w:pStyle w:val="Default"/>
        <w:rPr>
          <w:sz w:val="22"/>
          <w:szCs w:val="22"/>
        </w:rPr>
      </w:pPr>
    </w:p>
    <w:p w:rsidR="002C3643" w:rsidRPr="007E5CB5" w:rsidRDefault="006305D6" w:rsidP="00703FE0">
      <w:pPr>
        <w:pStyle w:val="Default"/>
        <w:jc w:val="center"/>
        <w:rPr>
          <w:sz w:val="22"/>
          <w:szCs w:val="22"/>
        </w:rPr>
      </w:pPr>
      <w:r w:rsidRPr="007E5CB5">
        <w:rPr>
          <w:b/>
          <w:bCs/>
          <w:sz w:val="22"/>
          <w:szCs w:val="22"/>
        </w:rPr>
        <w:t>I.</w:t>
      </w:r>
    </w:p>
    <w:p w:rsidR="002C3643" w:rsidRDefault="006305D6" w:rsidP="00703FE0">
      <w:pPr>
        <w:pStyle w:val="Default"/>
        <w:jc w:val="center"/>
        <w:rPr>
          <w:b/>
          <w:bCs/>
          <w:sz w:val="22"/>
          <w:szCs w:val="22"/>
        </w:rPr>
      </w:pPr>
      <w:r w:rsidRPr="007E5CB5">
        <w:rPr>
          <w:b/>
          <w:bCs/>
          <w:sz w:val="22"/>
          <w:szCs w:val="22"/>
        </w:rPr>
        <w:t>Smluvní strany</w:t>
      </w:r>
    </w:p>
    <w:p w:rsidR="007E5CB5" w:rsidRPr="007E5CB5" w:rsidRDefault="007E5CB5" w:rsidP="00703FE0">
      <w:pPr>
        <w:pStyle w:val="Default"/>
        <w:jc w:val="center"/>
        <w:rPr>
          <w:sz w:val="22"/>
          <w:szCs w:val="22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168"/>
        <w:gridCol w:w="6012"/>
      </w:tblGrid>
      <w:tr w:rsidR="007E5CB5" w:rsidRPr="00A62F86" w:rsidTr="00052F00">
        <w:tc>
          <w:tcPr>
            <w:tcW w:w="3168" w:type="dxa"/>
          </w:tcPr>
          <w:p w:rsidR="007E5CB5" w:rsidRPr="00A62F86" w:rsidRDefault="00165C61" w:rsidP="00703FE0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Objednatel</w:t>
            </w:r>
            <w:r w:rsidR="007E5CB5" w:rsidRPr="00A62F86">
              <w:rPr>
                <w:rFonts w:eastAsia="Times New Roman" w:cs="Tahoma"/>
                <w:b/>
                <w:sz w:val="20"/>
                <w:szCs w:val="20"/>
              </w:rPr>
              <w:t>:</w:t>
            </w:r>
          </w:p>
        </w:tc>
        <w:tc>
          <w:tcPr>
            <w:tcW w:w="6012" w:type="dxa"/>
          </w:tcPr>
          <w:p w:rsidR="007E5CB5" w:rsidRPr="00A62F86" w:rsidRDefault="0022610C" w:rsidP="00703FE0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imesNewRomanPSMT"/>
                <w:bCs/>
                <w:sz w:val="20"/>
                <w:szCs w:val="20"/>
              </w:rPr>
              <w:t>Domov Sulická</w:t>
            </w:r>
          </w:p>
        </w:tc>
      </w:tr>
      <w:tr w:rsidR="007E5CB5" w:rsidRPr="00A62F86" w:rsidTr="00052F00">
        <w:tc>
          <w:tcPr>
            <w:tcW w:w="3168" w:type="dxa"/>
          </w:tcPr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A62F86">
              <w:rPr>
                <w:rFonts w:eastAsia="Times New Roman" w:cs="Tahoma"/>
                <w:sz w:val="20"/>
                <w:szCs w:val="20"/>
              </w:rPr>
              <w:t>Se sídlem:</w:t>
            </w:r>
          </w:p>
        </w:tc>
        <w:tc>
          <w:tcPr>
            <w:tcW w:w="6012" w:type="dxa"/>
          </w:tcPr>
          <w:p w:rsidR="007E5CB5" w:rsidRPr="00A62F86" w:rsidRDefault="0022610C" w:rsidP="00703FE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imesNewRomanPSMT"/>
                <w:bCs/>
                <w:sz w:val="20"/>
                <w:szCs w:val="20"/>
              </w:rPr>
              <w:t>Sulická 1597/48, 142 00 Praha 4</w:t>
            </w:r>
          </w:p>
        </w:tc>
      </w:tr>
      <w:tr w:rsidR="007E5CB5" w:rsidRPr="00A62F86" w:rsidTr="00052F00">
        <w:tc>
          <w:tcPr>
            <w:tcW w:w="3168" w:type="dxa"/>
            <w:vAlign w:val="center"/>
          </w:tcPr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A62F86">
              <w:rPr>
                <w:rFonts w:eastAsia="Times New Roman" w:cs="Tahoma"/>
                <w:sz w:val="20"/>
                <w:szCs w:val="20"/>
              </w:rPr>
              <w:t>Zastoupen:</w:t>
            </w:r>
          </w:p>
        </w:tc>
        <w:tc>
          <w:tcPr>
            <w:tcW w:w="6012" w:type="dxa"/>
          </w:tcPr>
          <w:p w:rsidR="007E5CB5" w:rsidRPr="00A62F86" w:rsidRDefault="0022610C" w:rsidP="00703FE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imesNewRomanPSMT"/>
                <w:bCs/>
                <w:sz w:val="20"/>
                <w:szCs w:val="20"/>
              </w:rPr>
              <w:t>Bc. Lenka Kohoutová</w:t>
            </w:r>
            <w:r w:rsidR="007E5CB5" w:rsidRPr="00A62F86">
              <w:rPr>
                <w:rFonts w:eastAsia="Times New Roman" w:cs="TimesNewRomanPSMT"/>
                <w:bCs/>
                <w:sz w:val="20"/>
                <w:szCs w:val="20"/>
              </w:rPr>
              <w:t>, ředitel</w:t>
            </w:r>
            <w:r>
              <w:rPr>
                <w:rFonts w:eastAsia="Times New Roman" w:cs="TimesNewRomanPSMT"/>
                <w:bCs/>
                <w:sz w:val="20"/>
                <w:szCs w:val="20"/>
              </w:rPr>
              <w:t>ka</w:t>
            </w:r>
          </w:p>
        </w:tc>
      </w:tr>
      <w:tr w:rsidR="007E5CB5" w:rsidRPr="00A62F86" w:rsidTr="00052F00">
        <w:tc>
          <w:tcPr>
            <w:tcW w:w="3168" w:type="dxa"/>
          </w:tcPr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A62F86">
              <w:rPr>
                <w:rFonts w:eastAsia="Times New Roman" w:cs="Tahoma"/>
                <w:sz w:val="20"/>
                <w:szCs w:val="20"/>
              </w:rPr>
              <w:t>IČO:</w:t>
            </w:r>
          </w:p>
        </w:tc>
        <w:tc>
          <w:tcPr>
            <w:tcW w:w="6012" w:type="dxa"/>
            <w:vAlign w:val="bottom"/>
          </w:tcPr>
          <w:p w:rsidR="007E5CB5" w:rsidRPr="00A62F86" w:rsidRDefault="0022610C" w:rsidP="00703FE0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70873046</w:t>
            </w:r>
          </w:p>
        </w:tc>
      </w:tr>
    </w:tbl>
    <w:p w:rsidR="007E5CB5" w:rsidRPr="00A62F86" w:rsidRDefault="007E5CB5" w:rsidP="00703FE0">
      <w:pPr>
        <w:widowControl w:val="0"/>
        <w:tabs>
          <w:tab w:val="left" w:pos="3175"/>
        </w:tabs>
        <w:spacing w:after="0" w:line="240" w:lineRule="auto"/>
        <w:jc w:val="both"/>
        <w:rPr>
          <w:rFonts w:eastAsia="Times New Roman" w:cs="Tahoma"/>
          <w:sz w:val="20"/>
          <w:szCs w:val="20"/>
        </w:rPr>
      </w:pPr>
    </w:p>
    <w:p w:rsidR="007E5CB5" w:rsidRPr="00A62F86" w:rsidRDefault="007E5CB5" w:rsidP="00703FE0">
      <w:pPr>
        <w:widowControl w:val="0"/>
        <w:tabs>
          <w:tab w:val="left" w:pos="3240"/>
        </w:tabs>
        <w:spacing w:before="120" w:after="0" w:line="240" w:lineRule="auto"/>
        <w:jc w:val="both"/>
        <w:rPr>
          <w:rFonts w:eastAsia="Times New Roman" w:cs="Tahoma"/>
          <w:sz w:val="20"/>
          <w:szCs w:val="20"/>
        </w:rPr>
      </w:pPr>
      <w:r w:rsidRPr="00A62F86">
        <w:rPr>
          <w:rFonts w:eastAsia="Times New Roman" w:cs="Tahoma"/>
          <w:sz w:val="20"/>
          <w:szCs w:val="20"/>
        </w:rPr>
        <w:t>(dále jen „</w:t>
      </w:r>
      <w:r w:rsidR="00165C61">
        <w:rPr>
          <w:rFonts w:eastAsia="Times New Roman" w:cs="Tahoma"/>
          <w:b/>
          <w:i/>
          <w:sz w:val="20"/>
          <w:szCs w:val="20"/>
        </w:rPr>
        <w:t>objednatel</w:t>
      </w:r>
      <w:r w:rsidR="0051133C">
        <w:rPr>
          <w:rFonts w:eastAsia="Times New Roman" w:cs="Tahoma"/>
          <w:sz w:val="20"/>
          <w:szCs w:val="20"/>
        </w:rPr>
        <w:t>“)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7E5CB5" w:rsidRPr="00A62F86" w:rsidTr="00052F00">
        <w:tc>
          <w:tcPr>
            <w:tcW w:w="3168" w:type="dxa"/>
          </w:tcPr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</w:p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</w:p>
          <w:p w:rsidR="007E5CB5" w:rsidRPr="00A62F86" w:rsidRDefault="00165C61" w:rsidP="00703FE0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Zhotovitel</w:t>
            </w:r>
            <w:r w:rsidR="007E5CB5" w:rsidRPr="00A62F86">
              <w:rPr>
                <w:rFonts w:eastAsia="Times New Roman" w:cs="Tahoma"/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</w:p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</w:p>
          <w:p w:rsidR="007E5CB5" w:rsidRPr="00940E4A" w:rsidRDefault="00DE7770" w:rsidP="00165C61">
            <w:pPr>
              <w:widowControl w:val="0"/>
              <w:spacing w:after="0" w:line="240" w:lineRule="auto"/>
              <w:rPr>
                <w:rFonts w:eastAsia="Times New Roman" w:cs="Tahoma"/>
                <w:bCs/>
                <w:sz w:val="20"/>
                <w:szCs w:val="20"/>
              </w:rPr>
            </w:pPr>
            <w:r w:rsidRPr="00DE7770">
              <w:rPr>
                <w:rFonts w:eastAsia="Times New Roman" w:cs="Tahoma"/>
                <w:bCs/>
                <w:sz w:val="20"/>
                <w:szCs w:val="20"/>
              </w:rPr>
              <w:t>PKP GLOBAL s.r.o.</w:t>
            </w:r>
          </w:p>
        </w:tc>
      </w:tr>
      <w:tr w:rsidR="007E5CB5" w:rsidRPr="00A62F86" w:rsidTr="00052F00">
        <w:tc>
          <w:tcPr>
            <w:tcW w:w="3168" w:type="dxa"/>
          </w:tcPr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A62F86">
              <w:rPr>
                <w:rFonts w:eastAsia="Times New Roman" w:cs="Tahoma"/>
                <w:sz w:val="20"/>
                <w:szCs w:val="20"/>
              </w:rPr>
              <w:t>Se sídlem:</w:t>
            </w:r>
          </w:p>
        </w:tc>
        <w:tc>
          <w:tcPr>
            <w:tcW w:w="6300" w:type="dxa"/>
          </w:tcPr>
          <w:p w:rsidR="007E5CB5" w:rsidRPr="00A62F86" w:rsidRDefault="00DE7770" w:rsidP="00DE777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DE7770">
              <w:rPr>
                <w:rFonts w:eastAsia="Times New Roman" w:cs="Tahoma"/>
                <w:sz w:val="20"/>
                <w:szCs w:val="20"/>
              </w:rPr>
              <w:t>Plzeňská 157/98, Košíře, 150 00 Praha</w:t>
            </w:r>
          </w:p>
        </w:tc>
      </w:tr>
      <w:tr w:rsidR="007E5CB5" w:rsidRPr="00A62F86" w:rsidTr="00052F00">
        <w:tc>
          <w:tcPr>
            <w:tcW w:w="3168" w:type="dxa"/>
          </w:tcPr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A62F86">
              <w:rPr>
                <w:rFonts w:eastAsia="Times New Roman" w:cs="Tahoma"/>
                <w:sz w:val="20"/>
                <w:szCs w:val="20"/>
              </w:rPr>
              <w:t>IČO:</w:t>
            </w:r>
          </w:p>
        </w:tc>
        <w:tc>
          <w:tcPr>
            <w:tcW w:w="6300" w:type="dxa"/>
          </w:tcPr>
          <w:p w:rsidR="007E5CB5" w:rsidRPr="00165C61" w:rsidRDefault="00DE7770" w:rsidP="00165C61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DE7770">
              <w:rPr>
                <w:rFonts w:eastAsia="Times New Roman" w:cs="Tahoma"/>
                <w:sz w:val="20"/>
                <w:szCs w:val="20"/>
              </w:rPr>
              <w:t>27119190</w:t>
            </w:r>
          </w:p>
        </w:tc>
      </w:tr>
      <w:tr w:rsidR="007E5CB5" w:rsidRPr="00A62F86" w:rsidTr="00052F00">
        <w:tc>
          <w:tcPr>
            <w:tcW w:w="3168" w:type="dxa"/>
          </w:tcPr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A62F86">
              <w:rPr>
                <w:rFonts w:eastAsia="Times New Roman" w:cs="Tahoma"/>
                <w:sz w:val="20"/>
                <w:szCs w:val="20"/>
              </w:rPr>
              <w:t>Zastoupen:</w:t>
            </w:r>
          </w:p>
        </w:tc>
        <w:tc>
          <w:tcPr>
            <w:tcW w:w="6300" w:type="dxa"/>
          </w:tcPr>
          <w:p w:rsidR="007E5CB5" w:rsidRPr="00A62F86" w:rsidRDefault="00440F91" w:rsidP="00440F91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Petr </w:t>
            </w:r>
            <w:proofErr w:type="spellStart"/>
            <w:r>
              <w:rPr>
                <w:rFonts w:eastAsia="Times New Roman" w:cs="Tahoma"/>
                <w:sz w:val="20"/>
                <w:szCs w:val="20"/>
              </w:rPr>
              <w:t>Přitasil</w:t>
            </w:r>
            <w:proofErr w:type="spellEnd"/>
            <w:r w:rsidR="0022610C">
              <w:rPr>
                <w:rFonts w:eastAsia="Times New Roman" w:cs="Tahoma"/>
                <w:sz w:val="20"/>
                <w:szCs w:val="20"/>
              </w:rPr>
              <w:t xml:space="preserve">, </w:t>
            </w:r>
            <w:r>
              <w:rPr>
                <w:rFonts w:eastAsia="Times New Roman" w:cs="Tahoma"/>
                <w:sz w:val="20"/>
                <w:szCs w:val="20"/>
              </w:rPr>
              <w:t>jednatel</w:t>
            </w:r>
          </w:p>
        </w:tc>
      </w:tr>
      <w:tr w:rsidR="007E5CB5" w:rsidRPr="00A62F86" w:rsidTr="00052F00">
        <w:tc>
          <w:tcPr>
            <w:tcW w:w="3168" w:type="dxa"/>
          </w:tcPr>
          <w:p w:rsidR="007E5CB5" w:rsidRPr="00A62F86" w:rsidRDefault="007E5CB5" w:rsidP="00703FE0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A62F86">
              <w:rPr>
                <w:rFonts w:eastAsia="Times New Roman" w:cs="Tahoma"/>
                <w:sz w:val="20"/>
                <w:szCs w:val="20"/>
              </w:rPr>
              <w:t xml:space="preserve">Zapsán v obch. </w:t>
            </w:r>
            <w:proofErr w:type="gramStart"/>
            <w:r w:rsidRPr="00A62F86">
              <w:rPr>
                <w:rFonts w:eastAsia="Times New Roman" w:cs="Tahoma"/>
                <w:sz w:val="20"/>
                <w:szCs w:val="20"/>
              </w:rPr>
              <w:t>rejstříku</w:t>
            </w:r>
            <w:proofErr w:type="gramEnd"/>
            <w:r w:rsidRPr="00A62F86">
              <w:rPr>
                <w:rFonts w:eastAsia="Times New Roman" w:cs="Tahoma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7E5CB5" w:rsidRPr="00A62F86" w:rsidRDefault="007E5CB5" w:rsidP="00440F91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940E4A">
              <w:rPr>
                <w:rFonts w:eastAsia="Times New Roman" w:cs="Tahoma"/>
                <w:sz w:val="20"/>
                <w:szCs w:val="20"/>
              </w:rPr>
              <w:t xml:space="preserve">u </w:t>
            </w:r>
            <w:r>
              <w:rPr>
                <w:rFonts w:eastAsia="Times New Roman" w:cs="Tahoma"/>
                <w:sz w:val="20"/>
                <w:szCs w:val="20"/>
              </w:rPr>
              <w:t>Městského</w:t>
            </w:r>
            <w:r w:rsidRPr="00940E4A">
              <w:rPr>
                <w:rFonts w:eastAsia="Times New Roman" w:cs="Tahoma"/>
                <w:sz w:val="20"/>
                <w:szCs w:val="20"/>
              </w:rPr>
              <w:t xml:space="preserve"> soudu v </w:t>
            </w:r>
            <w:r>
              <w:rPr>
                <w:rFonts w:eastAsia="Times New Roman" w:cs="Tahoma"/>
                <w:sz w:val="20"/>
                <w:szCs w:val="20"/>
              </w:rPr>
              <w:t>Praze</w:t>
            </w:r>
            <w:r w:rsidRPr="00940E4A">
              <w:rPr>
                <w:rFonts w:eastAsia="Times New Roman" w:cs="Tahoma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</w:rPr>
              <w:t xml:space="preserve">oddíl </w:t>
            </w:r>
            <w:r w:rsidR="00440F91">
              <w:rPr>
                <w:rFonts w:eastAsia="Times New Roman" w:cs="Tahoma"/>
                <w:sz w:val="20"/>
                <w:szCs w:val="20"/>
              </w:rPr>
              <w:t>C</w:t>
            </w:r>
            <w:r>
              <w:rPr>
                <w:rFonts w:eastAsia="Times New Roman" w:cs="Tahoma"/>
                <w:sz w:val="20"/>
                <w:szCs w:val="20"/>
              </w:rPr>
              <w:t>, vložka</w:t>
            </w:r>
            <w:r w:rsidRPr="00940E4A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440F91">
              <w:rPr>
                <w:rFonts w:eastAsia="Times New Roman" w:cs="Tahoma"/>
                <w:sz w:val="20"/>
                <w:szCs w:val="20"/>
              </w:rPr>
              <w:t>97712</w:t>
            </w:r>
          </w:p>
        </w:tc>
      </w:tr>
    </w:tbl>
    <w:p w:rsidR="002C3643" w:rsidRDefault="002C3643" w:rsidP="00703FE0">
      <w:pPr>
        <w:pStyle w:val="Default"/>
        <w:rPr>
          <w:sz w:val="22"/>
          <w:szCs w:val="22"/>
        </w:rPr>
      </w:pPr>
    </w:p>
    <w:p w:rsidR="0051133C" w:rsidRPr="00A62F86" w:rsidRDefault="0051133C" w:rsidP="0051133C">
      <w:pPr>
        <w:widowControl w:val="0"/>
        <w:tabs>
          <w:tab w:val="left" w:pos="3240"/>
        </w:tabs>
        <w:spacing w:before="120" w:after="0" w:line="240" w:lineRule="auto"/>
        <w:jc w:val="both"/>
        <w:rPr>
          <w:rFonts w:eastAsia="Times New Roman" w:cs="Tahoma"/>
          <w:sz w:val="20"/>
          <w:szCs w:val="20"/>
        </w:rPr>
      </w:pPr>
      <w:r w:rsidRPr="00A62F86">
        <w:rPr>
          <w:rFonts w:eastAsia="Times New Roman" w:cs="Tahoma"/>
          <w:sz w:val="20"/>
          <w:szCs w:val="20"/>
        </w:rPr>
        <w:t>(dále jen „</w:t>
      </w:r>
      <w:r w:rsidR="00165C61">
        <w:rPr>
          <w:rFonts w:eastAsia="Times New Roman" w:cs="Tahoma"/>
          <w:b/>
          <w:i/>
          <w:sz w:val="20"/>
          <w:szCs w:val="20"/>
        </w:rPr>
        <w:t>zhotovitel</w:t>
      </w:r>
      <w:r>
        <w:rPr>
          <w:rFonts w:eastAsia="Times New Roman" w:cs="Tahoma"/>
          <w:sz w:val="20"/>
          <w:szCs w:val="20"/>
        </w:rPr>
        <w:t>“)</w:t>
      </w:r>
    </w:p>
    <w:p w:rsidR="0051133C" w:rsidRPr="007E5CB5" w:rsidRDefault="0051133C" w:rsidP="00703FE0">
      <w:pPr>
        <w:pStyle w:val="Default"/>
        <w:rPr>
          <w:sz w:val="22"/>
          <w:szCs w:val="22"/>
        </w:rPr>
      </w:pPr>
    </w:p>
    <w:p w:rsidR="002C3643" w:rsidRPr="007E5CB5" w:rsidRDefault="006305D6" w:rsidP="00703FE0">
      <w:pPr>
        <w:pStyle w:val="Default"/>
        <w:jc w:val="center"/>
        <w:rPr>
          <w:sz w:val="22"/>
          <w:szCs w:val="22"/>
        </w:rPr>
      </w:pPr>
      <w:r w:rsidRPr="007E5CB5">
        <w:rPr>
          <w:b/>
          <w:bCs/>
          <w:sz w:val="22"/>
          <w:szCs w:val="22"/>
        </w:rPr>
        <w:t>II.</w:t>
      </w:r>
    </w:p>
    <w:p w:rsidR="002C3643" w:rsidRDefault="006305D6" w:rsidP="00703FE0">
      <w:pPr>
        <w:pStyle w:val="Default"/>
        <w:jc w:val="center"/>
        <w:rPr>
          <w:b/>
          <w:bCs/>
          <w:sz w:val="22"/>
          <w:szCs w:val="22"/>
        </w:rPr>
      </w:pPr>
      <w:r w:rsidRPr="007E5CB5">
        <w:rPr>
          <w:b/>
          <w:bCs/>
          <w:sz w:val="22"/>
          <w:szCs w:val="22"/>
        </w:rPr>
        <w:t>Základní ustanovení</w:t>
      </w:r>
    </w:p>
    <w:p w:rsidR="007E5CB5" w:rsidRPr="007E5CB5" w:rsidRDefault="007E5CB5" w:rsidP="00703FE0">
      <w:pPr>
        <w:pStyle w:val="Default"/>
        <w:jc w:val="center"/>
        <w:rPr>
          <w:sz w:val="22"/>
          <w:szCs w:val="22"/>
        </w:rPr>
      </w:pPr>
    </w:p>
    <w:p w:rsidR="00874B58" w:rsidRDefault="006305D6" w:rsidP="00874B58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sz w:val="22"/>
          <w:szCs w:val="22"/>
        </w:rPr>
      </w:pPr>
      <w:r w:rsidRPr="007E5CB5">
        <w:rPr>
          <w:sz w:val="22"/>
          <w:szCs w:val="22"/>
        </w:rPr>
        <w:t xml:space="preserve">Účastníci dohody </w:t>
      </w:r>
      <w:r w:rsidR="0022610C">
        <w:rPr>
          <w:sz w:val="22"/>
          <w:szCs w:val="22"/>
        </w:rPr>
        <w:t xml:space="preserve">uzavřeli dne </w:t>
      </w:r>
      <w:r w:rsidR="00440F91">
        <w:rPr>
          <w:sz w:val="22"/>
          <w:szCs w:val="22"/>
        </w:rPr>
        <w:t>3</w:t>
      </w:r>
      <w:r w:rsidR="00165C61">
        <w:rPr>
          <w:sz w:val="22"/>
          <w:szCs w:val="22"/>
        </w:rPr>
        <w:t>1</w:t>
      </w:r>
      <w:r w:rsidR="0022610C">
        <w:rPr>
          <w:sz w:val="22"/>
          <w:szCs w:val="22"/>
        </w:rPr>
        <w:t xml:space="preserve">. </w:t>
      </w:r>
      <w:r w:rsidR="00165C61">
        <w:rPr>
          <w:sz w:val="22"/>
          <w:szCs w:val="22"/>
        </w:rPr>
        <w:t>7</w:t>
      </w:r>
      <w:r w:rsidR="0022610C">
        <w:rPr>
          <w:sz w:val="22"/>
          <w:szCs w:val="22"/>
        </w:rPr>
        <w:t>. 201</w:t>
      </w:r>
      <w:r w:rsidR="00165C61">
        <w:rPr>
          <w:sz w:val="22"/>
          <w:szCs w:val="22"/>
        </w:rPr>
        <w:t>5</w:t>
      </w:r>
      <w:r w:rsidR="0022610C">
        <w:rPr>
          <w:sz w:val="22"/>
          <w:szCs w:val="22"/>
        </w:rPr>
        <w:t xml:space="preserve"> </w:t>
      </w:r>
      <w:r w:rsidR="00165C61">
        <w:rPr>
          <w:sz w:val="22"/>
          <w:szCs w:val="22"/>
        </w:rPr>
        <w:t>s</w:t>
      </w:r>
      <w:r w:rsidR="0022610C">
        <w:rPr>
          <w:sz w:val="22"/>
          <w:szCs w:val="22"/>
        </w:rPr>
        <w:t>mlouv</w:t>
      </w:r>
      <w:r w:rsidR="00440F91">
        <w:rPr>
          <w:sz w:val="22"/>
          <w:szCs w:val="22"/>
        </w:rPr>
        <w:t>u</w:t>
      </w:r>
      <w:r w:rsidR="0022610C">
        <w:rPr>
          <w:sz w:val="22"/>
          <w:szCs w:val="22"/>
        </w:rPr>
        <w:t xml:space="preserve"> o </w:t>
      </w:r>
      <w:r w:rsidR="00440F91">
        <w:rPr>
          <w:sz w:val="22"/>
          <w:szCs w:val="22"/>
        </w:rPr>
        <w:t xml:space="preserve">dílo, jejímž předmětem je sběr a likvidace odpadu </w:t>
      </w:r>
      <w:r w:rsidR="0022610C">
        <w:rPr>
          <w:sz w:val="22"/>
          <w:szCs w:val="22"/>
        </w:rPr>
        <w:t>(dále jen „</w:t>
      </w:r>
      <w:r w:rsidR="0022610C" w:rsidRPr="0022610C">
        <w:rPr>
          <w:b/>
          <w:i/>
          <w:sz w:val="22"/>
          <w:szCs w:val="22"/>
        </w:rPr>
        <w:t>Smlouv</w:t>
      </w:r>
      <w:r w:rsidR="00440F91">
        <w:rPr>
          <w:b/>
          <w:i/>
          <w:sz w:val="22"/>
          <w:szCs w:val="22"/>
        </w:rPr>
        <w:t>a</w:t>
      </w:r>
      <w:r w:rsidR="0022610C">
        <w:rPr>
          <w:sz w:val="22"/>
          <w:szCs w:val="22"/>
        </w:rPr>
        <w:t xml:space="preserve">“). Dne </w:t>
      </w:r>
      <w:r w:rsidR="00440F91">
        <w:rPr>
          <w:sz w:val="22"/>
          <w:szCs w:val="22"/>
        </w:rPr>
        <w:t>15</w:t>
      </w:r>
      <w:r w:rsidR="00836FCA">
        <w:rPr>
          <w:sz w:val="22"/>
          <w:szCs w:val="22"/>
        </w:rPr>
        <w:t xml:space="preserve">. </w:t>
      </w:r>
      <w:r w:rsidR="00440F91">
        <w:rPr>
          <w:sz w:val="22"/>
          <w:szCs w:val="22"/>
        </w:rPr>
        <w:t>8</w:t>
      </w:r>
      <w:r w:rsidR="00836FCA">
        <w:rPr>
          <w:sz w:val="22"/>
          <w:szCs w:val="22"/>
        </w:rPr>
        <w:t>. 20</w:t>
      </w:r>
      <w:r w:rsidR="00440F91">
        <w:rPr>
          <w:sz w:val="22"/>
          <w:szCs w:val="22"/>
        </w:rPr>
        <w:t>15</w:t>
      </w:r>
      <w:r w:rsidR="00836FCA">
        <w:rPr>
          <w:sz w:val="22"/>
          <w:szCs w:val="22"/>
        </w:rPr>
        <w:t xml:space="preserve"> pak smluvní strany uzavřely </w:t>
      </w:r>
      <w:r w:rsidR="00D8050E">
        <w:rPr>
          <w:sz w:val="22"/>
          <w:szCs w:val="22"/>
        </w:rPr>
        <w:t>k</w:t>
      </w:r>
      <w:r w:rsidR="00440F91">
        <w:rPr>
          <w:sz w:val="22"/>
          <w:szCs w:val="22"/>
        </w:rPr>
        <w:t>e Smlouvě dodatek č. 1.</w:t>
      </w:r>
      <w:r w:rsidR="00874B58">
        <w:rPr>
          <w:sz w:val="22"/>
          <w:szCs w:val="22"/>
        </w:rPr>
        <w:t xml:space="preserve"> </w:t>
      </w:r>
      <w:r w:rsidR="00874B58">
        <w:rPr>
          <w:sz w:val="22"/>
          <w:szCs w:val="22"/>
        </w:rPr>
        <w:t xml:space="preserve">Dne 1. </w:t>
      </w:r>
      <w:r w:rsidR="00874B58">
        <w:rPr>
          <w:sz w:val="22"/>
          <w:szCs w:val="22"/>
        </w:rPr>
        <w:t>6</w:t>
      </w:r>
      <w:r w:rsidR="00874B58">
        <w:rPr>
          <w:sz w:val="22"/>
          <w:szCs w:val="22"/>
        </w:rPr>
        <w:t>. 201</w:t>
      </w:r>
      <w:r w:rsidR="00874B58">
        <w:rPr>
          <w:sz w:val="22"/>
          <w:szCs w:val="22"/>
        </w:rPr>
        <w:t>6</w:t>
      </w:r>
      <w:r w:rsidR="00874B58">
        <w:rPr>
          <w:sz w:val="22"/>
          <w:szCs w:val="22"/>
        </w:rPr>
        <w:t xml:space="preserve"> pak smluvní strany uzavřely ke Smlouvě dodatek č. </w:t>
      </w:r>
      <w:r w:rsidR="00874B58">
        <w:rPr>
          <w:sz w:val="22"/>
          <w:szCs w:val="22"/>
        </w:rPr>
        <w:t>2</w:t>
      </w:r>
      <w:r w:rsidR="00874B58">
        <w:rPr>
          <w:sz w:val="22"/>
          <w:szCs w:val="22"/>
        </w:rPr>
        <w:t>.</w:t>
      </w:r>
      <w:r w:rsidR="00874B58">
        <w:rPr>
          <w:sz w:val="22"/>
          <w:szCs w:val="22"/>
        </w:rPr>
        <w:t xml:space="preserve"> </w:t>
      </w:r>
      <w:r w:rsidR="00874B58">
        <w:rPr>
          <w:sz w:val="22"/>
          <w:szCs w:val="22"/>
        </w:rPr>
        <w:t xml:space="preserve">Dne </w:t>
      </w:r>
      <w:r w:rsidR="00874B58">
        <w:rPr>
          <w:sz w:val="22"/>
          <w:szCs w:val="22"/>
        </w:rPr>
        <w:t>30</w:t>
      </w:r>
      <w:r w:rsidR="00874B58">
        <w:rPr>
          <w:sz w:val="22"/>
          <w:szCs w:val="22"/>
        </w:rPr>
        <w:t xml:space="preserve">. </w:t>
      </w:r>
      <w:r w:rsidR="00874B58">
        <w:rPr>
          <w:sz w:val="22"/>
          <w:szCs w:val="22"/>
        </w:rPr>
        <w:t>10</w:t>
      </w:r>
      <w:r w:rsidR="00874B58">
        <w:rPr>
          <w:sz w:val="22"/>
          <w:szCs w:val="22"/>
        </w:rPr>
        <w:t>. 20</w:t>
      </w:r>
      <w:r w:rsidR="00874B58">
        <w:rPr>
          <w:sz w:val="22"/>
          <w:szCs w:val="22"/>
        </w:rPr>
        <w:t>20</w:t>
      </w:r>
      <w:r w:rsidR="00874B58">
        <w:rPr>
          <w:sz w:val="22"/>
          <w:szCs w:val="22"/>
        </w:rPr>
        <w:t xml:space="preserve"> pak smluvní strany uzavřely ke Smlouvě dodatek č. </w:t>
      </w:r>
      <w:r w:rsidR="00874B58">
        <w:rPr>
          <w:sz w:val="22"/>
          <w:szCs w:val="22"/>
        </w:rPr>
        <w:t xml:space="preserve">3 </w:t>
      </w:r>
      <w:r w:rsidR="00874B58">
        <w:rPr>
          <w:sz w:val="22"/>
          <w:szCs w:val="22"/>
        </w:rPr>
        <w:t>(všechny uzavřené dodatky souhrnně dále jen „</w:t>
      </w:r>
      <w:r w:rsidR="00874B58" w:rsidRPr="00D8050E">
        <w:rPr>
          <w:b/>
          <w:i/>
          <w:sz w:val="22"/>
          <w:szCs w:val="22"/>
        </w:rPr>
        <w:t>Dodatky</w:t>
      </w:r>
      <w:r w:rsidR="00874B58">
        <w:rPr>
          <w:sz w:val="22"/>
          <w:szCs w:val="22"/>
        </w:rPr>
        <w:t>“).</w:t>
      </w:r>
      <w:r w:rsidR="00874B58">
        <w:rPr>
          <w:sz w:val="22"/>
          <w:szCs w:val="22"/>
        </w:rPr>
        <w:t xml:space="preserve"> Předmětem všech tří Dodatků je přitom rozšíření Smlouvy o poskytnutí nových služeb spolu s uvedením jejich cen.</w:t>
      </w:r>
    </w:p>
    <w:p w:rsidR="00836FCA" w:rsidRDefault="00836FCA" w:rsidP="00703FE0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Ačkoliv se n</w:t>
      </w:r>
      <w:r w:rsidR="00703FE0">
        <w:rPr>
          <w:sz w:val="22"/>
          <w:szCs w:val="22"/>
        </w:rPr>
        <w:t>a v</w:t>
      </w:r>
      <w:r w:rsidR="006305D6" w:rsidRPr="007E5CB5">
        <w:rPr>
          <w:sz w:val="22"/>
          <w:szCs w:val="22"/>
        </w:rPr>
        <w:t>ýše uveden</w:t>
      </w:r>
      <w:r w:rsidR="00874B58">
        <w:rPr>
          <w:sz w:val="22"/>
          <w:szCs w:val="22"/>
        </w:rPr>
        <w:t>ou</w:t>
      </w:r>
      <w:r w:rsidR="006305D6" w:rsidRPr="007E5CB5">
        <w:rPr>
          <w:sz w:val="22"/>
          <w:szCs w:val="22"/>
        </w:rPr>
        <w:t xml:space="preserve"> </w:t>
      </w:r>
      <w:r w:rsidR="00703FE0">
        <w:rPr>
          <w:sz w:val="22"/>
          <w:szCs w:val="22"/>
        </w:rPr>
        <w:t>Smlouv</w:t>
      </w:r>
      <w:r w:rsidR="00874B58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874B58">
        <w:rPr>
          <w:sz w:val="22"/>
          <w:szCs w:val="22"/>
        </w:rPr>
        <w:t xml:space="preserve">a na její dodatky č. 1  a č. 2 </w:t>
      </w:r>
      <w:r>
        <w:rPr>
          <w:sz w:val="22"/>
          <w:szCs w:val="22"/>
        </w:rPr>
        <w:t xml:space="preserve">nevztahovala povinnost </w:t>
      </w:r>
      <w:r w:rsidRPr="007E5CB5">
        <w:rPr>
          <w:sz w:val="22"/>
          <w:szCs w:val="22"/>
        </w:rPr>
        <w:t>uveřejnění prostřednictvím registru smluv v souladu se zákonem č. 340/2015 Sb., o zvláštních podmínkách účinnosti některých smluv, uveřejňování těchto smluv a o registru smluv (zákon o registru smluv), ve znění pozdějších předpisů (dále jen „</w:t>
      </w:r>
      <w:r w:rsidRPr="00836FCA">
        <w:rPr>
          <w:b/>
          <w:i/>
          <w:sz w:val="22"/>
          <w:szCs w:val="22"/>
        </w:rPr>
        <w:t>zákon o registru smluv</w:t>
      </w:r>
      <w:r w:rsidRPr="007E5CB5">
        <w:rPr>
          <w:sz w:val="22"/>
          <w:szCs w:val="22"/>
        </w:rPr>
        <w:t>“)</w:t>
      </w:r>
      <w:r>
        <w:rPr>
          <w:sz w:val="22"/>
          <w:szCs w:val="22"/>
        </w:rPr>
        <w:t>, neboť byl</w:t>
      </w:r>
      <w:r w:rsidR="00874B58">
        <w:rPr>
          <w:sz w:val="22"/>
          <w:szCs w:val="22"/>
        </w:rPr>
        <w:t>y</w:t>
      </w:r>
      <w:r>
        <w:rPr>
          <w:sz w:val="22"/>
          <w:szCs w:val="22"/>
        </w:rPr>
        <w:t xml:space="preserve"> uzavřen</w:t>
      </w:r>
      <w:r w:rsidR="00874B58">
        <w:rPr>
          <w:sz w:val="22"/>
          <w:szCs w:val="22"/>
        </w:rPr>
        <w:t>y</w:t>
      </w:r>
      <w:r>
        <w:rPr>
          <w:sz w:val="22"/>
          <w:szCs w:val="22"/>
        </w:rPr>
        <w:t xml:space="preserve"> ještě před účinnosti cit. </w:t>
      </w:r>
      <w:proofErr w:type="gramStart"/>
      <w:r>
        <w:rPr>
          <w:sz w:val="22"/>
          <w:szCs w:val="22"/>
        </w:rPr>
        <w:t>zákona</w:t>
      </w:r>
      <w:proofErr w:type="gramEnd"/>
      <w:r w:rsidR="00874B58">
        <w:rPr>
          <w:sz w:val="22"/>
          <w:szCs w:val="22"/>
        </w:rPr>
        <w:t xml:space="preserve">, </w:t>
      </w:r>
      <w:r>
        <w:rPr>
          <w:sz w:val="22"/>
          <w:szCs w:val="22"/>
        </w:rPr>
        <w:t>Dod</w:t>
      </w:r>
      <w:r w:rsidR="00D8050E">
        <w:rPr>
          <w:sz w:val="22"/>
          <w:szCs w:val="22"/>
        </w:rPr>
        <w:t>at</w:t>
      </w:r>
      <w:r w:rsidR="00874B58">
        <w:rPr>
          <w:sz w:val="22"/>
          <w:szCs w:val="22"/>
        </w:rPr>
        <w:t>e</w:t>
      </w:r>
      <w:r>
        <w:rPr>
          <w:sz w:val="22"/>
          <w:szCs w:val="22"/>
        </w:rPr>
        <w:t>k</w:t>
      </w:r>
      <w:r w:rsidR="00874B58">
        <w:rPr>
          <w:sz w:val="22"/>
          <w:szCs w:val="22"/>
        </w:rPr>
        <w:t xml:space="preserve"> č. 3</w:t>
      </w:r>
      <w:r>
        <w:rPr>
          <w:sz w:val="22"/>
          <w:szCs w:val="22"/>
        </w:rPr>
        <w:t xml:space="preserve"> již uveřejněn</w:t>
      </w:r>
      <w:r w:rsidR="00D8050E">
        <w:rPr>
          <w:sz w:val="22"/>
          <w:szCs w:val="22"/>
        </w:rPr>
        <w:t>y</w:t>
      </w:r>
      <w:r>
        <w:rPr>
          <w:sz w:val="22"/>
          <w:szCs w:val="22"/>
        </w:rPr>
        <w:t xml:space="preserve"> v Registru smluv být měl. V těchto </w:t>
      </w:r>
      <w:r w:rsidR="00C408F6">
        <w:rPr>
          <w:sz w:val="22"/>
          <w:szCs w:val="22"/>
        </w:rPr>
        <w:t>specifických</w:t>
      </w:r>
      <w:r>
        <w:rPr>
          <w:sz w:val="22"/>
          <w:szCs w:val="22"/>
        </w:rPr>
        <w:t xml:space="preserve"> případech pak platí, že vztahuje-li se na dodatek ke smlouvě povinnost jeho uveřejnění v Registru smluv, ačkoliv na původní smlouvu se tato povinnost nevztahovala, uveřejní se v registru smluv spolu s dodatkem i původní smlouva</w:t>
      </w:r>
      <w:r w:rsidR="00874B58">
        <w:rPr>
          <w:sz w:val="22"/>
          <w:szCs w:val="22"/>
        </w:rPr>
        <w:t xml:space="preserve"> (včetně všech jejich neuveřejněných dodatků)</w:t>
      </w:r>
      <w:r>
        <w:rPr>
          <w:sz w:val="22"/>
          <w:szCs w:val="22"/>
        </w:rPr>
        <w:t>.</w:t>
      </w:r>
    </w:p>
    <w:p w:rsidR="002C3643" w:rsidRPr="00C408F6" w:rsidRDefault="006305D6" w:rsidP="00703FE0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sz w:val="22"/>
          <w:szCs w:val="22"/>
        </w:rPr>
      </w:pPr>
      <w:r w:rsidRPr="00C408F6">
        <w:rPr>
          <w:sz w:val="22"/>
          <w:szCs w:val="22"/>
        </w:rPr>
        <w:t xml:space="preserve">Vzhledem ke skutečnosti, že </w:t>
      </w:r>
      <w:r w:rsidR="00836FCA" w:rsidRPr="00C408F6">
        <w:rPr>
          <w:sz w:val="22"/>
          <w:szCs w:val="22"/>
        </w:rPr>
        <w:t>Dodat</w:t>
      </w:r>
      <w:r w:rsidR="00874B58">
        <w:rPr>
          <w:sz w:val="22"/>
          <w:szCs w:val="22"/>
        </w:rPr>
        <w:t>ek č. 3</w:t>
      </w:r>
      <w:r w:rsidR="00836FCA" w:rsidRPr="00C408F6">
        <w:rPr>
          <w:sz w:val="22"/>
          <w:szCs w:val="22"/>
        </w:rPr>
        <w:t xml:space="preserve"> nebyl z důvodu opomenutí uveřejněn v Registru smluv a s ním pak ani původní Smlouv</w:t>
      </w:r>
      <w:r w:rsidR="00874B58">
        <w:rPr>
          <w:sz w:val="22"/>
          <w:szCs w:val="22"/>
        </w:rPr>
        <w:t>a včetně předchozích dodatků</w:t>
      </w:r>
      <w:r w:rsidRPr="00C408F6">
        <w:rPr>
          <w:sz w:val="22"/>
          <w:szCs w:val="22"/>
        </w:rPr>
        <w:t xml:space="preserve">, </w:t>
      </w:r>
      <w:r w:rsidR="00836FCA" w:rsidRPr="00C408F6">
        <w:rPr>
          <w:sz w:val="22"/>
          <w:szCs w:val="22"/>
        </w:rPr>
        <w:t>platí, že Dodat</w:t>
      </w:r>
      <w:r w:rsidR="00874B58">
        <w:rPr>
          <w:sz w:val="22"/>
          <w:szCs w:val="22"/>
        </w:rPr>
        <w:t>ek č. 3</w:t>
      </w:r>
      <w:r w:rsidR="00836FCA" w:rsidRPr="00C408F6">
        <w:rPr>
          <w:sz w:val="22"/>
          <w:szCs w:val="22"/>
        </w:rPr>
        <w:t xml:space="preserve"> </w:t>
      </w:r>
      <w:r w:rsidR="00874B58">
        <w:rPr>
          <w:sz w:val="22"/>
          <w:szCs w:val="22"/>
        </w:rPr>
        <w:t>je</w:t>
      </w:r>
      <w:r w:rsidRPr="00C408F6">
        <w:rPr>
          <w:sz w:val="22"/>
          <w:szCs w:val="22"/>
        </w:rPr>
        <w:t xml:space="preserve"> zrušen</w:t>
      </w:r>
      <w:r w:rsidR="00874B58">
        <w:rPr>
          <w:sz w:val="22"/>
          <w:szCs w:val="22"/>
        </w:rPr>
        <w:t xml:space="preserve"> </w:t>
      </w:r>
      <w:r w:rsidRPr="00C408F6">
        <w:rPr>
          <w:sz w:val="22"/>
          <w:szCs w:val="22"/>
        </w:rPr>
        <w:t xml:space="preserve">od počátku podle § 7 </w:t>
      </w:r>
      <w:r w:rsidR="00D8050E">
        <w:rPr>
          <w:sz w:val="22"/>
          <w:szCs w:val="22"/>
        </w:rPr>
        <w:t xml:space="preserve">odst. 1 zákona o registru smluv </w:t>
      </w:r>
      <w:r w:rsidR="00D8050E" w:rsidRPr="007E5CB5">
        <w:rPr>
          <w:sz w:val="22"/>
          <w:szCs w:val="22"/>
        </w:rPr>
        <w:t>a plnění z</w:t>
      </w:r>
      <w:r w:rsidR="00D8050E">
        <w:rPr>
          <w:sz w:val="22"/>
          <w:szCs w:val="22"/>
        </w:rPr>
        <w:t> t</w:t>
      </w:r>
      <w:r w:rsidR="00874B58">
        <w:rPr>
          <w:sz w:val="22"/>
          <w:szCs w:val="22"/>
        </w:rPr>
        <w:t>ohoto</w:t>
      </w:r>
      <w:r w:rsidR="00D8050E">
        <w:rPr>
          <w:sz w:val="22"/>
          <w:szCs w:val="22"/>
        </w:rPr>
        <w:t xml:space="preserve"> Dodatk</w:t>
      </w:r>
      <w:r w:rsidR="00874B58">
        <w:rPr>
          <w:sz w:val="22"/>
          <w:szCs w:val="22"/>
        </w:rPr>
        <w:t>u</w:t>
      </w:r>
      <w:r w:rsidR="00D8050E" w:rsidRPr="007E5CB5">
        <w:rPr>
          <w:sz w:val="22"/>
          <w:szCs w:val="22"/>
        </w:rPr>
        <w:t xml:space="preserve"> se tak stává bezdůvodným obohacením, protože bylo plněno bez právního důvodu.</w:t>
      </w:r>
    </w:p>
    <w:p w:rsidR="002C3643" w:rsidRPr="007E5CB5" w:rsidRDefault="006305D6" w:rsidP="00703FE0">
      <w:pPr>
        <w:pStyle w:val="Default"/>
        <w:jc w:val="center"/>
        <w:rPr>
          <w:sz w:val="22"/>
          <w:szCs w:val="22"/>
        </w:rPr>
      </w:pPr>
      <w:r w:rsidRPr="007E5CB5">
        <w:rPr>
          <w:b/>
          <w:bCs/>
          <w:sz w:val="22"/>
          <w:szCs w:val="22"/>
        </w:rPr>
        <w:t>III.</w:t>
      </w:r>
    </w:p>
    <w:p w:rsidR="002C3643" w:rsidRDefault="006305D6" w:rsidP="00703FE0">
      <w:pPr>
        <w:pStyle w:val="Default"/>
        <w:jc w:val="center"/>
        <w:rPr>
          <w:b/>
          <w:bCs/>
          <w:sz w:val="22"/>
          <w:szCs w:val="22"/>
        </w:rPr>
      </w:pPr>
      <w:r w:rsidRPr="007E5CB5">
        <w:rPr>
          <w:b/>
          <w:bCs/>
          <w:sz w:val="22"/>
          <w:szCs w:val="22"/>
        </w:rPr>
        <w:t>Předmět dohody</w:t>
      </w:r>
    </w:p>
    <w:p w:rsidR="00703FE0" w:rsidRPr="007E5CB5" w:rsidRDefault="00703FE0" w:rsidP="00703FE0">
      <w:pPr>
        <w:pStyle w:val="Default"/>
        <w:jc w:val="center"/>
        <w:rPr>
          <w:sz w:val="22"/>
          <w:szCs w:val="22"/>
        </w:rPr>
      </w:pPr>
    </w:p>
    <w:p w:rsidR="00D8050E" w:rsidRPr="00874B58" w:rsidRDefault="00D8050E" w:rsidP="00874B58">
      <w:pPr>
        <w:pStyle w:val="Default"/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7E5CB5">
        <w:rPr>
          <w:sz w:val="22"/>
          <w:szCs w:val="22"/>
        </w:rPr>
        <w:t xml:space="preserve">S ohledem na to, </w:t>
      </w:r>
      <w:r>
        <w:rPr>
          <w:sz w:val="22"/>
          <w:szCs w:val="22"/>
        </w:rPr>
        <w:t>že již došlo k plnění předmětu Smluv</w:t>
      </w:r>
      <w:r w:rsidRPr="007E5CB5">
        <w:rPr>
          <w:sz w:val="22"/>
          <w:szCs w:val="22"/>
        </w:rPr>
        <w:t xml:space="preserve"> </w:t>
      </w:r>
      <w:r>
        <w:rPr>
          <w:sz w:val="22"/>
          <w:szCs w:val="22"/>
        </w:rPr>
        <w:t>ve znění Dodatk</w:t>
      </w:r>
      <w:r w:rsidR="00874B58">
        <w:rPr>
          <w:sz w:val="22"/>
          <w:szCs w:val="22"/>
        </w:rPr>
        <w:t>u č. 3</w:t>
      </w:r>
      <w:r>
        <w:rPr>
          <w:sz w:val="22"/>
          <w:szCs w:val="22"/>
        </w:rPr>
        <w:t xml:space="preserve"> </w:t>
      </w:r>
      <w:r w:rsidRPr="007E5CB5">
        <w:rPr>
          <w:sz w:val="22"/>
          <w:szCs w:val="22"/>
        </w:rPr>
        <w:t xml:space="preserve">tak, že </w:t>
      </w:r>
      <w:r>
        <w:rPr>
          <w:sz w:val="22"/>
          <w:szCs w:val="22"/>
        </w:rPr>
        <w:t xml:space="preserve">zhotovitel již poskytl objednateli služby </w:t>
      </w:r>
      <w:r w:rsidR="00874B58">
        <w:rPr>
          <w:sz w:val="22"/>
          <w:szCs w:val="22"/>
        </w:rPr>
        <w:t xml:space="preserve">sběru a likvidace odpadu </w:t>
      </w:r>
      <w:proofErr w:type="spellStart"/>
      <w:r w:rsidR="00874B58">
        <w:rPr>
          <w:sz w:val="22"/>
          <w:szCs w:val="22"/>
        </w:rPr>
        <w:t>Covid</w:t>
      </w:r>
      <w:proofErr w:type="spellEnd"/>
      <w:r w:rsidR="00874B58">
        <w:rPr>
          <w:sz w:val="22"/>
          <w:szCs w:val="22"/>
        </w:rPr>
        <w:t>, kód odpadu 18 01 03, a tyto mu vyúčtoval dle cen uvedených v</w:t>
      </w:r>
      <w:r w:rsidRPr="00874B58">
        <w:rPr>
          <w:sz w:val="22"/>
          <w:szCs w:val="22"/>
        </w:rPr>
        <w:t xml:space="preserve"> Dodatk</w:t>
      </w:r>
      <w:r w:rsidR="00874B58">
        <w:rPr>
          <w:sz w:val="22"/>
          <w:szCs w:val="22"/>
        </w:rPr>
        <w:t>u č. 3</w:t>
      </w:r>
      <w:r w:rsidRPr="00874B58">
        <w:rPr>
          <w:sz w:val="22"/>
          <w:szCs w:val="22"/>
        </w:rPr>
        <w:t xml:space="preserve">, a zároveň </w:t>
      </w:r>
      <w:r w:rsidRPr="00874B58">
        <w:rPr>
          <w:sz w:val="22"/>
          <w:szCs w:val="22"/>
        </w:rPr>
        <w:t>objednatel</w:t>
      </w:r>
      <w:r w:rsidRPr="00874B58">
        <w:rPr>
          <w:sz w:val="22"/>
          <w:szCs w:val="22"/>
        </w:rPr>
        <w:t xml:space="preserve"> zaplatil </w:t>
      </w:r>
      <w:r w:rsidRPr="00874B58">
        <w:rPr>
          <w:sz w:val="22"/>
          <w:szCs w:val="22"/>
        </w:rPr>
        <w:t>zhotoviteli</w:t>
      </w:r>
      <w:r w:rsidRPr="00874B58">
        <w:rPr>
          <w:sz w:val="22"/>
          <w:szCs w:val="22"/>
        </w:rPr>
        <w:t xml:space="preserve"> </w:t>
      </w:r>
      <w:r w:rsidR="00874B58">
        <w:rPr>
          <w:sz w:val="22"/>
          <w:szCs w:val="22"/>
        </w:rPr>
        <w:t xml:space="preserve">za tyto </w:t>
      </w:r>
      <w:r w:rsidR="00874B58">
        <w:rPr>
          <w:sz w:val="22"/>
          <w:szCs w:val="22"/>
        </w:rPr>
        <w:lastRenderedPageBreak/>
        <w:t>služby</w:t>
      </w:r>
      <w:r w:rsidRPr="00874B58">
        <w:rPr>
          <w:sz w:val="22"/>
          <w:szCs w:val="22"/>
        </w:rPr>
        <w:t>, se smluvní strany dohodly, že si ponechají již poskytnutá plnění vyplývající</w:t>
      </w:r>
      <w:r w:rsidRPr="00874B58">
        <w:rPr>
          <w:sz w:val="22"/>
          <w:szCs w:val="22"/>
        </w:rPr>
        <w:t>ch</w:t>
      </w:r>
      <w:r w:rsidRPr="00874B58">
        <w:rPr>
          <w:sz w:val="22"/>
          <w:szCs w:val="22"/>
        </w:rPr>
        <w:t xml:space="preserve"> ze Sml</w:t>
      </w:r>
      <w:r w:rsidR="00874B58">
        <w:rPr>
          <w:sz w:val="22"/>
          <w:szCs w:val="22"/>
        </w:rPr>
        <w:t>o</w:t>
      </w:r>
      <w:r w:rsidRPr="00874B58">
        <w:rPr>
          <w:sz w:val="22"/>
          <w:szCs w:val="22"/>
        </w:rPr>
        <w:t>uv</w:t>
      </w:r>
      <w:r w:rsidR="00874B58">
        <w:rPr>
          <w:sz w:val="22"/>
          <w:szCs w:val="22"/>
        </w:rPr>
        <w:t>y</w:t>
      </w:r>
      <w:r w:rsidRPr="00874B58">
        <w:rPr>
          <w:sz w:val="22"/>
          <w:szCs w:val="22"/>
        </w:rPr>
        <w:t xml:space="preserve"> ve znění Dodatků</w:t>
      </w:r>
      <w:r w:rsidRPr="00874B58">
        <w:rPr>
          <w:sz w:val="22"/>
          <w:szCs w:val="22"/>
        </w:rPr>
        <w:t xml:space="preserve">, a tímto si vzájemně vypořádávají své nároky na vydání bezdůvodného obohacení. </w:t>
      </w:r>
    </w:p>
    <w:p w:rsidR="00D8050E" w:rsidRDefault="00D8050E" w:rsidP="00D8050E">
      <w:pPr>
        <w:pStyle w:val="Default"/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7E5CB5">
        <w:rPr>
          <w:sz w:val="22"/>
          <w:szCs w:val="22"/>
        </w:rPr>
        <w:t xml:space="preserve">Každá smluvní strana prohlašuje, že se neobohatila na úkor druhé smluvní strany a jednala v dobré víře. </w:t>
      </w:r>
    </w:p>
    <w:p w:rsidR="00C408F6" w:rsidRDefault="00D8050E" w:rsidP="00D8050E">
      <w:pPr>
        <w:pStyle w:val="Default"/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D8050E">
        <w:rPr>
          <w:sz w:val="22"/>
          <w:szCs w:val="22"/>
        </w:rPr>
        <w:t xml:space="preserve">Účastníci dohody shodně konstatují, že </w:t>
      </w:r>
      <w:r w:rsidRPr="00D8050E">
        <w:rPr>
          <w:sz w:val="22"/>
          <w:szCs w:val="22"/>
        </w:rPr>
        <w:t xml:space="preserve">pokud jde o </w:t>
      </w:r>
      <w:r>
        <w:rPr>
          <w:sz w:val="22"/>
          <w:szCs w:val="22"/>
        </w:rPr>
        <w:t xml:space="preserve">již </w:t>
      </w:r>
      <w:r w:rsidRPr="00D8050E">
        <w:rPr>
          <w:sz w:val="22"/>
          <w:szCs w:val="22"/>
        </w:rPr>
        <w:t xml:space="preserve">poskytnutá plnění podle Smluv ve znění Dodatků, </w:t>
      </w:r>
      <w:r w:rsidRPr="00D8050E">
        <w:rPr>
          <w:sz w:val="22"/>
          <w:szCs w:val="22"/>
        </w:rPr>
        <w:t xml:space="preserve">budou veškeré </w:t>
      </w:r>
      <w:r w:rsidRPr="00D8050E">
        <w:rPr>
          <w:sz w:val="22"/>
          <w:szCs w:val="22"/>
        </w:rPr>
        <w:t>tyto</w:t>
      </w:r>
      <w:r w:rsidRPr="00D8050E">
        <w:rPr>
          <w:sz w:val="22"/>
          <w:szCs w:val="22"/>
        </w:rPr>
        <w:t xml:space="preserve"> vzájemné závazky a pohledávky vyplývající ze Smluv uvedených v</w:t>
      </w:r>
      <w:r>
        <w:rPr>
          <w:sz w:val="22"/>
          <w:szCs w:val="22"/>
        </w:rPr>
        <w:t> </w:t>
      </w:r>
      <w:r w:rsidRPr="00D8050E">
        <w:rPr>
          <w:sz w:val="22"/>
          <w:szCs w:val="22"/>
        </w:rPr>
        <w:t>čl</w:t>
      </w:r>
      <w:r>
        <w:rPr>
          <w:sz w:val="22"/>
          <w:szCs w:val="22"/>
        </w:rPr>
        <w:t>.</w:t>
      </w:r>
      <w:r w:rsidRPr="00D8050E">
        <w:rPr>
          <w:sz w:val="22"/>
          <w:szCs w:val="22"/>
        </w:rPr>
        <w:t xml:space="preserve"> II. odst. 1 této dohody </w:t>
      </w:r>
      <w:r>
        <w:rPr>
          <w:sz w:val="22"/>
          <w:szCs w:val="22"/>
        </w:rPr>
        <w:t xml:space="preserve">zcela vypořádané. </w:t>
      </w:r>
      <w:r w:rsidR="00C408F6" w:rsidRPr="00D8050E">
        <w:rPr>
          <w:sz w:val="22"/>
          <w:szCs w:val="22"/>
        </w:rPr>
        <w:t xml:space="preserve">Smluvní strany </w:t>
      </w:r>
      <w:r>
        <w:rPr>
          <w:sz w:val="22"/>
          <w:szCs w:val="22"/>
        </w:rPr>
        <w:t xml:space="preserve">pak dále </w:t>
      </w:r>
      <w:r w:rsidR="00C408F6" w:rsidRPr="00D8050E">
        <w:rPr>
          <w:sz w:val="22"/>
          <w:szCs w:val="22"/>
        </w:rPr>
        <w:t xml:space="preserve">za účelem nápravy skutečností, jež jsou uvedeny v čl. II </w:t>
      </w:r>
      <w:proofErr w:type="gramStart"/>
      <w:r w:rsidR="00C408F6" w:rsidRPr="00D8050E">
        <w:rPr>
          <w:sz w:val="22"/>
          <w:szCs w:val="22"/>
        </w:rPr>
        <w:t>této</w:t>
      </w:r>
      <w:proofErr w:type="gramEnd"/>
      <w:r w:rsidR="00C408F6" w:rsidRPr="00D8050E">
        <w:rPr>
          <w:sz w:val="22"/>
          <w:szCs w:val="22"/>
        </w:rPr>
        <w:t xml:space="preserve"> dohody, uznávají zpětně platnost Dodatk</w:t>
      </w:r>
      <w:r w:rsidR="006600A4">
        <w:rPr>
          <w:sz w:val="22"/>
          <w:szCs w:val="22"/>
        </w:rPr>
        <w:t>u č. 3</w:t>
      </w:r>
      <w:r w:rsidR="00C408F6" w:rsidRPr="00D8050E">
        <w:rPr>
          <w:sz w:val="22"/>
          <w:szCs w:val="22"/>
        </w:rPr>
        <w:t>, a za tímto účelem deklarují svou vůli být zavázán</w:t>
      </w:r>
      <w:r>
        <w:rPr>
          <w:sz w:val="22"/>
          <w:szCs w:val="22"/>
        </w:rPr>
        <w:t>i</w:t>
      </w:r>
      <w:r w:rsidR="00C408F6" w:rsidRPr="00D8050E">
        <w:rPr>
          <w:sz w:val="22"/>
          <w:szCs w:val="22"/>
        </w:rPr>
        <w:t xml:space="preserve"> v rozsahu Dodatk</w:t>
      </w:r>
      <w:r w:rsidR="006600A4">
        <w:rPr>
          <w:sz w:val="22"/>
          <w:szCs w:val="22"/>
        </w:rPr>
        <w:t>u č. 3</w:t>
      </w:r>
      <w:r w:rsidR="00C408F6" w:rsidRPr="00D8050E">
        <w:rPr>
          <w:sz w:val="22"/>
          <w:szCs w:val="22"/>
        </w:rPr>
        <w:t xml:space="preserve"> i do budoucna. Smluvní strany za tímto účelem činí Dodat</w:t>
      </w:r>
      <w:r>
        <w:rPr>
          <w:sz w:val="22"/>
          <w:szCs w:val="22"/>
        </w:rPr>
        <w:t>ky</w:t>
      </w:r>
      <w:r w:rsidR="00C408F6" w:rsidRPr="00D8050E">
        <w:rPr>
          <w:sz w:val="22"/>
          <w:szCs w:val="22"/>
        </w:rPr>
        <w:t xml:space="preserve"> spolu s</w:t>
      </w:r>
      <w:r>
        <w:rPr>
          <w:sz w:val="22"/>
          <w:szCs w:val="22"/>
        </w:rPr>
        <w:t> </w:t>
      </w:r>
      <w:r w:rsidR="00C408F6" w:rsidRPr="00D8050E">
        <w:rPr>
          <w:sz w:val="22"/>
          <w:szCs w:val="22"/>
        </w:rPr>
        <w:t>původní</w:t>
      </w:r>
      <w:r>
        <w:rPr>
          <w:sz w:val="22"/>
          <w:szCs w:val="22"/>
        </w:rPr>
        <w:t xml:space="preserve">mi Smlouvami </w:t>
      </w:r>
      <w:r w:rsidR="00C408F6" w:rsidRPr="00D8050E">
        <w:rPr>
          <w:sz w:val="22"/>
          <w:szCs w:val="22"/>
        </w:rPr>
        <w:t>přílohou této dohody a dodatečně je tak spolu s touto dohodou uveřejňují v </w:t>
      </w:r>
      <w:r>
        <w:rPr>
          <w:sz w:val="22"/>
          <w:szCs w:val="22"/>
        </w:rPr>
        <w:t>R</w:t>
      </w:r>
      <w:r w:rsidR="00C408F6" w:rsidRPr="00D8050E">
        <w:rPr>
          <w:sz w:val="22"/>
          <w:szCs w:val="22"/>
        </w:rPr>
        <w:t xml:space="preserve">egistru </w:t>
      </w:r>
      <w:r w:rsidR="006600A4">
        <w:rPr>
          <w:sz w:val="22"/>
          <w:szCs w:val="22"/>
        </w:rPr>
        <w:t>smluv.</w:t>
      </w:r>
    </w:p>
    <w:p w:rsidR="006600A4" w:rsidRPr="00D8050E" w:rsidRDefault="006600A4" w:rsidP="006600A4">
      <w:pPr>
        <w:pStyle w:val="Default"/>
        <w:spacing w:after="120"/>
        <w:ind w:left="425"/>
        <w:jc w:val="both"/>
        <w:rPr>
          <w:sz w:val="22"/>
          <w:szCs w:val="22"/>
        </w:rPr>
      </w:pPr>
    </w:p>
    <w:p w:rsidR="002C3643" w:rsidRPr="007E5CB5" w:rsidRDefault="006305D6" w:rsidP="00C87930">
      <w:pPr>
        <w:pStyle w:val="Default"/>
        <w:jc w:val="center"/>
        <w:rPr>
          <w:sz w:val="22"/>
          <w:szCs w:val="22"/>
        </w:rPr>
      </w:pPr>
      <w:r w:rsidRPr="007E5CB5">
        <w:rPr>
          <w:b/>
          <w:bCs/>
          <w:sz w:val="22"/>
          <w:szCs w:val="22"/>
        </w:rPr>
        <w:t>IV.</w:t>
      </w:r>
    </w:p>
    <w:p w:rsidR="002C3643" w:rsidRDefault="006305D6" w:rsidP="00C87930">
      <w:pPr>
        <w:pStyle w:val="Default"/>
        <w:jc w:val="center"/>
        <w:rPr>
          <w:b/>
          <w:bCs/>
          <w:sz w:val="22"/>
          <w:szCs w:val="22"/>
        </w:rPr>
      </w:pPr>
      <w:r w:rsidRPr="007E5CB5">
        <w:rPr>
          <w:b/>
          <w:bCs/>
          <w:sz w:val="22"/>
          <w:szCs w:val="22"/>
        </w:rPr>
        <w:t>Závěrečná ustanovení</w:t>
      </w:r>
    </w:p>
    <w:p w:rsidR="00C87930" w:rsidRPr="007E5CB5" w:rsidRDefault="00C87930" w:rsidP="00C87930">
      <w:pPr>
        <w:pStyle w:val="Default"/>
        <w:jc w:val="center"/>
        <w:rPr>
          <w:sz w:val="22"/>
          <w:szCs w:val="22"/>
        </w:rPr>
      </w:pPr>
    </w:p>
    <w:p w:rsidR="002C3643" w:rsidRPr="007E5CB5" w:rsidRDefault="006305D6" w:rsidP="00C87930">
      <w:pPr>
        <w:pStyle w:val="Defaul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 w:rsidRPr="007E5CB5">
        <w:rPr>
          <w:sz w:val="22"/>
          <w:szCs w:val="22"/>
        </w:rPr>
        <w:t xml:space="preserve">Tato dohoda je vyhotovena ve dvou stejnopisech, z nichž po jednom stejnopisu obdrží každá ze smluvních stran. </w:t>
      </w:r>
    </w:p>
    <w:p w:rsidR="004E0409" w:rsidRDefault="006305D6" w:rsidP="004E0409">
      <w:pPr>
        <w:pStyle w:val="Defaul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 w:rsidRPr="007E5CB5">
        <w:rPr>
          <w:sz w:val="22"/>
          <w:szCs w:val="22"/>
        </w:rPr>
        <w:t xml:space="preserve">Tato dohoda nabývá platnosti dnem podpisu poslední smluvní stranou a účinnosti dnem jejího uveřejnění v </w:t>
      </w:r>
      <w:r w:rsidR="00C408F6">
        <w:rPr>
          <w:sz w:val="22"/>
          <w:szCs w:val="22"/>
        </w:rPr>
        <w:t>R</w:t>
      </w:r>
      <w:r w:rsidRPr="007E5CB5">
        <w:rPr>
          <w:sz w:val="22"/>
          <w:szCs w:val="22"/>
        </w:rPr>
        <w:t>egistru smluv dle zákona o regis</w:t>
      </w:r>
      <w:r w:rsidR="00C408F6">
        <w:rPr>
          <w:sz w:val="22"/>
          <w:szCs w:val="22"/>
        </w:rPr>
        <w:t>tru smluv. Uveřejnění dohody v R</w:t>
      </w:r>
      <w:r w:rsidRPr="007E5CB5">
        <w:rPr>
          <w:sz w:val="22"/>
          <w:szCs w:val="22"/>
        </w:rPr>
        <w:t xml:space="preserve">egistru smluv zajistí objednatel bez zbytečného odkladu po podpisu této dohody oběma smluvními stranami. Objednatel potvrdí zhotoviteli splnění povinnosti uveřejnit dohodu v registru smluv bez zbytečného odkladu po jejím uveřejnění. </w:t>
      </w:r>
    </w:p>
    <w:p w:rsidR="004E0409" w:rsidRPr="004E0409" w:rsidRDefault="006305D6" w:rsidP="004E0409">
      <w:pPr>
        <w:pStyle w:val="Defaul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 w:rsidRPr="004E0409">
        <w:rPr>
          <w:sz w:val="22"/>
          <w:szCs w:val="22"/>
        </w:rPr>
        <w:t>Nedílnou součást</w:t>
      </w:r>
      <w:r w:rsidR="006600A4">
        <w:rPr>
          <w:sz w:val="22"/>
          <w:szCs w:val="22"/>
        </w:rPr>
        <w:t>í této dohody je</w:t>
      </w:r>
      <w:r w:rsidR="004E0409" w:rsidRPr="004E0409">
        <w:rPr>
          <w:sz w:val="22"/>
          <w:szCs w:val="22"/>
        </w:rPr>
        <w:t xml:space="preserve"> </w:t>
      </w:r>
      <w:r w:rsidR="00C408F6">
        <w:rPr>
          <w:sz w:val="22"/>
          <w:szCs w:val="22"/>
        </w:rPr>
        <w:t>Smlouv</w:t>
      </w:r>
      <w:r w:rsidR="006600A4">
        <w:rPr>
          <w:sz w:val="22"/>
          <w:szCs w:val="22"/>
        </w:rPr>
        <w:t>a</w:t>
      </w:r>
      <w:r w:rsidR="00C408F6">
        <w:rPr>
          <w:sz w:val="22"/>
          <w:szCs w:val="22"/>
        </w:rPr>
        <w:t xml:space="preserve"> a </w:t>
      </w:r>
      <w:r w:rsidR="00D8050E">
        <w:rPr>
          <w:sz w:val="22"/>
          <w:szCs w:val="22"/>
        </w:rPr>
        <w:t>Dodatky</w:t>
      </w:r>
      <w:r w:rsidR="00C408F6">
        <w:rPr>
          <w:sz w:val="22"/>
          <w:szCs w:val="22"/>
        </w:rPr>
        <w:t xml:space="preserve">, jež jsou specifikovány </w:t>
      </w:r>
      <w:r w:rsidR="004E0409" w:rsidRPr="004E0409">
        <w:rPr>
          <w:sz w:val="22"/>
          <w:szCs w:val="22"/>
        </w:rPr>
        <w:t xml:space="preserve">v čl. II odst. 1 </w:t>
      </w:r>
      <w:r w:rsidR="004E0409">
        <w:rPr>
          <w:sz w:val="22"/>
          <w:szCs w:val="22"/>
        </w:rPr>
        <w:t>této dohody.</w:t>
      </w:r>
    </w:p>
    <w:p w:rsidR="002C3643" w:rsidRPr="004E0409" w:rsidRDefault="006305D6" w:rsidP="00703FE0">
      <w:pPr>
        <w:pStyle w:val="Defaul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 w:rsidRPr="007E5CB5">
        <w:rPr>
          <w:sz w:val="22"/>
          <w:szCs w:val="22"/>
        </w:rPr>
        <w:t xml:space="preserve">Smluvní strany shodně prohlašují, že si tuto dohodu před jeho podpisem přečetly, že byla uzavřena po vzájemném projednání podle jejich pravé a svobodné vůle, určitě, vážně a srozumitelně a že se dohodly o celém jejím obsahu, což stvrzují svými podpisy. </w:t>
      </w:r>
    </w:p>
    <w:p w:rsidR="00C87930" w:rsidRDefault="00C87930" w:rsidP="00C87930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p w:rsidR="00C87930" w:rsidRDefault="00C87930" w:rsidP="00C87930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C87930" w:rsidRPr="00577165" w:rsidTr="002B547C">
        <w:tc>
          <w:tcPr>
            <w:tcW w:w="4140" w:type="dxa"/>
          </w:tcPr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77165">
              <w:rPr>
                <w:rFonts w:cstheme="minorHAnsi"/>
                <w:sz w:val="20"/>
                <w:szCs w:val="20"/>
              </w:rPr>
              <w:t xml:space="preserve">V Praze dne  </w:t>
            </w: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2" w:type="dxa"/>
          </w:tcPr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 </w:t>
            </w:r>
            <w:r w:rsidR="00D8050E">
              <w:rPr>
                <w:rFonts w:cstheme="minorHAnsi"/>
                <w:sz w:val="20"/>
                <w:szCs w:val="20"/>
              </w:rPr>
              <w:t>Praze</w:t>
            </w:r>
            <w:r>
              <w:rPr>
                <w:rFonts w:cstheme="minorHAnsi"/>
                <w:sz w:val="20"/>
                <w:szCs w:val="20"/>
              </w:rPr>
              <w:t xml:space="preserve"> dne</w:t>
            </w: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87930" w:rsidRPr="00577165" w:rsidRDefault="00C87930" w:rsidP="002B547C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7930" w:rsidRPr="00577165" w:rsidTr="002B547C">
        <w:tc>
          <w:tcPr>
            <w:tcW w:w="4140" w:type="dxa"/>
            <w:tcBorders>
              <w:top w:val="single" w:sz="4" w:space="0" w:color="auto"/>
            </w:tcBorders>
          </w:tcPr>
          <w:p w:rsidR="00C87930" w:rsidRPr="00577165" w:rsidRDefault="00C87930" w:rsidP="002B547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7165">
              <w:rPr>
                <w:rFonts w:cstheme="minorHAnsi"/>
                <w:sz w:val="20"/>
                <w:szCs w:val="20"/>
              </w:rPr>
              <w:t xml:space="preserve">za </w:t>
            </w:r>
            <w:r w:rsidR="00165C61">
              <w:rPr>
                <w:rFonts w:cstheme="minorHAnsi"/>
                <w:sz w:val="20"/>
                <w:szCs w:val="20"/>
              </w:rPr>
              <w:t>objednatel</w:t>
            </w:r>
            <w:r w:rsidR="00C408F6">
              <w:rPr>
                <w:rFonts w:cstheme="minorHAnsi"/>
                <w:sz w:val="20"/>
                <w:szCs w:val="20"/>
              </w:rPr>
              <w:t>e</w:t>
            </w:r>
          </w:p>
          <w:p w:rsidR="00C408F6" w:rsidRDefault="00C408F6" w:rsidP="002B547C">
            <w:pPr>
              <w:pStyle w:val="Nadpis6"/>
              <w:widowControl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C408F6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Bc. Lenka Kohoutová, </w:t>
            </w:r>
          </w:p>
          <w:p w:rsidR="00C87930" w:rsidRPr="00577165" w:rsidRDefault="00C408F6" w:rsidP="002B547C">
            <w:pPr>
              <w:pStyle w:val="Nadpis6"/>
              <w:widowControl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C408F6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ředitelka</w:t>
            </w:r>
          </w:p>
        </w:tc>
        <w:tc>
          <w:tcPr>
            <w:tcW w:w="900" w:type="dxa"/>
            <w:vAlign w:val="center"/>
          </w:tcPr>
          <w:p w:rsidR="00C87930" w:rsidRPr="00577165" w:rsidRDefault="00C87930" w:rsidP="002B547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C87930" w:rsidRPr="00577165" w:rsidRDefault="00C87930" w:rsidP="002B547C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7165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="00165C61">
              <w:rPr>
                <w:rFonts w:asciiTheme="minorHAnsi" w:hAnsiTheme="minorHAnsi" w:cstheme="minorHAnsi"/>
                <w:sz w:val="20"/>
                <w:szCs w:val="20"/>
              </w:rPr>
              <w:t>zhotovitel</w:t>
            </w:r>
            <w:r w:rsidR="00C408F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:rsidR="00D8050E" w:rsidRDefault="006600A4" w:rsidP="00C408F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Petr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Přitasil</w:t>
            </w:r>
            <w:proofErr w:type="spellEnd"/>
            <w:r w:rsidR="00D8050E" w:rsidRPr="00D8050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87930" w:rsidRPr="00577165" w:rsidRDefault="006600A4" w:rsidP="00C408F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jednatel</w:t>
            </w:r>
            <w:bookmarkStart w:id="0" w:name="_GoBack"/>
            <w:bookmarkEnd w:id="0"/>
          </w:p>
        </w:tc>
      </w:tr>
    </w:tbl>
    <w:p w:rsidR="00C87930" w:rsidRDefault="00C87930" w:rsidP="00C879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87930" w:rsidRPr="00AD28DA" w:rsidRDefault="00C87930" w:rsidP="00C87930"/>
    <w:p w:rsidR="002C3643" w:rsidRPr="007E5CB5" w:rsidRDefault="002C3643" w:rsidP="00703FE0">
      <w:pPr>
        <w:pStyle w:val="Default"/>
        <w:rPr>
          <w:sz w:val="22"/>
          <w:szCs w:val="22"/>
        </w:rPr>
      </w:pPr>
    </w:p>
    <w:p w:rsidR="002C3643" w:rsidRPr="007E5CB5" w:rsidRDefault="006305D6" w:rsidP="00703FE0">
      <w:pPr>
        <w:pStyle w:val="Default"/>
        <w:rPr>
          <w:sz w:val="22"/>
          <w:szCs w:val="22"/>
        </w:rPr>
      </w:pPr>
      <w:r w:rsidRPr="007E5CB5">
        <w:rPr>
          <w:sz w:val="22"/>
          <w:szCs w:val="22"/>
        </w:rPr>
        <w:t xml:space="preserve"> </w:t>
      </w:r>
    </w:p>
    <w:p w:rsidR="006305D6" w:rsidRPr="007E5CB5" w:rsidRDefault="006305D6" w:rsidP="00703FE0">
      <w:pPr>
        <w:pStyle w:val="Default"/>
      </w:pPr>
      <w:r w:rsidRPr="007E5CB5">
        <w:rPr>
          <w:sz w:val="22"/>
          <w:szCs w:val="22"/>
        </w:rPr>
        <w:t xml:space="preserve"> </w:t>
      </w:r>
    </w:p>
    <w:sectPr w:rsidR="006305D6" w:rsidRPr="007E5CB5" w:rsidSect="007E5CB5">
      <w:pgSz w:w="11906" w:h="173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18" w:rsidRDefault="00A57518" w:rsidP="007E5CB5">
      <w:pPr>
        <w:spacing w:after="0" w:line="240" w:lineRule="auto"/>
      </w:pPr>
      <w:r>
        <w:separator/>
      </w:r>
    </w:p>
  </w:endnote>
  <w:endnote w:type="continuationSeparator" w:id="0">
    <w:p w:rsidR="00A57518" w:rsidRDefault="00A57518" w:rsidP="007E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18" w:rsidRDefault="00A57518" w:rsidP="007E5CB5">
      <w:pPr>
        <w:spacing w:after="0" w:line="240" w:lineRule="auto"/>
      </w:pPr>
      <w:r>
        <w:separator/>
      </w:r>
    </w:p>
  </w:footnote>
  <w:footnote w:type="continuationSeparator" w:id="0">
    <w:p w:rsidR="00A57518" w:rsidRDefault="00A57518" w:rsidP="007E5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162"/>
    <w:multiLevelType w:val="hybridMultilevel"/>
    <w:tmpl w:val="FD22B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46A3"/>
    <w:multiLevelType w:val="hybridMultilevel"/>
    <w:tmpl w:val="35488672"/>
    <w:lvl w:ilvl="0" w:tplc="340E444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3396BC7"/>
    <w:multiLevelType w:val="hybridMultilevel"/>
    <w:tmpl w:val="D5ACE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14042"/>
    <w:multiLevelType w:val="hybridMultilevel"/>
    <w:tmpl w:val="FD22B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B03FC"/>
    <w:multiLevelType w:val="hybridMultilevel"/>
    <w:tmpl w:val="092C1972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E4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54743"/>
    <w:multiLevelType w:val="hybridMultilevel"/>
    <w:tmpl w:val="1ADCD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E7246E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C5D9F"/>
    <w:multiLevelType w:val="hybridMultilevel"/>
    <w:tmpl w:val="FD22B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B5"/>
    <w:rsid w:val="00165C61"/>
    <w:rsid w:val="0022610C"/>
    <w:rsid w:val="002C3643"/>
    <w:rsid w:val="00440F91"/>
    <w:rsid w:val="004E0409"/>
    <w:rsid w:val="0051133C"/>
    <w:rsid w:val="006305D6"/>
    <w:rsid w:val="006600A4"/>
    <w:rsid w:val="00703FE0"/>
    <w:rsid w:val="007E5CB5"/>
    <w:rsid w:val="00836FCA"/>
    <w:rsid w:val="00874B58"/>
    <w:rsid w:val="00883AD0"/>
    <w:rsid w:val="00885423"/>
    <w:rsid w:val="008C50EF"/>
    <w:rsid w:val="00A57518"/>
    <w:rsid w:val="00B619C3"/>
    <w:rsid w:val="00B83DF6"/>
    <w:rsid w:val="00C408F6"/>
    <w:rsid w:val="00C87930"/>
    <w:rsid w:val="00D8050E"/>
    <w:rsid w:val="00DE7770"/>
    <w:rsid w:val="00E00B32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7930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C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CB5"/>
  </w:style>
  <w:style w:type="paragraph" w:styleId="Zpat">
    <w:name w:val="footer"/>
    <w:basedOn w:val="Normln"/>
    <w:link w:val="ZpatChar"/>
    <w:uiPriority w:val="99"/>
    <w:unhideWhenUsed/>
    <w:rsid w:val="007E5C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B5"/>
  </w:style>
  <w:style w:type="character" w:customStyle="1" w:styleId="Nadpis6Char">
    <w:name w:val="Nadpis 6 Char"/>
    <w:basedOn w:val="Standardnpsmoodstavce"/>
    <w:link w:val="Nadpis6"/>
    <w:uiPriority w:val="9"/>
    <w:semiHidden/>
    <w:rsid w:val="00C8793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Smlouva-slo">
    <w:name w:val="Smlouva-číslo"/>
    <w:basedOn w:val="Normln"/>
    <w:uiPriority w:val="99"/>
    <w:rsid w:val="00C87930"/>
    <w:pPr>
      <w:widowControl w:val="0"/>
      <w:numPr>
        <w:numId w:val="6"/>
      </w:numPr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36">
    <w:name w:val="xl36"/>
    <w:basedOn w:val="Normln"/>
    <w:rsid w:val="00C879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7930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C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CB5"/>
  </w:style>
  <w:style w:type="paragraph" w:styleId="Zpat">
    <w:name w:val="footer"/>
    <w:basedOn w:val="Normln"/>
    <w:link w:val="ZpatChar"/>
    <w:uiPriority w:val="99"/>
    <w:unhideWhenUsed/>
    <w:rsid w:val="007E5C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B5"/>
  </w:style>
  <w:style w:type="character" w:customStyle="1" w:styleId="Nadpis6Char">
    <w:name w:val="Nadpis 6 Char"/>
    <w:basedOn w:val="Standardnpsmoodstavce"/>
    <w:link w:val="Nadpis6"/>
    <w:uiPriority w:val="9"/>
    <w:semiHidden/>
    <w:rsid w:val="00C8793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Smlouva-slo">
    <w:name w:val="Smlouva-číslo"/>
    <w:basedOn w:val="Normln"/>
    <w:uiPriority w:val="99"/>
    <w:rsid w:val="00C87930"/>
    <w:pPr>
      <w:widowControl w:val="0"/>
      <w:numPr>
        <w:numId w:val="6"/>
      </w:numPr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36">
    <w:name w:val="xl36"/>
    <w:basedOn w:val="Normln"/>
    <w:rsid w:val="00C879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gymcheb</dc:creator>
  <cp:lastModifiedBy>Mgr. Antonín Hajdušek</cp:lastModifiedBy>
  <cp:revision>2</cp:revision>
  <dcterms:created xsi:type="dcterms:W3CDTF">2024-01-09T11:35:00Z</dcterms:created>
  <dcterms:modified xsi:type="dcterms:W3CDTF">2024-01-09T11:35:00Z</dcterms:modified>
</cp:coreProperties>
</file>