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67" w:rsidRDefault="001E38FD">
      <w:pPr>
        <w:jc w:val="center"/>
        <w:rPr>
          <w:rFonts w:ascii="arial;sans-serif" w:hAnsi="arial;sans-serif" w:hint="eastAsia"/>
          <w:b/>
          <w:bCs/>
          <w:color w:val="000000"/>
          <w:sz w:val="30"/>
          <w:szCs w:val="30"/>
        </w:rPr>
      </w:pPr>
      <w:r>
        <w:rPr>
          <w:rFonts w:ascii="arial;sans-serif" w:hAnsi="arial;sans-serif"/>
          <w:b/>
          <w:bCs/>
          <w:color w:val="000000"/>
          <w:sz w:val="30"/>
          <w:szCs w:val="30"/>
        </w:rPr>
        <w:t>Rámcová kupní smlouva</w:t>
      </w:r>
    </w:p>
    <w:p w:rsidR="00402D67" w:rsidRDefault="00402D67">
      <w:pPr>
        <w:rPr>
          <w:rFonts w:ascii="arial;sans-serif" w:hAnsi="arial;sans-serif" w:hint="eastAsia"/>
          <w:color w:val="000000"/>
        </w:rPr>
      </w:pPr>
    </w:p>
    <w:p w:rsidR="00402D67" w:rsidRDefault="001E38FD">
      <w:pPr>
        <w:rPr>
          <w:rFonts w:hint="eastAsia"/>
          <w:sz w:val="21"/>
          <w:szCs w:val="21"/>
        </w:rPr>
      </w:pPr>
      <w:r>
        <w:rPr>
          <w:rFonts w:ascii="arial;sans-serif" w:hAnsi="arial;sans-serif"/>
          <w:color w:val="000000"/>
          <w:sz w:val="21"/>
          <w:szCs w:val="21"/>
        </w:rPr>
        <w:t xml:space="preserve">na dodávky zboží v režimu náhradního plnění uzavřená podle § 1746 </w:t>
      </w:r>
      <w:proofErr w:type="gramStart"/>
      <w:r>
        <w:rPr>
          <w:rFonts w:ascii="arial;sans-serif" w:hAnsi="arial;sans-serif"/>
          <w:color w:val="000000"/>
          <w:sz w:val="21"/>
          <w:szCs w:val="21"/>
        </w:rPr>
        <w:t>odst.2 zák.</w:t>
      </w:r>
      <w:proofErr w:type="gramEnd"/>
      <w:r>
        <w:rPr>
          <w:rFonts w:ascii="arial;sans-serif" w:hAnsi="arial;sans-serif"/>
          <w:color w:val="000000"/>
          <w:sz w:val="21"/>
          <w:szCs w:val="21"/>
        </w:rPr>
        <w:t xml:space="preserve"> č. 89/2012 Sb., občanský zák</w:t>
      </w:r>
      <w:r>
        <w:rPr>
          <w:rFonts w:ascii="arial;sans-serif" w:hAnsi="arial;sans-serif"/>
          <w:color w:val="000000"/>
          <w:sz w:val="21"/>
          <w:szCs w:val="21"/>
        </w:rPr>
        <w:t>o</w:t>
      </w:r>
      <w:r>
        <w:rPr>
          <w:rFonts w:ascii="arial;sans-serif" w:hAnsi="arial;sans-serif"/>
          <w:color w:val="000000"/>
          <w:sz w:val="21"/>
          <w:szCs w:val="21"/>
        </w:rPr>
        <w:t>ník, ve znění pozdějších předpisů mezi smluvními stranami</w:t>
      </w:r>
    </w:p>
    <w:p w:rsidR="00402D67" w:rsidRDefault="00402D67">
      <w:pPr>
        <w:rPr>
          <w:rFonts w:ascii="arial;sans-serif" w:hAnsi="arial;sans-serif" w:hint="eastAsia"/>
          <w:color w:val="000000"/>
          <w:sz w:val="21"/>
          <w:szCs w:val="21"/>
        </w:rPr>
      </w:pPr>
    </w:p>
    <w:p w:rsidR="00402D67" w:rsidRPr="00B60BD9" w:rsidRDefault="001E38FD" w:rsidP="00B60BD9">
      <w:pPr>
        <w:rPr>
          <w:rFonts w:asciiTheme="minorHAnsi" w:hAnsiTheme="minorHAnsi" w:cstheme="minorHAnsi"/>
          <w:b/>
        </w:rPr>
      </w:pPr>
      <w:r w:rsidRPr="00B60BD9">
        <w:rPr>
          <w:rFonts w:asciiTheme="minorHAnsi" w:hAnsiTheme="minorHAnsi" w:cstheme="minorHAnsi"/>
          <w:b/>
        </w:rPr>
        <w:t>Alžbětiny Lázně, a.s.</w:t>
      </w:r>
    </w:p>
    <w:p w:rsidR="00402D67" w:rsidRDefault="001E38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Smetanovy sady 1145/1, Karlovy </w:t>
      </w:r>
      <w:r>
        <w:rPr>
          <w:rFonts w:asciiTheme="minorHAnsi" w:hAnsiTheme="minorHAnsi" w:cstheme="minorHAnsi"/>
        </w:rPr>
        <w:t>Vary, PSČ 36001</w:t>
      </w:r>
    </w:p>
    <w:p w:rsidR="00402D67" w:rsidRDefault="001E38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 26342421</w:t>
      </w:r>
      <w:r>
        <w:rPr>
          <w:rFonts w:asciiTheme="minorHAnsi" w:hAnsiTheme="minorHAnsi" w:cstheme="minorHAnsi"/>
        </w:rPr>
        <w:tab/>
        <w:t>DIČ: 128 – 26342421</w:t>
      </w:r>
    </w:p>
    <w:p w:rsidR="00402D67" w:rsidRDefault="001E38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Zapsaná v obchodním rejstříku vedeném Krajským soudem v Plzni v oddílu B, vložka 968</w:t>
      </w:r>
    </w:p>
    <w:p w:rsidR="00402D67" w:rsidRDefault="001E38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Bankovní spojení: 2108400953/2700 </w:t>
      </w:r>
      <w:proofErr w:type="spellStart"/>
      <w:r>
        <w:rPr>
          <w:rFonts w:asciiTheme="minorHAnsi" w:hAnsiTheme="minorHAnsi" w:cstheme="minorHAnsi"/>
        </w:rPr>
        <w:t>UniCreditBank</w:t>
      </w:r>
      <w:proofErr w:type="spellEnd"/>
      <w:r>
        <w:rPr>
          <w:rFonts w:asciiTheme="minorHAnsi" w:hAnsiTheme="minorHAnsi" w:cstheme="minorHAnsi"/>
        </w:rPr>
        <w:t>, pobočka Karlovy Vary</w:t>
      </w:r>
    </w:p>
    <w:p w:rsidR="00402D67" w:rsidRDefault="001E38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Zastoupená předsedkyní představenstva Mgr. Bc. Hanou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Žákovou</w:t>
      </w:r>
    </w:p>
    <w:p w:rsidR="00402D67" w:rsidRDefault="001E38FD">
      <w:pPr>
        <w:rPr>
          <w:rFonts w:hint="eastAsia"/>
          <w:sz w:val="21"/>
          <w:szCs w:val="21"/>
        </w:rPr>
      </w:pPr>
      <w:r>
        <w:rPr>
          <w:rFonts w:ascii="arial;sans-serif" w:hAnsi="arial;sans-serif"/>
          <w:color w:val="000000"/>
          <w:sz w:val="21"/>
          <w:szCs w:val="21"/>
        </w:rPr>
        <w:t>/kupující/</w:t>
      </w:r>
    </w:p>
    <w:p w:rsidR="00402D67" w:rsidRDefault="00402D67">
      <w:pPr>
        <w:rPr>
          <w:rFonts w:ascii="arial;sans-serif" w:hAnsi="arial;sans-serif" w:hint="eastAsia"/>
          <w:color w:val="000000"/>
          <w:sz w:val="21"/>
          <w:szCs w:val="21"/>
        </w:rPr>
      </w:pPr>
    </w:p>
    <w:p w:rsidR="00402D67" w:rsidRDefault="001E38FD">
      <w:pPr>
        <w:rPr>
          <w:rFonts w:hint="eastAsia"/>
          <w:sz w:val="21"/>
          <w:szCs w:val="21"/>
        </w:rPr>
      </w:pPr>
      <w:bookmarkStart w:id="0" w:name="_GoBack"/>
      <w:r>
        <w:rPr>
          <w:rFonts w:ascii="arial;sans-serif" w:hAnsi="arial;sans-serif"/>
          <w:b/>
          <w:bCs/>
          <w:color w:val="000000"/>
          <w:sz w:val="21"/>
          <w:szCs w:val="21"/>
        </w:rPr>
        <w:t xml:space="preserve">Domeček plný koleček, z. </w:t>
      </w:r>
      <w:proofErr w:type="gramStart"/>
      <w:r>
        <w:rPr>
          <w:rFonts w:ascii="arial;sans-serif" w:hAnsi="arial;sans-serif"/>
          <w:b/>
          <w:bCs/>
          <w:color w:val="000000"/>
          <w:sz w:val="21"/>
          <w:szCs w:val="21"/>
        </w:rPr>
        <w:t>s.</w:t>
      </w:r>
      <w:proofErr w:type="gramEnd"/>
      <w:r>
        <w:rPr>
          <w:rFonts w:ascii="arial;sans-serif" w:hAnsi="arial;sans-serif"/>
          <w:color w:val="000000"/>
          <w:sz w:val="21"/>
          <w:szCs w:val="21"/>
        </w:rPr>
        <w:t xml:space="preserve"> </w:t>
      </w:r>
    </w:p>
    <w:bookmarkEnd w:id="0"/>
    <w:p w:rsidR="00402D67" w:rsidRDefault="001E38FD">
      <w:pPr>
        <w:rPr>
          <w:rFonts w:hint="eastAsia"/>
          <w:sz w:val="21"/>
          <w:szCs w:val="21"/>
        </w:rPr>
      </w:pPr>
      <w:r>
        <w:rPr>
          <w:rFonts w:ascii="arial;sans-serif" w:hAnsi="arial;sans-serif"/>
          <w:color w:val="000000"/>
          <w:sz w:val="21"/>
          <w:szCs w:val="21"/>
        </w:rPr>
        <w:t>Se sídlem: Nádražní 111, 507 91 Stará Paka</w:t>
      </w:r>
      <w:r>
        <w:rPr>
          <w:sz w:val="21"/>
          <w:szCs w:val="21"/>
        </w:rPr>
        <w:t xml:space="preserve"> </w:t>
      </w:r>
    </w:p>
    <w:p w:rsidR="00402D67" w:rsidRDefault="001E38FD">
      <w:pPr>
        <w:rPr>
          <w:rFonts w:hint="eastAsia"/>
          <w:sz w:val="21"/>
          <w:szCs w:val="21"/>
        </w:rPr>
      </w:pPr>
      <w:r>
        <w:rPr>
          <w:rFonts w:ascii="arial;sans-serif" w:hAnsi="arial;sans-serif"/>
          <w:color w:val="000000"/>
          <w:sz w:val="21"/>
          <w:szCs w:val="21"/>
        </w:rPr>
        <w:t xml:space="preserve">IČO: </w:t>
      </w:r>
      <w:proofErr w:type="gramStart"/>
      <w:r>
        <w:rPr>
          <w:rFonts w:ascii="arial;sans-serif" w:hAnsi="arial;sans-serif"/>
          <w:color w:val="000000"/>
          <w:sz w:val="21"/>
          <w:szCs w:val="21"/>
        </w:rPr>
        <w:t>27031161  DIČ</w:t>
      </w:r>
      <w:proofErr w:type="gramEnd"/>
      <w:r>
        <w:rPr>
          <w:rFonts w:ascii="arial;sans-serif" w:hAnsi="arial;sans-serif"/>
          <w:color w:val="000000"/>
          <w:sz w:val="21"/>
          <w:szCs w:val="21"/>
        </w:rPr>
        <w:t>: CZ27031161</w:t>
      </w:r>
      <w:r>
        <w:rPr>
          <w:sz w:val="21"/>
          <w:szCs w:val="21"/>
        </w:rPr>
        <w:t xml:space="preserve"> </w:t>
      </w:r>
    </w:p>
    <w:p w:rsidR="00402D67" w:rsidRDefault="001E38FD">
      <w:pPr>
        <w:rPr>
          <w:rFonts w:hint="eastAsia"/>
          <w:sz w:val="21"/>
          <w:szCs w:val="21"/>
        </w:rPr>
      </w:pPr>
      <w:r>
        <w:rPr>
          <w:rFonts w:ascii="arial;sans-serif" w:hAnsi="arial;sans-serif"/>
          <w:color w:val="000000"/>
          <w:sz w:val="21"/>
          <w:szCs w:val="21"/>
        </w:rPr>
        <w:t>Zastoupené: Marcela Drhová - ředitelka spolku</w:t>
      </w:r>
    </w:p>
    <w:p w:rsidR="00402D67" w:rsidRDefault="001E38FD">
      <w:pPr>
        <w:rPr>
          <w:rFonts w:hint="eastAsia"/>
          <w:sz w:val="21"/>
          <w:szCs w:val="21"/>
        </w:rPr>
      </w:pPr>
      <w:r>
        <w:rPr>
          <w:rFonts w:ascii="arial;sans-serif" w:hAnsi="arial;sans-serif"/>
          <w:color w:val="000000"/>
          <w:sz w:val="21"/>
          <w:szCs w:val="21"/>
        </w:rPr>
        <w:t>/prodávající/</w:t>
      </w:r>
    </w:p>
    <w:p w:rsidR="00402D67" w:rsidRDefault="00402D67">
      <w:pPr>
        <w:rPr>
          <w:rFonts w:ascii="arial;sans-serif" w:hAnsi="arial;sans-serif" w:hint="eastAsia"/>
          <w:color w:val="000000"/>
          <w:sz w:val="21"/>
          <w:szCs w:val="21"/>
        </w:rPr>
      </w:pPr>
    </w:p>
    <w:p w:rsidR="00402D67" w:rsidRDefault="001E38FD">
      <w:pPr>
        <w:rPr>
          <w:rFonts w:hint="eastAsia"/>
          <w:sz w:val="21"/>
          <w:szCs w:val="21"/>
        </w:rPr>
      </w:pPr>
      <w:r>
        <w:rPr>
          <w:rFonts w:ascii="arial;sans-serif" w:hAnsi="arial;sans-serif"/>
          <w:color w:val="000000"/>
          <w:sz w:val="21"/>
          <w:szCs w:val="21"/>
        </w:rPr>
        <w:t>1. Prohlášení prodávajícího</w:t>
      </w:r>
    </w:p>
    <w:p w:rsidR="00402D67" w:rsidRDefault="001E38FD">
      <w:pPr>
        <w:rPr>
          <w:rFonts w:hint="eastAsia"/>
          <w:sz w:val="21"/>
          <w:szCs w:val="21"/>
        </w:rPr>
      </w:pPr>
      <w:r>
        <w:rPr>
          <w:rFonts w:ascii="arial;sans-serif" w:hAnsi="arial;sans-serif"/>
          <w:color w:val="000000"/>
          <w:sz w:val="21"/>
          <w:szCs w:val="21"/>
        </w:rPr>
        <w:t xml:space="preserve">Prodávající je organizací zaměstnávající </w:t>
      </w:r>
      <w:r>
        <w:rPr>
          <w:rFonts w:ascii="arial;sans-serif" w:hAnsi="arial;sans-serif"/>
          <w:color w:val="000000"/>
          <w:sz w:val="21"/>
          <w:szCs w:val="21"/>
        </w:rPr>
        <w:t>více než 50% zaměstnanců se zdravotním postižením, včetně zaměstna</w:t>
      </w:r>
      <w:r>
        <w:rPr>
          <w:rFonts w:ascii="arial;sans-serif" w:hAnsi="arial;sans-serif"/>
          <w:color w:val="000000"/>
          <w:sz w:val="21"/>
          <w:szCs w:val="21"/>
        </w:rPr>
        <w:t>n</w:t>
      </w:r>
      <w:r>
        <w:rPr>
          <w:rFonts w:ascii="arial;sans-serif" w:hAnsi="arial;sans-serif"/>
          <w:color w:val="000000"/>
          <w:sz w:val="21"/>
          <w:szCs w:val="21"/>
        </w:rPr>
        <w:t>ců s těžkým zdravotním postižením a na základě této skutečnosti je oprávněn poskytovat výrobky a služby v rá</w:t>
      </w:r>
      <w:r>
        <w:rPr>
          <w:rFonts w:ascii="arial;sans-serif" w:hAnsi="arial;sans-serif"/>
          <w:color w:val="000000"/>
          <w:sz w:val="21"/>
          <w:szCs w:val="21"/>
        </w:rPr>
        <w:t>m</w:t>
      </w:r>
      <w:r>
        <w:rPr>
          <w:rFonts w:ascii="arial;sans-serif" w:hAnsi="arial;sans-serif"/>
          <w:color w:val="000000"/>
          <w:sz w:val="21"/>
          <w:szCs w:val="21"/>
        </w:rPr>
        <w:t xml:space="preserve">ci tzv. náhradního plnění povinného podílu zaměstnanců se zdravotním postižením </w:t>
      </w:r>
      <w:r>
        <w:rPr>
          <w:rFonts w:ascii="arial;sans-serif" w:hAnsi="arial;sans-serif"/>
          <w:color w:val="000000"/>
          <w:sz w:val="21"/>
          <w:szCs w:val="21"/>
        </w:rPr>
        <w:t>dle zákona č. 435/2004 Sb., o zaměstnanosti ve znění pozdějších předpisů (Zákon o zaměstnanosti).</w:t>
      </w:r>
    </w:p>
    <w:p w:rsidR="00402D67" w:rsidRDefault="00402D67">
      <w:pPr>
        <w:rPr>
          <w:rFonts w:ascii="arial;sans-serif" w:hAnsi="arial;sans-serif" w:hint="eastAsia"/>
          <w:color w:val="000000"/>
          <w:sz w:val="21"/>
          <w:szCs w:val="21"/>
        </w:rPr>
      </w:pPr>
    </w:p>
    <w:p w:rsidR="00402D67" w:rsidRDefault="001E38FD">
      <w:pPr>
        <w:rPr>
          <w:rFonts w:hint="eastAsia"/>
          <w:sz w:val="21"/>
          <w:szCs w:val="21"/>
        </w:rPr>
      </w:pPr>
      <w:r>
        <w:rPr>
          <w:rFonts w:ascii="arial;sans-serif" w:hAnsi="arial;sans-serif"/>
          <w:color w:val="000000"/>
          <w:sz w:val="21"/>
          <w:szCs w:val="21"/>
        </w:rPr>
        <w:t>2. Předmět smlouvy a náhradní plnění</w:t>
      </w:r>
    </w:p>
    <w:p w:rsidR="00402D67" w:rsidRDefault="001E38FD">
      <w:pPr>
        <w:rPr>
          <w:rFonts w:hint="eastAsia"/>
          <w:sz w:val="21"/>
          <w:szCs w:val="21"/>
        </w:rPr>
      </w:pPr>
      <w:r>
        <w:rPr>
          <w:rFonts w:ascii="arial;sans-serif" w:hAnsi="arial;sans-serif"/>
          <w:color w:val="000000"/>
          <w:sz w:val="21"/>
          <w:szCs w:val="21"/>
        </w:rPr>
        <w:t>Prodávající se zavazuje dodávat kupujícímu za podmínek stanovených touto smlouvou zboží dle objednávky k</w:t>
      </w:r>
      <w:r>
        <w:rPr>
          <w:rFonts w:ascii="arial;sans-serif" w:hAnsi="arial;sans-serif"/>
          <w:color w:val="000000"/>
          <w:sz w:val="21"/>
          <w:szCs w:val="21"/>
        </w:rPr>
        <w:t>u</w:t>
      </w:r>
      <w:r>
        <w:rPr>
          <w:rFonts w:ascii="arial;sans-serif" w:hAnsi="arial;sans-serif"/>
          <w:color w:val="000000"/>
          <w:sz w:val="21"/>
          <w:szCs w:val="21"/>
        </w:rPr>
        <w:t>pujícího. Prodá</w:t>
      </w:r>
      <w:r>
        <w:rPr>
          <w:rFonts w:ascii="arial;sans-serif" w:hAnsi="arial;sans-serif"/>
          <w:color w:val="000000"/>
          <w:sz w:val="21"/>
          <w:szCs w:val="21"/>
        </w:rPr>
        <w:t>vající se zavazuje, že celkový objem dodaného zboží, dodaného na základě této smlouvy, bude splňovat podmínky dle zákona O zaměstnanosti č.435/2004Sb., v platném znění, pro odběr tzv. náhradního plnění ve smyslu tohoto zákona. Prodávající je povinen nejpoz</w:t>
      </w:r>
      <w:r>
        <w:rPr>
          <w:rFonts w:ascii="arial;sans-serif" w:hAnsi="arial;sans-serif"/>
          <w:color w:val="000000"/>
          <w:sz w:val="21"/>
          <w:szCs w:val="21"/>
        </w:rPr>
        <w:t>ději do 30 kalendářních dnů od jeho zaplacení vložit údaje do elektronické evidence vedené Ministerstvem práce a sociálních věcí.</w:t>
      </w:r>
    </w:p>
    <w:p w:rsidR="00402D67" w:rsidRDefault="00402D67">
      <w:pPr>
        <w:rPr>
          <w:rFonts w:ascii="arial;sans-serif" w:hAnsi="arial;sans-serif" w:hint="eastAsia"/>
          <w:color w:val="000000"/>
          <w:sz w:val="21"/>
          <w:szCs w:val="21"/>
        </w:rPr>
      </w:pPr>
    </w:p>
    <w:p w:rsidR="00402D67" w:rsidRDefault="001E38FD">
      <w:pPr>
        <w:rPr>
          <w:rFonts w:hint="eastAsia"/>
          <w:sz w:val="21"/>
          <w:szCs w:val="21"/>
        </w:rPr>
      </w:pPr>
      <w:r>
        <w:rPr>
          <w:rFonts w:ascii="arial;sans-serif" w:hAnsi="arial;sans-serif"/>
          <w:color w:val="000000"/>
          <w:sz w:val="21"/>
          <w:szCs w:val="21"/>
        </w:rPr>
        <w:t>3. Cena a platební podmínky</w:t>
      </w:r>
    </w:p>
    <w:p w:rsidR="00402D67" w:rsidRDefault="001E38FD">
      <w:pPr>
        <w:rPr>
          <w:rFonts w:hint="eastAsia"/>
          <w:sz w:val="21"/>
          <w:szCs w:val="21"/>
        </w:rPr>
      </w:pPr>
      <w:r>
        <w:rPr>
          <w:rFonts w:ascii="arial;sans-serif" w:hAnsi="arial;sans-serif"/>
          <w:color w:val="000000"/>
          <w:sz w:val="21"/>
          <w:szCs w:val="21"/>
        </w:rPr>
        <w:t>Kupní cena bude hrazena za zboží skutečně dodané a to na základě faktury vystavené prodávajícím s</w:t>
      </w:r>
      <w:r>
        <w:rPr>
          <w:rFonts w:ascii="arial;sans-serif" w:hAnsi="arial;sans-serif"/>
          <w:color w:val="000000"/>
          <w:sz w:val="21"/>
          <w:szCs w:val="21"/>
        </w:rPr>
        <w:t xml:space="preserve">e splatností 14 dnů od jejího vystavení a doručení na adresu sídla kupujícího, nedohodnou-li se u konkrétní dodávky smluvní strany jinak. </w:t>
      </w:r>
    </w:p>
    <w:p w:rsidR="00402D67" w:rsidRDefault="00402D67">
      <w:pPr>
        <w:rPr>
          <w:rFonts w:ascii="arial;sans-serif" w:hAnsi="arial;sans-serif" w:hint="eastAsia"/>
          <w:color w:val="000000"/>
          <w:sz w:val="21"/>
          <w:szCs w:val="21"/>
        </w:rPr>
      </w:pPr>
    </w:p>
    <w:p w:rsidR="00402D67" w:rsidRDefault="001E38FD">
      <w:pPr>
        <w:rPr>
          <w:rFonts w:hint="eastAsia"/>
          <w:sz w:val="21"/>
          <w:szCs w:val="21"/>
        </w:rPr>
      </w:pPr>
      <w:r>
        <w:rPr>
          <w:rFonts w:ascii="arial;sans-serif" w:hAnsi="arial;sans-serif"/>
          <w:color w:val="000000"/>
          <w:sz w:val="21"/>
          <w:szCs w:val="21"/>
        </w:rPr>
        <w:t>4. Trvání smlouvy</w:t>
      </w:r>
    </w:p>
    <w:p w:rsidR="00402D67" w:rsidRDefault="001E38FD">
      <w:pPr>
        <w:rPr>
          <w:rFonts w:hint="eastAsia"/>
          <w:sz w:val="21"/>
          <w:szCs w:val="21"/>
        </w:rPr>
      </w:pPr>
      <w:r>
        <w:rPr>
          <w:rFonts w:ascii="arial;sans-serif" w:hAnsi="arial;sans-serif"/>
          <w:color w:val="000000"/>
          <w:sz w:val="21"/>
          <w:szCs w:val="21"/>
        </w:rPr>
        <w:t>Tato smlouva se uzavírá na dobu neurčitou. Maximální hodnota objednávek: do 200 000,- bez DPH/rok.</w:t>
      </w:r>
    </w:p>
    <w:p w:rsidR="00402D67" w:rsidRDefault="00402D67">
      <w:pPr>
        <w:rPr>
          <w:rFonts w:ascii="arial;sans-serif" w:hAnsi="arial;sans-serif" w:hint="eastAsia"/>
          <w:color w:val="000000"/>
          <w:sz w:val="21"/>
          <w:szCs w:val="21"/>
        </w:rPr>
      </w:pPr>
    </w:p>
    <w:p w:rsidR="00402D67" w:rsidRDefault="001E38FD">
      <w:pPr>
        <w:rPr>
          <w:rFonts w:hint="eastAsia"/>
          <w:sz w:val="21"/>
          <w:szCs w:val="21"/>
        </w:rPr>
      </w:pPr>
      <w:r>
        <w:rPr>
          <w:rFonts w:ascii="arial;sans-serif" w:hAnsi="arial;sans-serif"/>
          <w:color w:val="000000"/>
          <w:sz w:val="21"/>
          <w:szCs w:val="21"/>
        </w:rPr>
        <w:t>5. Závěrečná ustanovení</w:t>
      </w:r>
    </w:p>
    <w:p w:rsidR="00402D67" w:rsidRDefault="001E38FD">
      <w:pPr>
        <w:rPr>
          <w:rFonts w:hint="eastAsia"/>
          <w:sz w:val="21"/>
          <w:szCs w:val="21"/>
        </w:rPr>
      </w:pPr>
      <w:r>
        <w:rPr>
          <w:rFonts w:ascii="arial;sans-serif" w:hAnsi="arial;sans-serif"/>
          <w:color w:val="000000"/>
          <w:sz w:val="21"/>
          <w:szCs w:val="21"/>
        </w:rPr>
        <w:t>Tato smlouva je platná a účinná ode dne jejího podpisu oběma smluvními stranami. Změny této smlouvy mohou být učiněny pouze písemně ve formě číslovaných dodatků podepsaných oběma stranami.</w:t>
      </w:r>
    </w:p>
    <w:p w:rsidR="00402D67" w:rsidRDefault="00402D67">
      <w:pPr>
        <w:rPr>
          <w:rFonts w:ascii="arial;sans-serif" w:hAnsi="arial;sans-serif" w:hint="eastAsia"/>
          <w:color w:val="000000"/>
          <w:sz w:val="21"/>
          <w:szCs w:val="21"/>
        </w:rPr>
      </w:pPr>
    </w:p>
    <w:p w:rsidR="00402D67" w:rsidRDefault="00402D67">
      <w:pPr>
        <w:rPr>
          <w:rFonts w:ascii="arial;sans-serif" w:hAnsi="arial;sans-serif" w:hint="eastAsia"/>
          <w:color w:val="000000"/>
          <w:sz w:val="21"/>
          <w:szCs w:val="21"/>
        </w:rPr>
      </w:pPr>
    </w:p>
    <w:p w:rsidR="00402D67" w:rsidRDefault="00402D67">
      <w:pPr>
        <w:rPr>
          <w:rFonts w:ascii="arial;sans-serif" w:hAnsi="arial;sans-serif" w:hint="eastAsia"/>
          <w:color w:val="000000"/>
        </w:rPr>
      </w:pPr>
    </w:p>
    <w:p w:rsidR="00402D67" w:rsidRDefault="00402D67">
      <w:pPr>
        <w:rPr>
          <w:rFonts w:ascii="arial;sans-serif" w:hAnsi="arial;sans-serif" w:hint="eastAsia"/>
          <w:color w:val="000000"/>
        </w:rPr>
      </w:pPr>
    </w:p>
    <w:p w:rsidR="00402D67" w:rsidRDefault="00402D67">
      <w:pPr>
        <w:rPr>
          <w:rFonts w:ascii="arial;sans-serif" w:hAnsi="arial;sans-serif" w:hint="eastAsia"/>
          <w:color w:val="000000"/>
        </w:rPr>
      </w:pPr>
    </w:p>
    <w:p w:rsidR="00402D67" w:rsidRDefault="00402D67">
      <w:pPr>
        <w:rPr>
          <w:rFonts w:ascii="arial;sans-serif" w:hAnsi="arial;sans-serif" w:hint="eastAsia"/>
          <w:color w:val="000000"/>
        </w:rPr>
      </w:pPr>
    </w:p>
    <w:p w:rsidR="00402D67" w:rsidRDefault="001E38FD">
      <w:pPr>
        <w:rPr>
          <w:rFonts w:hint="eastAsia"/>
          <w:sz w:val="21"/>
          <w:szCs w:val="21"/>
        </w:rPr>
      </w:pPr>
      <w:r>
        <w:rPr>
          <w:rFonts w:ascii="arial;sans-serif" w:hAnsi="arial;sans-serif"/>
          <w:color w:val="000000"/>
          <w:sz w:val="21"/>
          <w:szCs w:val="21"/>
        </w:rPr>
        <w:t xml:space="preserve">Prodávající:                       </w:t>
      </w:r>
      <w:r>
        <w:rPr>
          <w:rFonts w:ascii="arial;sans-serif" w:hAnsi="arial;sans-serif"/>
          <w:color w:val="000000"/>
          <w:sz w:val="21"/>
          <w:szCs w:val="21"/>
        </w:rPr>
        <w:t xml:space="preserve">                                                          Kupující:</w:t>
      </w:r>
    </w:p>
    <w:p w:rsidR="00402D67" w:rsidRDefault="00402D67">
      <w:pPr>
        <w:rPr>
          <w:rFonts w:ascii="arial;sans-serif" w:hAnsi="arial;sans-serif" w:hint="eastAsia"/>
          <w:color w:val="000000"/>
          <w:sz w:val="21"/>
          <w:szCs w:val="21"/>
        </w:rPr>
      </w:pPr>
    </w:p>
    <w:p w:rsidR="00402D67" w:rsidRDefault="00402D67">
      <w:pPr>
        <w:rPr>
          <w:rFonts w:ascii="arial;sans-serif" w:hAnsi="arial;sans-serif" w:hint="eastAsia"/>
          <w:color w:val="000000"/>
          <w:sz w:val="21"/>
          <w:szCs w:val="21"/>
        </w:rPr>
      </w:pPr>
    </w:p>
    <w:p w:rsidR="00402D67" w:rsidRDefault="001E38FD">
      <w:pPr>
        <w:rPr>
          <w:rFonts w:hint="eastAsia"/>
          <w:sz w:val="21"/>
          <w:szCs w:val="21"/>
        </w:rPr>
      </w:pPr>
      <w:r>
        <w:rPr>
          <w:rFonts w:ascii="arial;sans-serif" w:hAnsi="arial;sans-serif"/>
          <w:color w:val="000000"/>
          <w:sz w:val="21"/>
          <w:szCs w:val="21"/>
        </w:rPr>
        <w:t xml:space="preserve">V Stará Paka dne </w:t>
      </w:r>
      <w:proofErr w:type="gramStart"/>
      <w:r>
        <w:rPr>
          <w:rFonts w:ascii="arial;sans-serif" w:hAnsi="arial;sans-serif"/>
          <w:color w:val="000000"/>
          <w:sz w:val="21"/>
          <w:szCs w:val="21"/>
        </w:rPr>
        <w:t>2.1.2024</w:t>
      </w:r>
      <w:proofErr w:type="gramEnd"/>
    </w:p>
    <w:p w:rsidR="00402D67" w:rsidRDefault="00402D67">
      <w:pPr>
        <w:rPr>
          <w:rFonts w:hint="eastAsia"/>
          <w:sz w:val="22"/>
          <w:szCs w:val="22"/>
        </w:rPr>
      </w:pPr>
    </w:p>
    <w:sectPr w:rsidR="00402D67">
      <w:pgSz w:w="11906" w:h="16838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47DB"/>
    <w:multiLevelType w:val="multilevel"/>
    <w:tmpl w:val="D6A28E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0A47924"/>
    <w:multiLevelType w:val="multilevel"/>
    <w:tmpl w:val="60FC0A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67"/>
    <w:rsid w:val="001E38FD"/>
    <w:rsid w:val="00402D67"/>
    <w:rsid w:val="00B6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 w:val="0"/>
    </w:pPr>
  </w:style>
  <w:style w:type="paragraph" w:styleId="Nadpis1">
    <w:name w:val="heading 1"/>
    <w:basedOn w:val="Norml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Internetovodkaz">
    <w:name w:val="Internetový odkaz"/>
    <w:uiPriority w:val="99"/>
    <w:unhideWhenUsed/>
    <w:rPr>
      <w:color w:val="0000EE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basedOn w:val="Normln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Podtitul">
    <w:name w:val="Subtitle"/>
    <w:basedOn w:val="Normln"/>
    <w:uiPriority w:val="11"/>
    <w:qFormat/>
    <w:pPr>
      <w:spacing w:before="200" w:after="200"/>
    </w:pPr>
  </w:style>
  <w:style w:type="paragraph" w:styleId="Citt">
    <w:name w:val="Quote"/>
    <w:basedOn w:val="Normln"/>
    <w:uiPriority w:val="29"/>
    <w:qFormat/>
    <w:pPr>
      <w:ind w:left="720" w:right="720"/>
    </w:pPr>
    <w:rPr>
      <w:i/>
    </w:rPr>
  </w:style>
  <w:style w:type="paragraph" w:styleId="Vrazncitt">
    <w:name w:val="Intense Quote"/>
    <w:basedOn w:val="Norml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uiPriority w:val="99"/>
    <w:unhideWhenUsed/>
    <w:pPr>
      <w:tabs>
        <w:tab w:val="center" w:pos="7143"/>
        <w:tab w:val="right" w:pos="14287"/>
      </w:tabs>
    </w:pPr>
  </w:style>
  <w:style w:type="paragraph" w:styleId="Zpat">
    <w:name w:val="footer"/>
    <w:basedOn w:val="Normln"/>
    <w:uiPriority w:val="99"/>
    <w:unhideWhenUsed/>
    <w:pPr>
      <w:tabs>
        <w:tab w:val="center" w:pos="7143"/>
        <w:tab w:val="right" w:pos="14287"/>
      </w:tabs>
    </w:pPr>
  </w:style>
  <w:style w:type="paragraph" w:styleId="Textpoznpodarou">
    <w:name w:val="footnote text"/>
    <w:basedOn w:val="Normln"/>
    <w:uiPriority w:val="99"/>
    <w:semiHidden/>
    <w:unhideWhenUsed/>
    <w:pPr>
      <w:spacing w:after="40"/>
    </w:pPr>
    <w:rPr>
      <w:sz w:val="18"/>
    </w:rPr>
  </w:style>
  <w:style w:type="paragraph" w:styleId="Textvysvtlivek">
    <w:name w:val="endnote text"/>
    <w:basedOn w:val="Normln"/>
    <w:uiPriority w:val="99"/>
    <w:semiHidden/>
    <w:unhideWhenUsed/>
    <w:rPr>
      <w:sz w:val="20"/>
    </w:rPr>
  </w:style>
  <w:style w:type="paragraph" w:styleId="Obsah1">
    <w:name w:val="toc 1"/>
    <w:basedOn w:val="Normln"/>
    <w:uiPriority w:val="39"/>
    <w:unhideWhenUsed/>
    <w:pPr>
      <w:spacing w:after="57"/>
    </w:pPr>
  </w:style>
  <w:style w:type="paragraph" w:styleId="Obsah2">
    <w:name w:val="toc 2"/>
    <w:basedOn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  <w:qFormat/>
  </w:style>
  <w:style w:type="paragraph" w:styleId="Seznamobrzk">
    <w:name w:val="table of figures"/>
    <w:basedOn w:val="Normln"/>
    <w:uiPriority w:val="99"/>
    <w:unhideWhenUsed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 w:val="0"/>
    </w:pPr>
  </w:style>
  <w:style w:type="paragraph" w:styleId="Nadpis1">
    <w:name w:val="heading 1"/>
    <w:basedOn w:val="Norml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Internetovodkaz">
    <w:name w:val="Internetový odkaz"/>
    <w:uiPriority w:val="99"/>
    <w:unhideWhenUsed/>
    <w:rPr>
      <w:color w:val="0000EE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basedOn w:val="Normln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Podtitul">
    <w:name w:val="Subtitle"/>
    <w:basedOn w:val="Normln"/>
    <w:uiPriority w:val="11"/>
    <w:qFormat/>
    <w:pPr>
      <w:spacing w:before="200" w:after="200"/>
    </w:pPr>
  </w:style>
  <w:style w:type="paragraph" w:styleId="Citt">
    <w:name w:val="Quote"/>
    <w:basedOn w:val="Normln"/>
    <w:uiPriority w:val="29"/>
    <w:qFormat/>
    <w:pPr>
      <w:ind w:left="720" w:right="720"/>
    </w:pPr>
    <w:rPr>
      <w:i/>
    </w:rPr>
  </w:style>
  <w:style w:type="paragraph" w:styleId="Vrazncitt">
    <w:name w:val="Intense Quote"/>
    <w:basedOn w:val="Norml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uiPriority w:val="99"/>
    <w:unhideWhenUsed/>
    <w:pPr>
      <w:tabs>
        <w:tab w:val="center" w:pos="7143"/>
        <w:tab w:val="right" w:pos="14287"/>
      </w:tabs>
    </w:pPr>
  </w:style>
  <w:style w:type="paragraph" w:styleId="Zpat">
    <w:name w:val="footer"/>
    <w:basedOn w:val="Normln"/>
    <w:uiPriority w:val="99"/>
    <w:unhideWhenUsed/>
    <w:pPr>
      <w:tabs>
        <w:tab w:val="center" w:pos="7143"/>
        <w:tab w:val="right" w:pos="14287"/>
      </w:tabs>
    </w:pPr>
  </w:style>
  <w:style w:type="paragraph" w:styleId="Textpoznpodarou">
    <w:name w:val="footnote text"/>
    <w:basedOn w:val="Normln"/>
    <w:uiPriority w:val="99"/>
    <w:semiHidden/>
    <w:unhideWhenUsed/>
    <w:pPr>
      <w:spacing w:after="40"/>
    </w:pPr>
    <w:rPr>
      <w:sz w:val="18"/>
    </w:rPr>
  </w:style>
  <w:style w:type="paragraph" w:styleId="Textvysvtlivek">
    <w:name w:val="endnote text"/>
    <w:basedOn w:val="Normln"/>
    <w:uiPriority w:val="99"/>
    <w:semiHidden/>
    <w:unhideWhenUsed/>
    <w:rPr>
      <w:sz w:val="20"/>
    </w:rPr>
  </w:style>
  <w:style w:type="paragraph" w:styleId="Obsah1">
    <w:name w:val="toc 1"/>
    <w:basedOn w:val="Normln"/>
    <w:uiPriority w:val="39"/>
    <w:unhideWhenUsed/>
    <w:pPr>
      <w:spacing w:after="57"/>
    </w:pPr>
  </w:style>
  <w:style w:type="paragraph" w:styleId="Obsah2">
    <w:name w:val="toc 2"/>
    <w:basedOn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  <w:qFormat/>
  </w:style>
  <w:style w:type="paragraph" w:styleId="Seznamobrzk">
    <w:name w:val="table of figures"/>
    <w:basedOn w:val="Normln"/>
    <w:uiPriority w:val="99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Alžbětiny Lázně, a.s.</dc:creator>
  <cp:lastModifiedBy>Alžbětiny Lázně, a.s.</cp:lastModifiedBy>
  <cp:revision>2</cp:revision>
  <dcterms:created xsi:type="dcterms:W3CDTF">2024-01-16T08:50:00Z</dcterms:created>
  <dcterms:modified xsi:type="dcterms:W3CDTF">2024-01-16T08:50:00Z</dcterms:modified>
  <dc:language>cs-CZ</dc:language>
</cp:coreProperties>
</file>