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0" w:line="240" w:lineRule="auto"/>
        <w:ind w:left="0" w:right="0" w:firstLine="0"/>
        <w:jc w:val="center"/>
      </w:pPr>
      <w:bookmarkStart w:id="0" w:name="bookmark0"/>
      <w:bookmarkStart w:id="1" w:name="bookmark1"/>
      <w:r>
        <w:rPr>
          <w:color w:val="000000"/>
          <w:spacing w:val="0"/>
          <w:w w:val="100"/>
          <w:position w:val="0"/>
          <w:sz w:val="24"/>
          <w:szCs w:val="24"/>
          <w:shd w:val="clear" w:color="auto" w:fill="auto"/>
          <w:lang w:val="cs-CZ" w:eastAsia="cs-CZ" w:bidi="cs-CZ"/>
        </w:rPr>
        <w:t>Smlouva o provedení recertifikačního auditu ČSN ISO 45001:2018</w:t>
      </w:r>
      <w:bookmarkEnd w:id="0"/>
      <w:bookmarkEnd w:id="1"/>
    </w:p>
    <w:p>
      <w:pPr>
        <w:pStyle w:val="Style2"/>
        <w:keepNext w:val="0"/>
        <w:keepLines w:val="0"/>
        <w:widowControl w:val="0"/>
        <w:shd w:val="clear" w:color="auto" w:fill="auto"/>
        <w:bidi w:val="0"/>
        <w:spacing w:before="0" w:after="420" w:line="240" w:lineRule="auto"/>
        <w:ind w:left="0" w:right="0" w:firstLine="0"/>
        <w:jc w:val="center"/>
      </w:pPr>
      <w:r>
        <w:rPr>
          <w:color w:val="000000"/>
          <w:spacing w:val="0"/>
          <w:w w:val="100"/>
          <w:position w:val="0"/>
          <w:shd w:val="clear" w:color="auto" w:fill="auto"/>
          <w:lang w:val="cs-CZ" w:eastAsia="cs-CZ" w:bidi="cs-CZ"/>
        </w:rPr>
        <w:t>uzavřená dle § 1746 odst. 2 zákona č. 89/2012 Sb., občanský zákoník (dále pouze „občanský zákoník“)</w:t>
      </w:r>
    </w:p>
    <w:tbl>
      <w:tblPr>
        <w:tblOverlap w:val="never"/>
        <w:jc w:val="center"/>
        <w:tblLayout w:type="fixed"/>
      </w:tblPr>
      <w:tblGrid>
        <w:gridCol w:w="1819"/>
        <w:gridCol w:w="7104"/>
      </w:tblGrid>
      <w:tr>
        <w:trPr>
          <w:trHeight w:val="590" w:hRule="exact"/>
        </w:trPr>
        <w:tc>
          <w:tcPr>
            <w:tcBorders/>
            <w:shd w:val="clear" w:color="auto" w:fill="FFFFFF"/>
            <w:vAlign w:val="top"/>
          </w:tcPr>
          <w:p>
            <w:pPr>
              <w:widowControl w:val="0"/>
              <w:rPr>
                <w:sz w:val="10"/>
                <w:szCs w:val="10"/>
              </w:rPr>
            </w:pPr>
          </w:p>
        </w:tc>
        <w:tc>
          <w:tcPr>
            <w:tcBorders/>
            <w:shd w:val="clear" w:color="auto" w:fill="FFFFFF"/>
            <w:vAlign w:val="center"/>
          </w:tcPr>
          <w:p>
            <w:pPr>
              <w:pStyle w:val="Style11"/>
              <w:keepNext w:val="0"/>
              <w:keepLines w:val="0"/>
              <w:widowControl w:val="0"/>
              <w:shd w:val="clear" w:color="auto" w:fill="auto"/>
              <w:bidi w:val="0"/>
              <w:spacing w:before="0" w:after="0" w:line="240" w:lineRule="auto"/>
              <w:ind w:left="2400" w:right="0" w:firstLine="0"/>
              <w:jc w:val="left"/>
            </w:pPr>
            <w:r>
              <w:rPr>
                <w:b/>
                <w:bCs/>
                <w:color w:val="000000"/>
                <w:spacing w:val="0"/>
                <w:w w:val="100"/>
                <w:position w:val="0"/>
                <w:shd w:val="clear" w:color="auto" w:fill="auto"/>
                <w:lang w:val="cs-CZ" w:eastAsia="cs-CZ" w:bidi="cs-CZ"/>
              </w:rPr>
              <w:t>Čl. I.</w:t>
            </w:r>
          </w:p>
          <w:p>
            <w:pPr>
              <w:pStyle w:val="Style11"/>
              <w:keepNext w:val="0"/>
              <w:keepLines w:val="0"/>
              <w:widowControl w:val="0"/>
              <w:shd w:val="clear" w:color="auto" w:fill="auto"/>
              <w:bidi w:val="0"/>
              <w:spacing w:before="0" w:after="0" w:line="240" w:lineRule="auto"/>
              <w:ind w:left="1980" w:right="0" w:firstLine="0"/>
              <w:jc w:val="left"/>
            </w:pPr>
            <w:r>
              <w:rPr>
                <w:b/>
                <w:bCs/>
                <w:color w:val="000000"/>
                <w:spacing w:val="0"/>
                <w:w w:val="100"/>
                <w:position w:val="0"/>
                <w:shd w:val="clear" w:color="auto" w:fill="auto"/>
                <w:lang w:val="cs-CZ" w:eastAsia="cs-CZ" w:bidi="cs-CZ"/>
              </w:rPr>
              <w:t>Smluvní strany</w:t>
            </w:r>
          </w:p>
        </w:tc>
      </w:tr>
      <w:tr>
        <w:trPr>
          <w:trHeight w:val="326"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Objednatel:</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Krajská správa a údržba silnic Vysočiny, příspěvková organizace</w:t>
            </w:r>
          </w:p>
        </w:tc>
      </w:tr>
      <w:tr>
        <w:trPr>
          <w:trHeight w:val="202"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Kosovská 1122/16, 586 01 Jihlava</w:t>
            </w:r>
          </w:p>
        </w:tc>
      </w:tr>
      <w:tr>
        <w:trPr>
          <w:trHeight w:val="264"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zastoupený:</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Radovanem Necidem, ředitelem organizace</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Bankovní spojení:</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Číslo účtu:</w:t>
      </w:r>
    </w:p>
    <w:p>
      <w:pPr>
        <w:widowControl w:val="0"/>
        <w:spacing w:line="1" w:lineRule="exact"/>
      </w:pPr>
    </w:p>
    <w:tbl>
      <w:tblPr>
        <w:tblOverlap w:val="never"/>
        <w:jc w:val="center"/>
        <w:tblLayout w:type="fixed"/>
      </w:tblPr>
      <w:tblGrid>
        <w:gridCol w:w="1819"/>
        <w:gridCol w:w="7104"/>
      </w:tblGrid>
      <w:tr>
        <w:trPr>
          <w:trHeight w:val="250"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00090450</w:t>
            </w:r>
          </w:p>
        </w:tc>
      </w:tr>
      <w:tr>
        <w:trPr>
          <w:trHeight w:val="24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CZ00090450</w:t>
            </w:r>
          </w:p>
        </w:tc>
      </w:tr>
    </w:tbl>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„Objednatel</w:t>
      </w:r>
    </w:p>
    <w:p>
      <w:pPr>
        <w:widowControl w:val="0"/>
        <w:spacing w:after="279" w:line="1" w:lineRule="exact"/>
      </w:pPr>
    </w:p>
    <w:p>
      <w:pPr>
        <w:widowControl w:val="0"/>
        <w:spacing w:line="1" w:lineRule="exact"/>
      </w:pPr>
    </w:p>
    <w:tbl>
      <w:tblPr>
        <w:tblOverlap w:val="never"/>
        <w:jc w:val="center"/>
        <w:tblLayout w:type="fixed"/>
      </w:tblPr>
      <w:tblGrid>
        <w:gridCol w:w="1819"/>
        <w:gridCol w:w="7104"/>
      </w:tblGrid>
      <w:tr>
        <w:trPr>
          <w:trHeight w:val="571" w:hRule="exact"/>
        </w:trPr>
        <w:tc>
          <w:tcPr>
            <w:tcBorders/>
            <w:shd w:val="clear" w:color="auto" w:fill="FFFFFF"/>
            <w:vAlign w:val="bottom"/>
          </w:tcPr>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Auditní společnost:</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CQS z.s.</w:t>
            </w:r>
          </w:p>
        </w:tc>
      </w:tr>
      <w:tr>
        <w:trPr>
          <w:trHeight w:val="187"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se sídlem:</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Prosecká 412/74, Praha 9, Prosek</w:t>
            </w:r>
          </w:p>
        </w:tc>
      </w:tr>
    </w:tbl>
    <w:p>
      <w:pPr>
        <w:widowControl w:val="0"/>
        <w:spacing w:line="1" w:lineRule="exact"/>
      </w:pPr>
    </w:p>
    <w:p>
      <w:pPr>
        <w:pStyle w:val="Style9"/>
        <w:keepNext w:val="0"/>
        <w:keepLines w:val="0"/>
        <w:widowControl w:val="0"/>
        <w:shd w:val="clear" w:color="auto" w:fill="auto"/>
        <w:bidi w:val="0"/>
        <w:spacing w:before="0" w:after="0" w:line="252" w:lineRule="auto"/>
        <w:ind w:left="0" w:right="0" w:firstLine="0"/>
        <w:jc w:val="left"/>
      </w:pPr>
      <w:r>
        <w:rPr>
          <w:color w:val="000000"/>
          <w:spacing w:val="0"/>
          <w:w w:val="100"/>
          <w:position w:val="0"/>
          <w:shd w:val="clear" w:color="auto" w:fill="auto"/>
          <w:lang w:val="cs-CZ" w:eastAsia="cs-CZ" w:bidi="cs-CZ"/>
        </w:rPr>
        <w:t>zastoupená: Ing. Tomášem Hruškou, předsedou sdružení zapsána ve spolkovém rejstříku u Městského soudu v Praze, sp. zn. L 58728 Osoby pověřené jednat jménem auditní společnosti ve věcech smluvních:</w:t>
      </w:r>
    </w:p>
    <w:tbl>
      <w:tblPr>
        <w:tblOverlap w:val="never"/>
        <w:jc w:val="center"/>
        <w:tblLayout w:type="fixed"/>
      </w:tblPr>
      <w:tblGrid>
        <w:gridCol w:w="1819"/>
        <w:gridCol w:w="7104"/>
      </w:tblGrid>
      <w:tr>
        <w:trPr>
          <w:trHeight w:val="24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IČO:</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69346305</w:t>
            </w:r>
          </w:p>
        </w:tc>
      </w:tr>
      <w:tr>
        <w:trPr>
          <w:trHeight w:val="245" w:hRule="exact"/>
        </w:trPr>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DIČ:</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CZ69346305</w:t>
            </w:r>
          </w:p>
        </w:tc>
      </w:tr>
    </w:tbl>
    <w:p>
      <w:pPr>
        <w:widowControl w:val="0"/>
        <w:spacing w:line="1" w:lineRule="exact"/>
      </w:pP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Telefon:</w:t>
      </w:r>
    </w:p>
    <w:p>
      <w:pPr>
        <w:pStyle w:val="Style9"/>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E-mail:</w:t>
      </w:r>
    </w:p>
    <w:tbl>
      <w:tblPr>
        <w:tblOverlap w:val="never"/>
        <w:jc w:val="center"/>
        <w:tblLayout w:type="fixed"/>
      </w:tblPr>
      <w:tblGrid>
        <w:gridCol w:w="1819"/>
        <w:gridCol w:w="7104"/>
      </w:tblGrid>
      <w:tr>
        <w:trPr>
          <w:trHeight w:val="1142" w:hRule="exact"/>
        </w:trPr>
        <w:tc>
          <w:tcPr>
            <w:tcBorders/>
            <w:shd w:val="clear" w:color="auto" w:fill="FFFFFF"/>
            <w:vAlign w:val="top"/>
          </w:tcPr>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(dále jen „Auditor“)</w:t>
            </w:r>
          </w:p>
        </w:tc>
        <w:tc>
          <w:tcPr>
            <w:tcBorders/>
            <w:shd w:val="clear" w:color="auto" w:fill="FFFFFF"/>
            <w:vAlign w:val="bottom"/>
          </w:tcPr>
          <w:p>
            <w:pPr>
              <w:pStyle w:val="Style11"/>
              <w:keepNext w:val="0"/>
              <w:keepLines w:val="0"/>
              <w:widowControl w:val="0"/>
              <w:shd w:val="clear" w:color="auto" w:fill="auto"/>
              <w:bidi w:val="0"/>
              <w:spacing w:before="0" w:after="0" w:line="240" w:lineRule="auto"/>
              <w:ind w:left="2400" w:right="0" w:firstLine="0"/>
              <w:jc w:val="left"/>
            </w:pPr>
            <w:r>
              <w:rPr>
                <w:b/>
                <w:bCs/>
                <w:color w:val="000000"/>
                <w:spacing w:val="0"/>
                <w:w w:val="100"/>
                <w:position w:val="0"/>
                <w:shd w:val="clear" w:color="auto" w:fill="auto"/>
                <w:lang w:val="cs-CZ" w:eastAsia="cs-CZ" w:bidi="cs-CZ"/>
              </w:rPr>
              <w:t>Čl. II.</w:t>
            </w:r>
          </w:p>
          <w:p>
            <w:pPr>
              <w:pStyle w:val="Style11"/>
              <w:keepNext w:val="0"/>
              <w:keepLines w:val="0"/>
              <w:widowControl w:val="0"/>
              <w:shd w:val="clear" w:color="auto" w:fill="auto"/>
              <w:bidi w:val="0"/>
              <w:spacing w:before="0" w:after="0" w:line="240" w:lineRule="auto"/>
              <w:ind w:left="1880" w:right="0" w:firstLine="0"/>
              <w:jc w:val="left"/>
            </w:pPr>
            <w:r>
              <w:rPr>
                <w:b/>
                <w:bCs/>
                <w:color w:val="000000"/>
                <w:spacing w:val="0"/>
                <w:w w:val="100"/>
                <w:position w:val="0"/>
                <w:shd w:val="clear" w:color="auto" w:fill="auto"/>
                <w:lang w:val="cs-CZ" w:eastAsia="cs-CZ" w:bidi="cs-CZ"/>
              </w:rPr>
              <w:t>Předmět smlouvy</w:t>
            </w:r>
          </w:p>
        </w:tc>
      </w:tr>
    </w:tbl>
    <w:p>
      <w:pPr>
        <w:widowControl w:val="0"/>
        <w:spacing w:after="219" w:line="1" w:lineRule="exact"/>
      </w:pPr>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se zavazuje pro objednatele provést recertifikační audit ČSN ISO 45001:2018, jejímž předmětem je Správa a údržba silnic včetně provádění souvisejících staveb a odstraňování a poskytování technických služeb dle normy ČSN ISO 45001 (SM BOZP).</w:t>
      </w:r>
    </w:p>
    <w:p>
      <w:pPr>
        <w:pStyle w:val="Style2"/>
        <w:keepNext w:val="0"/>
        <w:keepLines w:val="0"/>
        <w:widowControl w:val="0"/>
        <w:numPr>
          <w:ilvl w:val="0"/>
          <w:numId w:val="1"/>
        </w:numPr>
        <w:shd w:val="clear" w:color="auto" w:fill="auto"/>
        <w:tabs>
          <w:tab w:pos="360" w:val="left"/>
        </w:tabs>
        <w:bidi w:val="0"/>
        <w:spacing w:before="0" w:after="420" w:line="240" w:lineRule="auto"/>
        <w:ind w:left="0" w:right="0" w:firstLine="0"/>
        <w:jc w:val="both"/>
      </w:pPr>
      <w:r>
        <w:rPr>
          <w:color w:val="000000"/>
          <w:spacing w:val="0"/>
          <w:w w:val="100"/>
          <w:position w:val="0"/>
          <w:shd w:val="clear" w:color="auto" w:fill="auto"/>
          <w:lang w:val="cs-CZ" w:eastAsia="cs-CZ" w:bidi="cs-CZ"/>
        </w:rPr>
        <w:t>Auditor je srozuměn s tím, že objednatel požaduje provedení certifikace v termínu února roku 2024.</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III.</w:t>
      </w:r>
    </w:p>
    <w:p>
      <w:pPr>
        <w:pStyle w:val="Style15"/>
        <w:keepNext/>
        <w:keepLines/>
        <w:widowControl w:val="0"/>
        <w:shd w:val="clear" w:color="auto" w:fill="auto"/>
        <w:bidi w:val="0"/>
        <w:spacing w:before="0" w:line="240" w:lineRule="auto"/>
        <w:ind w:left="0" w:right="0" w:firstLine="0"/>
        <w:jc w:val="center"/>
      </w:pPr>
      <w:bookmarkStart w:id="2" w:name="bookmark2"/>
      <w:bookmarkStart w:id="3" w:name="bookmark3"/>
      <w:r>
        <w:rPr>
          <w:color w:val="000000"/>
          <w:spacing w:val="0"/>
          <w:w w:val="100"/>
          <w:position w:val="0"/>
          <w:shd w:val="clear" w:color="auto" w:fill="auto"/>
          <w:lang w:val="cs-CZ" w:eastAsia="cs-CZ" w:bidi="cs-CZ"/>
        </w:rPr>
        <w:t>Cena</w:t>
      </w:r>
      <w:bookmarkEnd w:id="2"/>
      <w:bookmarkEnd w:id="3"/>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Cena za provedení předmětu smlouvy je stanovena vzájemnou dohodou smluvních stran ve výši maximálně 65 000,- Kč bez DPH.</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Auditor prohlašuje, že v ceně za předmět smlouvy je zahrnuto:</w:t>
      </w:r>
    </w:p>
    <w:p>
      <w:pPr>
        <w:pStyle w:val="Style2"/>
        <w:keepNext w:val="0"/>
        <w:keepLines w:val="0"/>
        <w:widowControl w:val="0"/>
        <w:numPr>
          <w:ilvl w:val="0"/>
          <w:numId w:val="5"/>
        </w:numPr>
        <w:shd w:val="clear" w:color="auto" w:fill="auto"/>
        <w:tabs>
          <w:tab w:pos="1060" w:val="left"/>
        </w:tabs>
        <w:bidi w:val="0"/>
        <w:spacing w:before="0" w:after="0" w:line="240" w:lineRule="auto"/>
        <w:ind w:left="0" w:right="0" w:firstLine="700"/>
        <w:jc w:val="both"/>
      </w:pPr>
      <w:r>
        <w:rPr>
          <w:color w:val="000000"/>
          <w:spacing w:val="0"/>
          <w:w w:val="100"/>
          <w:position w:val="0"/>
          <w:shd w:val="clear" w:color="auto" w:fill="auto"/>
          <w:lang w:val="cs-CZ" w:eastAsia="cs-CZ" w:bidi="cs-CZ"/>
        </w:rPr>
        <w:t>Přezkoumání dokumentace + audity</w:t>
      </w:r>
    </w:p>
    <w:p>
      <w:pPr>
        <w:pStyle w:val="Style2"/>
        <w:keepNext w:val="0"/>
        <w:keepLines w:val="0"/>
        <w:widowControl w:val="0"/>
        <w:numPr>
          <w:ilvl w:val="0"/>
          <w:numId w:val="5"/>
        </w:numPr>
        <w:shd w:val="clear" w:color="auto" w:fill="auto"/>
        <w:tabs>
          <w:tab w:pos="1060" w:val="left"/>
        </w:tabs>
        <w:bidi w:val="0"/>
        <w:spacing w:before="0" w:after="0" w:line="240" w:lineRule="auto"/>
        <w:ind w:left="0" w:right="0" w:firstLine="700"/>
        <w:jc w:val="both"/>
      </w:pPr>
      <w:r>
        <w:rPr>
          <w:color w:val="000000"/>
          <w:spacing w:val="0"/>
          <w:w w:val="100"/>
          <w:position w:val="0"/>
          <w:shd w:val="clear" w:color="auto" w:fill="auto"/>
          <w:lang w:val="cs-CZ" w:eastAsia="cs-CZ" w:bidi="cs-CZ"/>
        </w:rPr>
        <w:t>Vypracování zpráv z auditu</w:t>
      </w:r>
    </w:p>
    <w:p>
      <w:pPr>
        <w:pStyle w:val="Style2"/>
        <w:keepNext w:val="0"/>
        <w:keepLines w:val="0"/>
        <w:widowControl w:val="0"/>
        <w:numPr>
          <w:ilvl w:val="0"/>
          <w:numId w:val="5"/>
        </w:numPr>
        <w:shd w:val="clear" w:color="auto" w:fill="auto"/>
        <w:tabs>
          <w:tab w:pos="1060" w:val="left"/>
        </w:tabs>
        <w:bidi w:val="0"/>
        <w:spacing w:before="0" w:after="0" w:line="240" w:lineRule="auto"/>
        <w:ind w:left="0" w:right="0" w:firstLine="700"/>
        <w:jc w:val="both"/>
      </w:pPr>
      <w:r>
        <w:rPr>
          <w:color w:val="000000"/>
          <w:spacing w:val="0"/>
          <w:w w:val="100"/>
          <w:position w:val="0"/>
          <w:shd w:val="clear" w:color="auto" w:fill="auto"/>
          <w:lang w:val="cs-CZ" w:eastAsia="cs-CZ" w:bidi="cs-CZ"/>
        </w:rPr>
        <w:t>Přezkoumání zpráv z auditu a rozhodnutí o certifikaci</w:t>
      </w:r>
    </w:p>
    <w:p>
      <w:pPr>
        <w:pStyle w:val="Style2"/>
        <w:keepNext w:val="0"/>
        <w:keepLines w:val="0"/>
        <w:widowControl w:val="0"/>
        <w:numPr>
          <w:ilvl w:val="0"/>
          <w:numId w:val="5"/>
        </w:numPr>
        <w:shd w:val="clear" w:color="auto" w:fill="auto"/>
        <w:tabs>
          <w:tab w:pos="1060" w:val="left"/>
        </w:tabs>
        <w:bidi w:val="0"/>
        <w:spacing w:before="0" w:after="660" w:line="240" w:lineRule="auto"/>
        <w:ind w:left="0" w:right="0" w:firstLine="700"/>
        <w:jc w:val="both"/>
      </w:pPr>
      <w:r>
        <w:rPr>
          <w:color w:val="000000"/>
          <w:spacing w:val="0"/>
          <w:w w:val="100"/>
          <w:position w:val="0"/>
          <w:shd w:val="clear" w:color="auto" w:fill="auto"/>
          <w:lang w:val="cs-CZ" w:eastAsia="cs-CZ" w:bidi="cs-CZ"/>
        </w:rPr>
        <w:t>Doprava a ubytování zaměstnanců auditora dle skutečných nákladů</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IV.</w:t>
      </w:r>
    </w:p>
    <w:p>
      <w:pPr>
        <w:pStyle w:val="Style15"/>
        <w:keepNext/>
        <w:keepLines/>
        <w:widowControl w:val="0"/>
        <w:shd w:val="clear" w:color="auto" w:fill="auto"/>
        <w:bidi w:val="0"/>
        <w:spacing w:before="0" w:line="240" w:lineRule="auto"/>
        <w:ind w:left="0" w:right="0" w:firstLine="0"/>
        <w:jc w:val="center"/>
      </w:pPr>
      <w:bookmarkStart w:id="4" w:name="bookmark4"/>
      <w:bookmarkStart w:id="5" w:name="bookmark5"/>
      <w:r>
        <w:rPr>
          <w:color w:val="000000"/>
          <w:spacing w:val="0"/>
          <w:w w:val="100"/>
          <w:position w:val="0"/>
          <w:shd w:val="clear" w:color="auto" w:fill="auto"/>
          <w:lang w:val="cs-CZ" w:eastAsia="cs-CZ" w:bidi="cs-CZ"/>
        </w:rPr>
        <w:t>Povinnosti objednatele</w:t>
      </w:r>
      <w:bookmarkEnd w:id="4"/>
      <w:bookmarkEnd w:id="5"/>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1) Objednatel se zavazuje ve sjednaném termínu umožnit auditorovi zahájení recertifikačního auditu a poskytnout mu potřebnou součinnost.</w:t>
      </w:r>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Pracovníkům týmu auditorů předložit na vyžádání veškerou dokumentaci popisující systém managementu, umožnit přístup do všech prostor, ve kterých je třeba prověřit plnění výše uvedené normy a poskytnout všechny požadované informace.</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Bezodkladně písemně informovat auditora o všech změnách, majících vliv na systém management od vydání certifikátu po dobu jeho platnosti (např. změny v předmětu certifikace včetně změn v případné příloze k certifikátu, pokud je vydána; změny vztahující se k obchodnímu, organizačnímu statutu nebo vlastnictví; k organizaci a managementu; změny kontaktní adresy a kontakty na pracoviště; významné změny v systému managementu a procesech apod.); bezodkladně písemně informovat, dojde-li k závažnému incidentu nebo porušení předpisu (např. vážná nehoda nebo závažné porušení předpisu) vyžadující zapojení příslušného regulačního úřadu.</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Přestat využívat všech výhod plynoucích z certifikátu při ukončení platnosti certifikátu (jakýmkoliv způsobem), při pozastavení jeho účinnosti, zrušení nebo převedení. Při odejmutí certifikátu neprodleně vrátit originály všech výtisků certifikátů CQS a IQNET na sekretariát CQS.</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Podrobit se na vyzvání auditora provedení kontrolních (dozorových) auditů jedenkrát ročně v rozsahu výše uvedené normy.</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Umožnit auditorovi zabezpečit přítomnost pozorovatelů — posuzovatelů akreditačního orgánu, pokud o to akreditační orgán požádá auditora.</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Udržovat certifikovaný systém managementu trvale v souladu s požadavky výše uvedené normy.</w:t>
      </w:r>
    </w:p>
    <w:p>
      <w:pPr>
        <w:pStyle w:val="Style2"/>
        <w:keepNext w:val="0"/>
        <w:keepLines w:val="0"/>
        <w:widowControl w:val="0"/>
        <w:numPr>
          <w:ilvl w:val="0"/>
          <w:numId w:val="3"/>
        </w:numPr>
        <w:shd w:val="clear" w:color="auto" w:fill="auto"/>
        <w:tabs>
          <w:tab w:pos="360" w:val="left"/>
        </w:tabs>
        <w:bidi w:val="0"/>
        <w:spacing w:before="0" w:line="240" w:lineRule="auto"/>
        <w:ind w:left="0" w:right="0" w:firstLine="0"/>
        <w:jc w:val="both"/>
      </w:pPr>
      <w:r>
        <w:rPr>
          <w:color w:val="000000"/>
          <w:spacing w:val="0"/>
          <w:w w:val="100"/>
          <w:position w:val="0"/>
          <w:shd w:val="clear" w:color="auto" w:fill="auto"/>
          <w:lang w:val="cs-CZ" w:eastAsia="cs-CZ" w:bidi="cs-CZ"/>
        </w:rPr>
        <w:t>Nečinit žádná zavádějící prohlášení týkající se certifikace.</w:t>
      </w:r>
    </w:p>
    <w:p>
      <w:pPr>
        <w:pStyle w:val="Style2"/>
        <w:keepNext w:val="0"/>
        <w:keepLines w:val="0"/>
        <w:widowControl w:val="0"/>
        <w:numPr>
          <w:ilvl w:val="0"/>
          <w:numId w:val="3"/>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Prohlašovat, že má certifikován systém managementu jen v rozsahu platného certifikátu a používat certifikát, případně certifikační značku IQNET a CQS předepsaným způsobem. Neprohlašovat, že má certifikovaný systém managementu na obalech produktů nebo v doprovodných informacích k produktům (za obal produktu se považuje to, co lze z produktu odejmout bez rozebrání nebo jeho poškození; za doprovodné informace k produktům se povazují informace, které jsou samostatně dostupné nebo snadno od produktu oddělitelné; označení typu nebo identifikační štítky jsou považovány za součást produktu). Žádné prohlášení nesmí identifikovat, že jsou certifikovány produkty, procesy nebo služby. Prohlášení musí obsahovat odkaz na identifikaci objednatele, typ systému managementu a příslušnou normu, odkaz na certifikační orgán vydávající certifikát. Nenaznačovat, že certifikace platí pro činnosti a místa, která jsou mimo rozsah certifikace. Nepoužívat certifikaci způsobem naznačujícím, že výrobek nebo služba jsou schváleny certifikačním orgánem nebo způsobem, který by mohl vést ke zpochybnění certifikačního orgánu nebo certifikačního systému nebo ke ztrátě důvěry veřejnosti. Nepoužívat certifikační dokument, zprávu nebo jejich část zavádějícím způsobem.</w:t>
      </w:r>
    </w:p>
    <w:p>
      <w:pPr>
        <w:pStyle w:val="Style2"/>
        <w:keepNext w:val="0"/>
        <w:keepLines w:val="0"/>
        <w:widowControl w:val="0"/>
        <w:numPr>
          <w:ilvl w:val="0"/>
          <w:numId w:val="3"/>
        </w:numPr>
        <w:shd w:val="clear" w:color="auto" w:fill="auto"/>
        <w:tabs>
          <w:tab w:pos="399" w:val="left"/>
        </w:tabs>
        <w:bidi w:val="0"/>
        <w:spacing w:before="0" w:line="240" w:lineRule="auto"/>
        <w:ind w:left="380" w:right="0" w:hanging="380"/>
        <w:jc w:val="both"/>
      </w:pPr>
      <w:r>
        <w:rPr>
          <w:color w:val="000000"/>
          <w:spacing w:val="0"/>
          <w:w w:val="100"/>
          <w:position w:val="0"/>
          <w:shd w:val="clear" w:color="auto" w:fill="auto"/>
          <w:lang w:val="cs-CZ" w:eastAsia="cs-CZ" w:bidi="cs-CZ"/>
        </w:rPr>
        <w:t>Odkazovat se na stav své certifikace ve sdělovacích prostředcích (jako např. na internetu, v brožurách, reklamě nebo v dalších dokumentech) v souladu s uvedenými požadavky. Upravit veškeré reklamní materiály pokud by byl rozsah certifikace omezen. Při ukončení certifikace přestat využívat reklamní materiály obsahující odkaz na certifikaci.</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Čl. V.</w:t>
      </w:r>
    </w:p>
    <w:p>
      <w:pPr>
        <w:pStyle w:val="Style15"/>
        <w:keepNext/>
        <w:keepLines/>
        <w:widowControl w:val="0"/>
        <w:shd w:val="clear" w:color="auto" w:fill="auto"/>
        <w:bidi w:val="0"/>
        <w:spacing w:before="0" w:line="240" w:lineRule="auto"/>
        <w:ind w:left="0" w:right="0" w:firstLine="0"/>
        <w:jc w:val="center"/>
      </w:pPr>
      <w:bookmarkStart w:id="6" w:name="bookmark6"/>
      <w:bookmarkStart w:id="7" w:name="bookmark7"/>
      <w:r>
        <w:rPr>
          <w:color w:val="000000"/>
          <w:spacing w:val="0"/>
          <w:w w:val="100"/>
          <w:position w:val="0"/>
          <w:shd w:val="clear" w:color="auto" w:fill="auto"/>
          <w:lang w:val="cs-CZ" w:eastAsia="cs-CZ" w:bidi="cs-CZ"/>
        </w:rPr>
        <w:t>Závěrečná ustanovení</w:t>
      </w:r>
      <w:bookmarkEnd w:id="6"/>
      <w:bookmarkEnd w:id="7"/>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1) Tato smlouva je vyhotovena v elektronické podobě, přičemž obě smluvní strany obdrží její elektronický originál.</w:t>
      </w:r>
    </w:p>
    <w:p>
      <w:pPr>
        <w:pStyle w:val="Style2"/>
        <w:keepNext w:val="0"/>
        <w:keepLines w:val="0"/>
        <w:widowControl w:val="0"/>
        <w:shd w:val="clear" w:color="auto" w:fill="auto"/>
        <w:bidi w:val="0"/>
        <w:spacing w:before="0" w:line="240" w:lineRule="auto"/>
        <w:ind w:left="380" w:right="0" w:hanging="380"/>
        <w:jc w:val="both"/>
      </w:pPr>
      <w:r>
        <w:rPr>
          <w:color w:val="000000"/>
          <w:spacing w:val="0"/>
          <w:w w:val="100"/>
          <w:position w:val="0"/>
          <w:shd w:val="clear" w:color="auto" w:fill="auto"/>
          <w:lang w:val="cs-CZ" w:eastAsia="cs-CZ" w:bidi="cs-CZ"/>
        </w:rPr>
        <w:t>2) Smluvní strany prohlašují, že skutečnosti uvedené v této smlouvě nepovažují za obchodní tajemství a udělují svolení k jejich zpřístupnění ve smyslu zák. č. 106/1999 Sb. o svobodném přístupu k informacím a zveřejnění bez stanovení jakýchkoliv dalších podmínek.</w:t>
      </w:r>
    </w:p>
    <w:p>
      <w:pPr>
        <w:pStyle w:val="Style2"/>
        <w:keepNext w:val="0"/>
        <w:keepLines w:val="0"/>
        <w:widowControl w:val="0"/>
        <w:numPr>
          <w:ilvl w:val="0"/>
          <w:numId w:val="1"/>
        </w:numPr>
        <w:shd w:val="clear" w:color="auto" w:fill="auto"/>
        <w:tabs>
          <w:tab w:pos="360" w:val="left"/>
        </w:tabs>
        <w:bidi w:val="0"/>
        <w:spacing w:before="0" w:line="240" w:lineRule="auto"/>
        <w:ind w:left="380" w:right="0" w:hanging="380"/>
        <w:jc w:val="both"/>
      </w:pPr>
      <w:r>
        <w:rPr>
          <w:color w:val="000000"/>
          <w:spacing w:val="0"/>
          <w:w w:val="100"/>
          <w:position w:val="0"/>
          <w:shd w:val="clear" w:color="auto" w:fill="auto"/>
          <w:lang w:val="cs-CZ" w:eastAsia="cs-CZ" w:bidi="cs-CZ"/>
        </w:rPr>
        <w:t>Auditor bere na vědomí, že smlouva bude zveřejněna v informačním registru veřejné správy v souladu se zák. č. 340/2015 Sb. o registru smluv. Současně se smluvní strany dohodly, že tuto zákonnou povinnost splní objednatel. Auditor výslovně souhlasí se zveřejněním celého jejího textu.</w:t>
      </w:r>
    </w:p>
    <w:p>
      <w:pPr>
        <w:pStyle w:val="Style2"/>
        <w:keepNext w:val="0"/>
        <w:keepLines w:val="0"/>
        <w:widowControl w:val="0"/>
        <w:numPr>
          <w:ilvl w:val="0"/>
          <w:numId w:val="1"/>
        </w:numPr>
        <w:shd w:val="clear" w:color="auto" w:fill="auto"/>
        <w:tabs>
          <w:tab w:pos="360" w:val="left"/>
        </w:tabs>
        <w:bidi w:val="0"/>
        <w:spacing w:before="0" w:line="259" w:lineRule="auto"/>
        <w:ind w:left="380" w:right="0" w:hanging="380"/>
        <w:jc w:val="both"/>
      </w:pPr>
      <w:r>
        <w:rPr>
          <w:color w:val="000000"/>
          <w:spacing w:val="0"/>
          <w:w w:val="100"/>
          <w:position w:val="0"/>
          <w:shd w:val="clear" w:color="auto" w:fill="auto"/>
          <w:lang w:val="cs-CZ" w:eastAsia="cs-CZ" w:bidi="cs-CZ"/>
        </w:rPr>
        <w:t>Smlouva je platná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elektronického dokumentu (tj. do všech samostatných souborů tvořících v souhrnu Smlouvu, a to oběma smluvními stranami).</w:t>
      </w:r>
      <w:r>
        <w:br w:type="page"/>
      </w:r>
    </w:p>
    <w:p>
      <w:pPr>
        <w:pStyle w:val="Style2"/>
        <w:keepNext w:val="0"/>
        <w:keepLines w:val="0"/>
        <w:widowControl w:val="0"/>
        <w:numPr>
          <w:ilvl w:val="0"/>
          <w:numId w:val="1"/>
        </w:numPr>
        <w:shd w:val="clear" w:color="auto" w:fill="auto"/>
        <w:tabs>
          <w:tab w:pos="580" w:val="left"/>
        </w:tabs>
        <w:bidi w:val="0"/>
        <w:spacing w:before="0" w:line="240" w:lineRule="auto"/>
        <w:ind w:left="0" w:right="0" w:firstLine="220"/>
        <w:jc w:val="left"/>
      </w:pPr>
      <w:r>
        <w:rPr>
          <w:color w:val="000000"/>
          <w:spacing w:val="0"/>
          <w:w w:val="100"/>
          <w:position w:val="0"/>
          <w:shd w:val="clear" w:color="auto" w:fill="auto"/>
          <w:lang w:val="cs-CZ" w:eastAsia="cs-CZ" w:bidi="cs-CZ"/>
        </w:rPr>
        <w:t>Smlouva je účinná dnem jejího uveřejnění v registru smluv.</w:t>
      </w:r>
    </w:p>
    <w:p>
      <w:pPr>
        <w:pStyle w:val="Style2"/>
        <w:keepNext w:val="0"/>
        <w:keepLines w:val="0"/>
        <w:widowControl w:val="0"/>
        <w:numPr>
          <w:ilvl w:val="0"/>
          <w:numId w:val="1"/>
        </w:numPr>
        <w:shd w:val="clear" w:color="auto" w:fill="auto"/>
        <w:tabs>
          <w:tab w:pos="580" w:val="left"/>
        </w:tabs>
        <w:bidi w:val="0"/>
        <w:spacing w:before="0" w:line="240" w:lineRule="auto"/>
        <w:ind w:left="0" w:right="0" w:firstLine="220"/>
        <w:jc w:val="left"/>
      </w:pPr>
      <w:r>
        <w:rPr>
          <w:color w:val="000000"/>
          <w:spacing w:val="0"/>
          <w:w w:val="100"/>
          <w:position w:val="0"/>
          <w:shd w:val="clear" w:color="auto" w:fill="auto"/>
          <w:lang w:val="cs-CZ" w:eastAsia="cs-CZ" w:bidi="cs-CZ"/>
        </w:rPr>
        <w:t>Smluvní vztahy neupravené v této smlouvě se řídí občanským zákoníkem.</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Auditor se zavazuje, že v případě nesplnění termínu dodání zaplatí objednateli smluvní pokutu ve výši 0,02% z celkové ceny dodávky bez DPH za každý započatý den prodlení.</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Předmět smlouvy bude realizován ve věcném plnění, lhůtě, ceně, při dodržení předpisů BOZP a dalších podmínek uvedených ve smlouvě.</w:t>
      </w:r>
    </w:p>
    <w:p>
      <w:pPr>
        <w:pStyle w:val="Style2"/>
        <w:keepNext w:val="0"/>
        <w:keepLines w:val="0"/>
        <w:widowControl w:val="0"/>
        <w:numPr>
          <w:ilvl w:val="0"/>
          <w:numId w:val="1"/>
        </w:numPr>
        <w:shd w:val="clear" w:color="auto" w:fill="auto"/>
        <w:tabs>
          <w:tab w:pos="580" w:val="left"/>
        </w:tabs>
        <w:bidi w:val="0"/>
        <w:spacing w:before="0" w:line="240" w:lineRule="auto"/>
        <w:ind w:left="580" w:right="0" w:hanging="360"/>
        <w:jc w:val="both"/>
      </w:pPr>
      <w:r>
        <w:rPr>
          <w:color w:val="000000"/>
          <w:spacing w:val="0"/>
          <w:w w:val="100"/>
          <w:position w:val="0"/>
          <w:shd w:val="clear" w:color="auto" w:fill="auto"/>
          <w:lang w:val="cs-CZ" w:eastAsia="cs-CZ" w:bidi="cs-CZ"/>
        </w:rPr>
        <w:t>Nebude-li z textu faktury zřejmý předmět a rozsah dodávky, bude k faktuře doložen rozpis uskutečněné dodávky (např. formou dodacího listu), u provedených prací či služeb bude práce předána předávacím protokolem objednateli.</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Objednatel si vyhrazuje právo proplatit fakturu do 30 dnů od dne doručení, pokud bude obsahovat veškeré náležitosti.</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Úhrada za plnění z této smlouvy bude realizována bezhotovostním převodem na účet auditora, který je správcem daně (finančním úřadem) zveřejněn způsobem umožňujícím dálkový přístup ve smyslu ustanovení § 98 zák. č. 235/2004 Sb. o dani z přidané hodnoty, v platném znění.</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Pokud se po dobu účinnosti této smlouvy auditor stane nespolehlivým plátcem ve smyslu ustanovení § 106a zákona o DPH, smluvní strany se dohodly, že objednatel uhradí DPH za zdanitelné plnění přímo příslušnému správci daně. Objednatelem takto provedená úhrada je považována za uhrazení příslušné části smluvní ceny rovnající se výši DPH fakturované auditorem.</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Neodstraní-li auditor vady v přiměřené době, určené objednatelem dle charakteru vady v rámci oznámení auditorovi, je objednatel oprávněn vady odstranit na náklady auditora.</w:t>
      </w:r>
    </w:p>
    <w:p>
      <w:pPr>
        <w:pStyle w:val="Style2"/>
        <w:keepNext w:val="0"/>
        <w:keepLines w:val="0"/>
        <w:widowControl w:val="0"/>
        <w:numPr>
          <w:ilvl w:val="0"/>
          <w:numId w:val="1"/>
        </w:numPr>
        <w:shd w:val="clear" w:color="auto" w:fill="auto"/>
        <w:tabs>
          <w:tab w:pos="619" w:val="left"/>
        </w:tabs>
        <w:bidi w:val="0"/>
        <w:spacing w:before="0" w:line="240" w:lineRule="auto"/>
        <w:ind w:left="580" w:right="0" w:hanging="360"/>
        <w:jc w:val="both"/>
      </w:pPr>
      <w:r>
        <w:rPr>
          <w:color w:val="000000"/>
          <w:spacing w:val="0"/>
          <w:w w:val="100"/>
          <w:position w:val="0"/>
          <w:shd w:val="clear" w:color="auto" w:fill="auto"/>
          <w:lang w:val="cs-CZ" w:eastAsia="cs-CZ" w:bidi="cs-CZ"/>
        </w:rPr>
        <w:t>Smluvní pokuta za prodlení s odstraňováním vad činí částku rovnající se 0,02% z celkové ceny plnění, za každý den prodlení s odstraňováním vad.</w:t>
      </w:r>
    </w:p>
    <w:p>
      <w:pPr>
        <w:pStyle w:val="Style2"/>
        <w:keepNext w:val="0"/>
        <w:keepLines w:val="0"/>
        <w:widowControl w:val="0"/>
        <w:numPr>
          <w:ilvl w:val="0"/>
          <w:numId w:val="1"/>
        </w:numPr>
        <w:shd w:val="clear" w:color="auto" w:fill="auto"/>
        <w:tabs>
          <w:tab w:pos="619" w:val="left"/>
        </w:tabs>
        <w:bidi w:val="0"/>
        <w:spacing w:before="0" w:line="240" w:lineRule="auto"/>
        <w:ind w:left="0" w:right="0" w:firstLine="220"/>
        <w:jc w:val="both"/>
      </w:pPr>
      <w:r>
        <w:rPr>
          <w:color w:val="000000"/>
          <w:spacing w:val="0"/>
          <w:w w:val="100"/>
          <w:position w:val="0"/>
          <w:shd w:val="clear" w:color="auto" w:fill="auto"/>
          <w:lang w:val="cs-CZ" w:eastAsia="cs-CZ" w:bidi="cs-CZ"/>
        </w:rPr>
        <w:t>Záruční doba na věcné plnění se nesjednává.</w:t>
      </w:r>
    </w:p>
    <w:p>
      <w:pPr>
        <w:pStyle w:val="Style2"/>
        <w:keepNext w:val="0"/>
        <w:keepLines w:val="0"/>
        <w:widowControl w:val="0"/>
        <w:numPr>
          <w:ilvl w:val="0"/>
          <w:numId w:val="1"/>
        </w:numPr>
        <w:shd w:val="clear" w:color="auto" w:fill="auto"/>
        <w:tabs>
          <w:tab w:pos="619" w:val="left"/>
        </w:tabs>
        <w:bidi w:val="0"/>
        <w:spacing w:before="0" w:after="880" w:line="240" w:lineRule="auto"/>
        <w:ind w:left="580" w:right="0" w:hanging="360"/>
        <w:jc w:val="both"/>
      </w:pPr>
      <w:r>
        <w:rPr>
          <w:color w:val="000000"/>
          <w:spacing w:val="0"/>
          <w:w w:val="100"/>
          <w:position w:val="0"/>
          <w:shd w:val="clear" w:color="auto" w:fill="auto"/>
          <w:lang w:val="cs-CZ" w:eastAsia="cs-CZ" w:bidi="cs-CZ"/>
        </w:rPr>
        <w:t>Smluvní strany se dohodly, že mohou v souladu s § 2894 a násl. občanského zákoníku uplatnit i svá práva na náhradu škody v prokázané výši, která jim v souvislosti s porušením smluvní povinnosti druhou smluvní stranou vznikla; k povinnostem, k nimž se vztahují popsané smluvní pokuty, pak i vedle nároku na smluvní pokutu.</w:t>
      </w:r>
    </w:p>
    <w:p>
      <w:pPr>
        <w:pStyle w:val="Style2"/>
        <w:keepNext w:val="0"/>
        <w:keepLines w:val="0"/>
        <w:widowControl w:val="0"/>
        <w:shd w:val="clear" w:color="auto" w:fill="auto"/>
        <w:bidi w:val="0"/>
        <w:spacing w:before="0" w:after="0" w:line="240" w:lineRule="auto"/>
        <w:ind w:left="4100" w:right="0" w:firstLine="0"/>
        <w:jc w:val="left"/>
        <w:sectPr>
          <w:footerReference w:type="default" r:id="rId5"/>
          <w:footnotePr>
            <w:pos w:val="pageBottom"/>
            <w:numFmt w:val="decimal"/>
            <w:numRestart w:val="continuous"/>
          </w:footnotePr>
          <w:pgSz w:w="11900" w:h="16840"/>
          <w:pgMar w:top="1393" w:left="1450" w:right="1316" w:bottom="1227" w:header="965"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920750</wp:posOffset>
                </wp:positionH>
                <wp:positionV relativeFrom="paragraph">
                  <wp:posOffset>12700</wp:posOffset>
                </wp:positionV>
                <wp:extent cx="435610" cy="155575"/>
                <wp:wrapSquare wrapText="bothSides"/>
                <wp:docPr id="3" name="Shape 3"/>
                <a:graphic xmlns:a="http://schemas.openxmlformats.org/drawingml/2006/main">
                  <a:graphicData uri="http://schemas.microsoft.com/office/word/2010/wordprocessingShape">
                    <wps:wsp>
                      <wps:cNvSpPr txBox="1"/>
                      <wps:spPr>
                        <a:xfrm>
                          <a:ext cx="435610" cy="15557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Auditor:</w:t>
                            </w:r>
                          </w:p>
                        </w:txbxContent>
                      </wps:txbx>
                      <wps:bodyPr wrap="none" lIns="0" tIns="0" rIns="0" bIns="0">
                        <a:noAutoFit/>
                      </wps:bodyPr>
                    </wps:wsp>
                  </a:graphicData>
                </a:graphic>
              </wp:anchor>
            </w:drawing>
          </mc:Choice>
          <mc:Fallback>
            <w:pict>
              <v:shape id="_x0000_s1029" type="#_x0000_t202" style="position:absolute;margin-left:72.5pt;margin-top:1.pt;width:34.299999999999997pt;height:12.2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Auditor:</w:t>
                      </w:r>
                    </w:p>
                  </w:txbxContent>
                </v:textbox>
                <w10:wrap type="square" anchorx="page"/>
              </v:shape>
            </w:pict>
          </mc:Fallback>
        </mc:AlternateContent>
      </w:r>
      <w:r>
        <w:rPr>
          <w:color w:val="000000"/>
          <w:spacing w:val="0"/>
          <w:w w:val="100"/>
          <w:position w:val="0"/>
          <w:shd w:val="clear" w:color="auto" w:fill="auto"/>
          <w:lang w:val="cs-CZ" w:eastAsia="cs-CZ" w:bidi="cs-CZ"/>
        </w:rPr>
        <w:t>Objednatel:</w:t>
      </w:r>
    </w:p>
    <w:p>
      <w:pPr>
        <w:widowControl w:val="0"/>
        <w:spacing w:line="81" w:lineRule="exact"/>
        <w:rPr>
          <w:sz w:val="7"/>
          <w:szCs w:val="7"/>
        </w:rPr>
      </w:pPr>
    </w:p>
    <w:p>
      <w:pPr>
        <w:widowControl w:val="0"/>
        <w:spacing w:line="1" w:lineRule="exact"/>
        <w:sectPr>
          <w:footnotePr>
            <w:pos w:val="pageBottom"/>
            <w:numFmt w:val="decimal"/>
            <w:numRestart w:val="continuous"/>
          </w:footnotePr>
          <w:type w:val="continuous"/>
          <w:pgSz w:w="11900" w:h="16840"/>
          <w:pgMar w:top="1623" w:left="0" w:right="0" w:bottom="3089" w:header="0" w:footer="3" w:gutter="0"/>
          <w:cols w:space="720"/>
          <w:noEndnote/>
          <w:rtlGutter w:val="0"/>
          <w:docGrid w:linePitch="360"/>
        </w:sectPr>
      </w:pPr>
    </w:p>
    <w:p>
      <w:pPr>
        <w:pStyle w:val="Style2"/>
        <w:keepNext w:val="0"/>
        <w:keepLines w:val="0"/>
        <w:widowControl w:val="0"/>
        <w:shd w:val="clear" w:color="auto" w:fill="auto"/>
        <w:tabs>
          <w:tab w:leader="dot" w:pos="2486" w:val="left"/>
        </w:tabs>
        <w:bidi w:val="0"/>
        <w:spacing w:before="0" w:after="0" w:line="240" w:lineRule="auto"/>
        <w:ind w:left="0" w:right="0" w:firstLine="0"/>
        <w:jc w:val="left"/>
      </w:pPr>
      <w:r>
        <w:rPr>
          <w:color w:val="000000"/>
          <w:spacing w:val="0"/>
          <w:w w:val="100"/>
          <w:position w:val="0"/>
          <w:shd w:val="clear" w:color="auto" w:fill="auto"/>
          <w:lang w:val="cs-CZ" w:eastAsia="cs-CZ" w:bidi="cs-CZ"/>
        </w:rPr>
        <w:t xml:space="preserve">V Praze dne: </w:t>
        <w:tab/>
      </w:r>
    </w:p>
    <w:p>
      <w:pPr>
        <w:pStyle w:val="Style2"/>
        <w:keepNext w:val="0"/>
        <w:keepLines w:val="0"/>
        <w:widowControl w:val="0"/>
        <w:shd w:val="clear" w:color="auto" w:fill="auto"/>
        <w:tabs>
          <w:tab w:leader="dot" w:pos="2582" w:val="left"/>
        </w:tabs>
        <w:bidi w:val="0"/>
        <w:spacing w:before="0" w:after="0" w:line="240" w:lineRule="auto"/>
        <w:ind w:left="0" w:right="0" w:firstLine="0"/>
        <w:jc w:val="left"/>
        <w:sectPr>
          <w:footnotePr>
            <w:pos w:val="pageBottom"/>
            <w:numFmt w:val="decimal"/>
            <w:numRestart w:val="continuous"/>
          </w:footnotePr>
          <w:type w:val="continuous"/>
          <w:pgSz w:w="11900" w:h="16840"/>
          <w:pgMar w:top="1623" w:left="1383" w:right="2914" w:bottom="3089" w:header="0" w:footer="3" w:gutter="0"/>
          <w:cols w:num="2" w:space="2304"/>
          <w:noEndnote/>
          <w:rtlGutter w:val="0"/>
          <w:docGrid w:linePitch="360"/>
        </w:sectPr>
      </w:pPr>
      <w:r>
        <w:rPr>
          <w:color w:val="000000"/>
          <w:spacing w:val="0"/>
          <w:w w:val="100"/>
          <w:position w:val="0"/>
          <w:shd w:val="clear" w:color="auto" w:fill="auto"/>
          <w:lang w:val="cs-CZ" w:eastAsia="cs-CZ" w:bidi="cs-CZ"/>
        </w:rPr>
        <w:t xml:space="preserve">V Jihlavě dne: </w:t>
        <w:tab/>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86" w:after="86" w:line="240" w:lineRule="exact"/>
        <w:rPr>
          <w:sz w:val="19"/>
          <w:szCs w:val="19"/>
        </w:rPr>
      </w:pPr>
    </w:p>
    <w:p>
      <w:pPr>
        <w:widowControl w:val="0"/>
        <w:spacing w:line="1" w:lineRule="exact"/>
        <w:sectPr>
          <w:footnotePr>
            <w:pos w:val="pageBottom"/>
            <w:numFmt w:val="decimal"/>
            <w:numRestart w:val="continuous"/>
          </w:footnotePr>
          <w:type w:val="continuous"/>
          <w:pgSz w:w="11900" w:h="16840"/>
          <w:pgMar w:top="1623" w:left="0" w:right="0" w:bottom="1623"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920750</wp:posOffset>
                </wp:positionH>
                <wp:positionV relativeFrom="paragraph">
                  <wp:posOffset>12700</wp:posOffset>
                </wp:positionV>
                <wp:extent cx="1021080" cy="429895"/>
                <wp:wrapSquare wrapText="bothSides"/>
                <wp:docPr id="5" name="Shape 5"/>
                <a:graphic xmlns:a="http://schemas.openxmlformats.org/drawingml/2006/main">
                  <a:graphicData uri="http://schemas.microsoft.com/office/word/2010/wordprocessingShape">
                    <wps:wsp>
                      <wps:cNvSpPr txBox="1"/>
                      <wps:spPr>
                        <a:xfrm>
                          <a:ext cx="1021080" cy="42989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Jana Olšanská výkonná ředitelka CQS z.s.</w:t>
                            </w:r>
                          </w:p>
                        </w:txbxContent>
                      </wps:txbx>
                      <wps:bodyPr lIns="0" tIns="0" rIns="0" bIns="0">
                        <a:noAutoFit/>
                      </wps:bodyPr>
                    </wps:wsp>
                  </a:graphicData>
                </a:graphic>
              </wp:anchor>
            </w:drawing>
          </mc:Choice>
          <mc:Fallback>
            <w:pict>
              <v:shape id="_x0000_s1031" type="#_x0000_t202" style="position:absolute;margin-left:72.5pt;margin-top:1.pt;width:80.400000000000006pt;height:33.850000000000001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Ing. Jana Olšanská výkonná ředitelka CQS z.s.</w:t>
                      </w:r>
                    </w:p>
                  </w:txbxContent>
                </v:textbox>
                <w10:wrap type="square" anchorx="page"/>
              </v:shape>
            </w:pict>
          </mc:Fallback>
        </mc:AlternateContent>
      </w:r>
    </w:p>
    <w:p>
      <w:pPr>
        <w:pStyle w:val="Style2"/>
        <w:keepNext w:val="0"/>
        <w:keepLines w:val="0"/>
        <w:widowControl w:val="0"/>
        <w:shd w:val="clear" w:color="auto" w:fill="auto"/>
        <w:bidi w:val="0"/>
        <w:spacing w:before="0" w:after="0" w:line="252" w:lineRule="auto"/>
        <w:ind w:left="3320" w:right="0" w:firstLine="0"/>
        <w:jc w:val="left"/>
      </w:pPr>
      <w:r>
        <w:rPr>
          <w:color w:val="000000"/>
          <w:spacing w:val="0"/>
          <w:w w:val="100"/>
          <w:position w:val="0"/>
          <w:shd w:val="clear" w:color="auto" w:fill="auto"/>
          <w:lang w:val="cs-CZ" w:eastAsia="cs-CZ" w:bidi="cs-CZ"/>
        </w:rPr>
        <w:t>Ing. Radovan Necid ředitel organizace Krajská správa a údržba silnic Vysočiny příspěvková organizace</w:t>
      </w:r>
    </w:p>
    <w:sectPr>
      <w:footnotePr>
        <w:pos w:val="pageBottom"/>
        <w:numFmt w:val="decimal"/>
        <w:numRestart w:val="continuous"/>
      </w:footnotePr>
      <w:type w:val="continuous"/>
      <w:pgSz w:w="11900" w:h="16840"/>
      <w:pgMar w:top="1623" w:left="2991" w:right="1383" w:bottom="1623"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3630295</wp:posOffset>
              </wp:positionH>
              <wp:positionV relativeFrom="page">
                <wp:posOffset>10116820</wp:posOffset>
              </wp:positionV>
              <wp:extent cx="252730" cy="113030"/>
              <wp:wrapNone/>
              <wp:docPr id="1" name="Shape 1"/>
              <a:graphic xmlns:a="http://schemas.openxmlformats.org/drawingml/2006/main">
                <a:graphicData uri="http://schemas.microsoft.com/office/word/2010/wordprocessingShape">
                  <wps:wsp>
                    <wps:cNvSpPr txBox="1"/>
                    <wps:spPr>
                      <a:xfrm>
                        <a:ext cx="252730" cy="113030"/>
                      </a:xfrm>
                      <a:prstGeom prst="rect"/>
                      <a:noFill/>
                    </wps:spPr>
                    <wps:txbx>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ourier New" w:eastAsia="Courier New" w:hAnsi="Courier New" w:cs="Courier New"/>
                                <w:color w:val="000000"/>
                                <w:spacing w:val="0"/>
                                <w:w w:val="100"/>
                                <w:position w:val="0"/>
                                <w:sz w:val="22"/>
                                <w:szCs w:val="22"/>
                                <w:shd w:val="clear" w:color="auto" w:fill="auto"/>
                                <w:lang w:val="cs-CZ" w:eastAsia="cs-CZ" w:bidi="cs-CZ"/>
                              </w:rPr>
                              <w:t>#</w:t>
                            </w:r>
                          </w:fldSimple>
                          <w:r>
                            <w:rPr>
                              <w:rFonts w:ascii="Courier New" w:eastAsia="Courier New" w:hAnsi="Courier New" w:cs="Courier New"/>
                              <w:color w:val="000000"/>
                              <w:spacing w:val="0"/>
                              <w:w w:val="100"/>
                              <w:position w:val="0"/>
                              <w:sz w:val="22"/>
                              <w:szCs w:val="22"/>
                              <w:shd w:val="clear" w:color="auto" w:fill="auto"/>
                              <w:lang w:val="cs-CZ" w:eastAsia="cs-CZ" w:bidi="cs-CZ"/>
                            </w:rPr>
                            <w:t>/3</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285.85000000000002pt;margin-top:796.60000000000002pt;width:19.899999999999999pt;height:8.9000000000000004pt;z-index:-188744063;mso-wrap-style:none;mso-wrap-distance-left:0;mso-wrap-distance-right:0;mso-position-horizontal-relative:page;mso-position-vertical-relative:page" wrapcoords="0 0" filled="f" stroked="f">
              <v:textbox style="mso-fit-shape-to-text:t" inset="0,0,0,0">
                <w:txbxContent>
                  <w:p>
                    <w:pPr>
                      <w:pStyle w:val="Style6"/>
                      <w:keepNext w:val="0"/>
                      <w:keepLines w:val="0"/>
                      <w:widowControl w:val="0"/>
                      <w:shd w:val="clear" w:color="auto" w:fill="auto"/>
                      <w:bidi w:val="0"/>
                      <w:spacing w:before="0" w:after="0" w:line="240" w:lineRule="auto"/>
                      <w:ind w:left="0" w:right="0" w:firstLine="0"/>
                      <w:jc w:val="left"/>
                      <w:rPr>
                        <w:sz w:val="22"/>
                        <w:szCs w:val="22"/>
                      </w:rPr>
                    </w:pPr>
                    <w:fldSimple w:instr=" PAGE \* MERGEFORMAT ">
                      <w:r>
                        <w:rPr>
                          <w:rFonts w:ascii="Courier New" w:eastAsia="Courier New" w:hAnsi="Courier New" w:cs="Courier New"/>
                          <w:color w:val="000000"/>
                          <w:spacing w:val="0"/>
                          <w:w w:val="100"/>
                          <w:position w:val="0"/>
                          <w:sz w:val="22"/>
                          <w:szCs w:val="22"/>
                          <w:shd w:val="clear" w:color="auto" w:fill="auto"/>
                          <w:lang w:val="cs-CZ" w:eastAsia="cs-CZ" w:bidi="cs-CZ"/>
                        </w:rPr>
                        <w:t>#</w:t>
                      </w:r>
                    </w:fldSimple>
                    <w:r>
                      <w:rPr>
                        <w:rFonts w:ascii="Courier New" w:eastAsia="Courier New" w:hAnsi="Courier New" w:cs="Courier New"/>
                        <w:color w:val="000000"/>
                        <w:spacing w:val="0"/>
                        <w:w w:val="100"/>
                        <w:position w:val="0"/>
                        <w:sz w:val="22"/>
                        <w:szCs w:val="22"/>
                        <w:shd w:val="clear" w:color="auto" w:fill="auto"/>
                        <w:lang w:val="cs-CZ" w:eastAsia="cs-CZ" w:bidi="cs-CZ"/>
                      </w:rPr>
                      <w:t>/3</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18"/>
        <w:szCs w:val="18"/>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Courier New" w:eastAsia="Courier New" w:hAnsi="Courier New" w:cs="Courier New"/>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cs-CZ" w:eastAsia="cs-CZ" w:bidi="cs-CZ"/>
    </w:rPr>
  </w:style>
  <w:style w:type="character" w:customStyle="1" w:styleId="CharStyle3">
    <w:name w:val="Základní text_"/>
    <w:basedOn w:val="DefaultParagraphFont"/>
    <w:link w:val="Style2"/>
    <w:rPr>
      <w:rFonts w:ascii="Arial" w:eastAsia="Arial" w:hAnsi="Arial" w:cs="Arial"/>
      <w:b w:val="0"/>
      <w:bCs w:val="0"/>
      <w:i w:val="0"/>
      <w:iCs w:val="0"/>
      <w:smallCaps w:val="0"/>
      <w:strike w:val="0"/>
      <w:sz w:val="18"/>
      <w:szCs w:val="18"/>
      <w:u w:val="none"/>
    </w:rPr>
  </w:style>
  <w:style w:type="character" w:customStyle="1" w:styleId="CharStyle5">
    <w:name w:val="Nadpis #1_"/>
    <w:basedOn w:val="DefaultParagraphFont"/>
    <w:link w:val="Style4"/>
    <w:rPr>
      <w:rFonts w:ascii="Arial" w:eastAsia="Arial" w:hAnsi="Arial" w:cs="Arial"/>
      <w:b/>
      <w:bCs/>
      <w:i w:val="0"/>
      <w:iCs w:val="0"/>
      <w:smallCaps w:val="0"/>
      <w:strike w:val="0"/>
      <w:u w:val="none"/>
    </w:rPr>
  </w:style>
  <w:style w:type="character" w:customStyle="1" w:styleId="CharStyle7">
    <w:name w:val="Záhlaví nebo zápatí (2)_"/>
    <w:basedOn w:val="DefaultParagraphFont"/>
    <w:link w:val="Style6"/>
    <w:rPr>
      <w:rFonts w:ascii="Times New Roman" w:eastAsia="Times New Roman" w:hAnsi="Times New Roman" w:cs="Times New Roman"/>
      <w:b w:val="0"/>
      <w:bCs w:val="0"/>
      <w:i w:val="0"/>
      <w:iCs w:val="0"/>
      <w:smallCaps w:val="0"/>
      <w:strike w:val="0"/>
      <w:sz w:val="20"/>
      <w:szCs w:val="20"/>
      <w:u w:val="none"/>
    </w:rPr>
  </w:style>
  <w:style w:type="character" w:customStyle="1" w:styleId="CharStyle10">
    <w:name w:val="Titulek tabulky_"/>
    <w:basedOn w:val="DefaultParagraphFont"/>
    <w:link w:val="Style9"/>
    <w:rPr>
      <w:rFonts w:ascii="Arial" w:eastAsia="Arial" w:hAnsi="Arial" w:cs="Arial"/>
      <w:b w:val="0"/>
      <w:bCs w:val="0"/>
      <w:i w:val="0"/>
      <w:iCs w:val="0"/>
      <w:smallCaps w:val="0"/>
      <w:strike w:val="0"/>
      <w:sz w:val="18"/>
      <w:szCs w:val="18"/>
      <w:u w:val="none"/>
    </w:rPr>
  </w:style>
  <w:style w:type="character" w:customStyle="1" w:styleId="CharStyle12">
    <w:name w:val="Jiné_"/>
    <w:basedOn w:val="DefaultParagraphFont"/>
    <w:link w:val="Style11"/>
    <w:rPr>
      <w:rFonts w:ascii="Arial" w:eastAsia="Arial" w:hAnsi="Arial" w:cs="Arial"/>
      <w:b w:val="0"/>
      <w:bCs w:val="0"/>
      <w:i w:val="0"/>
      <w:iCs w:val="0"/>
      <w:smallCaps w:val="0"/>
      <w:strike w:val="0"/>
      <w:sz w:val="18"/>
      <w:szCs w:val="18"/>
      <w:u w:val="none"/>
    </w:rPr>
  </w:style>
  <w:style w:type="character" w:customStyle="1" w:styleId="CharStyle16">
    <w:name w:val="Nadpis #2_"/>
    <w:basedOn w:val="DefaultParagraphFont"/>
    <w:link w:val="Style15"/>
    <w:rPr>
      <w:rFonts w:ascii="Arial" w:eastAsia="Arial" w:hAnsi="Arial" w:cs="Arial"/>
      <w:b/>
      <w:bCs/>
      <w:i w:val="0"/>
      <w:iCs w:val="0"/>
      <w:smallCaps w:val="0"/>
      <w:strike w:val="0"/>
      <w:sz w:val="18"/>
      <w:szCs w:val="18"/>
      <w:u w:val="none"/>
    </w:rPr>
  </w:style>
  <w:style w:type="paragraph" w:customStyle="1" w:styleId="Style2">
    <w:name w:val="Základní text"/>
    <w:basedOn w:val="Normal"/>
    <w:link w:val="CharStyle3"/>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4">
    <w:name w:val="Nadpis #1"/>
    <w:basedOn w:val="Normal"/>
    <w:link w:val="CharStyle5"/>
    <w:pPr>
      <w:widowControl w:val="0"/>
      <w:shd w:val="clear" w:color="auto" w:fill="FFFFFF"/>
      <w:spacing w:after="220"/>
      <w:jc w:val="center"/>
      <w:outlineLvl w:val="0"/>
    </w:pPr>
    <w:rPr>
      <w:rFonts w:ascii="Arial" w:eastAsia="Arial" w:hAnsi="Arial" w:cs="Arial"/>
      <w:b/>
      <w:bCs/>
      <w:i w:val="0"/>
      <w:iCs w:val="0"/>
      <w:smallCaps w:val="0"/>
      <w:strike w:val="0"/>
      <w:u w:val="none"/>
    </w:rPr>
  </w:style>
  <w:style w:type="paragraph" w:customStyle="1" w:styleId="Style6">
    <w:name w:val="Záhlaví nebo zápatí (2)"/>
    <w:basedOn w:val="Normal"/>
    <w:link w:val="CharStyle7"/>
    <w:pPr>
      <w:widowControl w:val="0"/>
      <w:shd w:val="clear" w:color="auto" w:fill="FFFFFF"/>
    </w:pPr>
    <w:rPr>
      <w:rFonts w:ascii="Times New Roman" w:eastAsia="Times New Roman" w:hAnsi="Times New Roman" w:cs="Times New Roman"/>
      <w:b w:val="0"/>
      <w:bCs w:val="0"/>
      <w:i w:val="0"/>
      <w:iCs w:val="0"/>
      <w:smallCaps w:val="0"/>
      <w:strike w:val="0"/>
      <w:sz w:val="20"/>
      <w:szCs w:val="20"/>
      <w:u w:val="none"/>
    </w:rPr>
  </w:style>
  <w:style w:type="paragraph" w:customStyle="1" w:styleId="Style9">
    <w:name w:val="Titulek tabulky"/>
    <w:basedOn w:val="Normal"/>
    <w:link w:val="CharStyle10"/>
    <w:pPr>
      <w:widowControl w:val="0"/>
      <w:shd w:val="clear" w:color="auto" w:fill="FFFFFF"/>
    </w:pPr>
    <w:rPr>
      <w:rFonts w:ascii="Arial" w:eastAsia="Arial" w:hAnsi="Arial" w:cs="Arial"/>
      <w:b w:val="0"/>
      <w:bCs w:val="0"/>
      <w:i w:val="0"/>
      <w:iCs w:val="0"/>
      <w:smallCaps w:val="0"/>
      <w:strike w:val="0"/>
      <w:sz w:val="18"/>
      <w:szCs w:val="18"/>
      <w:u w:val="none"/>
    </w:rPr>
  </w:style>
  <w:style w:type="paragraph" w:customStyle="1" w:styleId="Style11">
    <w:name w:val="Jiné"/>
    <w:basedOn w:val="Normal"/>
    <w:link w:val="CharStyle12"/>
    <w:pPr>
      <w:widowControl w:val="0"/>
      <w:shd w:val="clear" w:color="auto" w:fill="FFFFFF"/>
      <w:spacing w:after="220"/>
    </w:pPr>
    <w:rPr>
      <w:rFonts w:ascii="Arial" w:eastAsia="Arial" w:hAnsi="Arial" w:cs="Arial"/>
      <w:b w:val="0"/>
      <w:bCs w:val="0"/>
      <w:i w:val="0"/>
      <w:iCs w:val="0"/>
      <w:smallCaps w:val="0"/>
      <w:strike w:val="0"/>
      <w:sz w:val="18"/>
      <w:szCs w:val="18"/>
      <w:u w:val="none"/>
    </w:rPr>
  </w:style>
  <w:style w:type="paragraph" w:customStyle="1" w:styleId="Style15">
    <w:name w:val="Nadpis #2"/>
    <w:basedOn w:val="Normal"/>
    <w:link w:val="CharStyle16"/>
    <w:pPr>
      <w:widowControl w:val="0"/>
      <w:shd w:val="clear" w:color="auto" w:fill="FFFFFF"/>
      <w:spacing w:after="220"/>
      <w:jc w:val="center"/>
      <w:outlineLvl w:val="1"/>
    </w:pPr>
    <w:rPr>
      <w:rFonts w:ascii="Arial" w:eastAsia="Arial" w:hAnsi="Arial" w:cs="Arial"/>
      <w:b/>
      <w:bCs/>
      <w:i w:val="0"/>
      <w:iCs w:val="0"/>
      <w:smallCaps w:val="0"/>
      <w:strike w:val="0"/>
      <w:sz w:val="18"/>
      <w:szCs w:val="18"/>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
  <dc:subject/>
  <dc:creator>Ondráčková Dita</dc:creator>
  <cp:keywords/>
</cp:coreProperties>
</file>