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E1" w:rsidRDefault="00704606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1220500047</w:t>
      </w:r>
    </w:p>
    <w:p w:rsidR="007A74E1" w:rsidRDefault="00704606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A74E1" w:rsidRDefault="00704606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A74E1" w:rsidRDefault="007A74E1">
      <w:pPr>
        <w:pStyle w:val="Zkladntext"/>
        <w:ind w:left="0"/>
        <w:jc w:val="left"/>
        <w:rPr>
          <w:sz w:val="60"/>
        </w:rPr>
      </w:pPr>
    </w:p>
    <w:p w:rsidR="007A74E1" w:rsidRDefault="0070460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A74E1" w:rsidRDefault="007A74E1">
      <w:pPr>
        <w:pStyle w:val="Zkladntext"/>
        <w:spacing w:before="1"/>
        <w:ind w:left="0"/>
        <w:jc w:val="left"/>
      </w:pPr>
    </w:p>
    <w:p w:rsidR="007A74E1" w:rsidRDefault="00704606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A74E1" w:rsidRDefault="007046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A74E1" w:rsidRDefault="0070460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A74E1" w:rsidRDefault="0070460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A74E1" w:rsidRDefault="0070460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A74E1" w:rsidRDefault="0070460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A74E1" w:rsidRDefault="0070460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A74E1" w:rsidRDefault="00704606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A74E1" w:rsidRDefault="00704606">
      <w:pPr>
        <w:pStyle w:val="Nadpis2"/>
        <w:spacing w:before="1"/>
        <w:ind w:left="24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2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Šárka</w:t>
      </w:r>
      <w:r>
        <w:rPr>
          <w:spacing w:val="-2"/>
        </w:rPr>
        <w:t xml:space="preserve"> </w:t>
      </w:r>
      <w:r>
        <w:t>4a</w:t>
      </w:r>
    </w:p>
    <w:p w:rsidR="007A74E1" w:rsidRDefault="00704606">
      <w:pPr>
        <w:pStyle w:val="Zkladntext"/>
        <w:spacing w:line="265" w:lineRule="exact"/>
        <w:ind w:left="242"/>
        <w:jc w:val="left"/>
      </w:pP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7A74E1" w:rsidRDefault="007046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Šárka</w:t>
      </w:r>
      <w:r>
        <w:rPr>
          <w:spacing w:val="-4"/>
        </w:rPr>
        <w:t xml:space="preserve"> </w:t>
      </w:r>
      <w:r>
        <w:t>4348/4a,</w:t>
      </w:r>
      <w:r>
        <w:rPr>
          <w:spacing w:val="-3"/>
        </w:rPr>
        <w:t xml:space="preserve"> </w:t>
      </w:r>
      <w:r>
        <w:t>796 01</w:t>
      </w:r>
      <w:r>
        <w:rPr>
          <w:spacing w:val="-3"/>
        </w:rPr>
        <w:t xml:space="preserve"> </w:t>
      </w:r>
      <w:r>
        <w:t>Prostějov</w:t>
      </w:r>
    </w:p>
    <w:p w:rsidR="007A74E1" w:rsidRDefault="00704606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47922435</w:t>
      </w:r>
    </w:p>
    <w:p w:rsidR="007A74E1" w:rsidRDefault="00704606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</w:t>
      </w:r>
      <w:r>
        <w:rPr>
          <w:spacing w:val="1"/>
        </w:rPr>
        <w:t xml:space="preserve"> </w:t>
      </w:r>
      <w:r>
        <w:t>Ivetou B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rPr>
          <w:spacing w:val="11"/>
        </w:rPr>
        <w:t>ou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ředitelkou</w:t>
      </w:r>
    </w:p>
    <w:p w:rsidR="007A74E1" w:rsidRDefault="0070460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7A74E1" w:rsidRDefault="00704606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9583950227/0100</w:t>
      </w:r>
    </w:p>
    <w:p w:rsidR="007A74E1" w:rsidRDefault="00704606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A74E1" w:rsidRDefault="007A74E1">
      <w:pPr>
        <w:pStyle w:val="Zkladntext"/>
        <w:spacing w:before="12"/>
        <w:ind w:left="0"/>
        <w:jc w:val="left"/>
        <w:rPr>
          <w:sz w:val="19"/>
        </w:rPr>
      </w:pPr>
    </w:p>
    <w:p w:rsidR="007A74E1" w:rsidRDefault="0070460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A74E1" w:rsidRDefault="007A74E1">
      <w:pPr>
        <w:pStyle w:val="Zkladntext"/>
        <w:spacing w:before="2"/>
        <w:ind w:left="0"/>
        <w:jc w:val="left"/>
        <w:rPr>
          <w:sz w:val="36"/>
        </w:rPr>
      </w:pPr>
    </w:p>
    <w:p w:rsidR="007A74E1" w:rsidRDefault="00704606">
      <w:pPr>
        <w:pStyle w:val="Nadpis1"/>
        <w:ind w:right="1027"/>
      </w:pPr>
      <w:r>
        <w:t>I.</w:t>
      </w:r>
    </w:p>
    <w:p w:rsidR="007A74E1" w:rsidRDefault="00704606">
      <w:pPr>
        <w:pStyle w:val="Nadpis2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A74E1" w:rsidRDefault="007A74E1">
      <w:pPr>
        <w:pStyle w:val="Zkladntext"/>
        <w:spacing w:before="1"/>
        <w:ind w:left="0"/>
        <w:jc w:val="left"/>
        <w:rPr>
          <w:b/>
          <w:sz w:val="18"/>
        </w:rPr>
      </w:pPr>
    </w:p>
    <w:p w:rsidR="007A74E1" w:rsidRDefault="0070460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A74E1" w:rsidRDefault="00704606">
      <w:pPr>
        <w:pStyle w:val="Zkladntext"/>
        <w:ind w:right="110"/>
      </w:pPr>
      <w:r>
        <w:t>„Smlouva“) se uzavírá na základě Rozhodnutí ministra životního prostředí č. 1220500047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A74E1" w:rsidRDefault="00704606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7A74E1" w:rsidRDefault="0070460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podle článku 3 Směrnice MŽP (dále jen „Výzva“), </w:t>
      </w:r>
      <w:r>
        <w:rPr>
          <w:w w:val="95"/>
          <w:sz w:val="20"/>
        </w:rPr>
        <w:t>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A74E1" w:rsidRDefault="007A74E1">
      <w:pPr>
        <w:jc w:val="both"/>
        <w:rPr>
          <w:sz w:val="20"/>
        </w:rPr>
        <w:sectPr w:rsidR="007A74E1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7A74E1" w:rsidRDefault="0070460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A74E1" w:rsidRDefault="00704606">
      <w:pPr>
        <w:pStyle w:val="Nadpis2"/>
        <w:spacing w:before="120"/>
        <w:ind w:left="2666"/>
        <w:jc w:val="left"/>
      </w:pPr>
      <w:r>
        <w:t>„Další</w:t>
      </w:r>
      <w:r>
        <w:rPr>
          <w:spacing w:val="-2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rozšíření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Žešov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Prostějově“</w:t>
      </w:r>
    </w:p>
    <w:p w:rsidR="007A74E1" w:rsidRDefault="00704606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7A74E1" w:rsidRDefault="007A74E1">
      <w:pPr>
        <w:pStyle w:val="Zkladntext"/>
        <w:spacing w:before="1"/>
        <w:ind w:left="0"/>
        <w:jc w:val="left"/>
        <w:rPr>
          <w:sz w:val="36"/>
        </w:rPr>
      </w:pPr>
    </w:p>
    <w:p w:rsidR="007A74E1" w:rsidRDefault="00704606">
      <w:pPr>
        <w:pStyle w:val="Nadpis1"/>
        <w:ind w:right="1027"/>
      </w:pPr>
      <w:r>
        <w:t>II.</w:t>
      </w:r>
    </w:p>
    <w:p w:rsidR="007A74E1" w:rsidRDefault="00704606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A74E1" w:rsidRDefault="007A74E1">
      <w:pPr>
        <w:pStyle w:val="Zkladntext"/>
        <w:spacing w:before="1"/>
        <w:ind w:left="0"/>
        <w:jc w:val="left"/>
        <w:rPr>
          <w:b/>
          <w:sz w:val="18"/>
        </w:rPr>
      </w:pP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386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342,65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tři</w:t>
      </w:r>
      <w:r>
        <w:rPr>
          <w:spacing w:val="-8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osmdesát</w:t>
      </w:r>
      <w:r>
        <w:rPr>
          <w:spacing w:val="-7"/>
          <w:sz w:val="20"/>
        </w:rPr>
        <w:t xml:space="preserve"> </w:t>
      </w:r>
      <w:r>
        <w:rPr>
          <w:sz w:val="20"/>
        </w:rPr>
        <w:t>šest</w:t>
      </w:r>
      <w:r>
        <w:rPr>
          <w:spacing w:val="-9"/>
          <w:sz w:val="20"/>
        </w:rPr>
        <w:t xml:space="preserve"> </w:t>
      </w:r>
      <w:r>
        <w:rPr>
          <w:sz w:val="20"/>
        </w:rPr>
        <w:t>tisíc</w:t>
      </w:r>
      <w:r>
        <w:rPr>
          <w:spacing w:val="-8"/>
          <w:sz w:val="20"/>
        </w:rPr>
        <w:t xml:space="preserve"> </w:t>
      </w:r>
      <w:r>
        <w:rPr>
          <w:sz w:val="20"/>
        </w:rPr>
        <w:t>tři</w:t>
      </w:r>
      <w:r>
        <w:rPr>
          <w:spacing w:val="-9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čtyřicet</w:t>
      </w:r>
      <w:r>
        <w:rPr>
          <w:spacing w:val="-9"/>
          <w:sz w:val="20"/>
        </w:rPr>
        <w:t xml:space="preserve"> </w:t>
      </w:r>
      <w:r>
        <w:rPr>
          <w:sz w:val="20"/>
        </w:rPr>
        <w:t>dva</w:t>
      </w:r>
      <w:r>
        <w:rPr>
          <w:spacing w:val="-10"/>
          <w:sz w:val="20"/>
        </w:rPr>
        <w:t xml:space="preserve"> </w:t>
      </w:r>
      <w:r>
        <w:rPr>
          <w:sz w:val="20"/>
        </w:rPr>
        <w:t>korun</w:t>
      </w:r>
      <w:r>
        <w:rPr>
          <w:spacing w:val="-8"/>
          <w:sz w:val="20"/>
        </w:rPr>
        <w:t xml:space="preserve"> </w:t>
      </w:r>
      <w:r>
        <w:rPr>
          <w:sz w:val="20"/>
        </w:rPr>
        <w:t>českých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šedesát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3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7A74E1" w:rsidRDefault="00704606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t>454</w:t>
      </w:r>
      <w:r>
        <w:rPr>
          <w:spacing w:val="-2"/>
        </w:rPr>
        <w:t xml:space="preserve"> </w:t>
      </w:r>
      <w:r>
        <w:t>520,77</w:t>
      </w:r>
      <w:r>
        <w:rPr>
          <w:spacing w:val="-2"/>
        </w:rPr>
        <w:t xml:space="preserve"> </w:t>
      </w:r>
      <w:r>
        <w:t>Kč.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</w:t>
      </w:r>
      <w:r>
        <w:rPr>
          <w:sz w:val="20"/>
        </w:rPr>
        <w:t>čení</w:t>
      </w:r>
    </w:p>
    <w:p w:rsidR="007A74E1" w:rsidRDefault="00704606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7A74E1" w:rsidRDefault="00704606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7A74E1" w:rsidRDefault="00704606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A74E1" w:rsidRDefault="007A74E1">
      <w:pPr>
        <w:pStyle w:val="Zkladntext"/>
        <w:spacing w:before="2"/>
        <w:ind w:left="0"/>
        <w:jc w:val="left"/>
        <w:rPr>
          <w:sz w:val="36"/>
        </w:rPr>
      </w:pPr>
    </w:p>
    <w:p w:rsidR="007A74E1" w:rsidRDefault="00704606">
      <w:pPr>
        <w:pStyle w:val="Nadpis1"/>
        <w:spacing w:before="1"/>
        <w:ind w:right="1031"/>
      </w:pPr>
      <w:r>
        <w:t>III.</w:t>
      </w:r>
    </w:p>
    <w:p w:rsidR="007A74E1" w:rsidRDefault="00704606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A74E1" w:rsidRDefault="007A74E1">
      <w:pPr>
        <w:pStyle w:val="Zkladntext"/>
        <w:spacing w:before="12"/>
        <w:ind w:left="0"/>
        <w:jc w:val="left"/>
        <w:rPr>
          <w:b/>
          <w:sz w:val="17"/>
        </w:rPr>
      </w:pP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53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3"/>
          <w:sz w:val="20"/>
        </w:rPr>
        <w:t xml:space="preserve"> </w:t>
      </w:r>
      <w:r>
        <w:rPr>
          <w:sz w:val="20"/>
        </w:rPr>
        <w:t>bankovním  převodem  peněžních  prostředků</w:t>
      </w:r>
      <w:r>
        <w:rPr>
          <w:spacing w:val="54"/>
          <w:sz w:val="20"/>
        </w:rPr>
        <w:t xml:space="preserve"> </w:t>
      </w:r>
      <w:r>
        <w:rPr>
          <w:sz w:val="20"/>
        </w:rPr>
        <w:t>z  bankovního  účtu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</w:p>
    <w:p w:rsidR="007A74E1" w:rsidRDefault="00704606">
      <w:pPr>
        <w:pStyle w:val="Zkladntext"/>
      </w:pPr>
      <w:r>
        <w:t>na</w:t>
      </w:r>
      <w:r>
        <w:rPr>
          <w:spacing w:val="-3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</w:t>
      </w:r>
      <w:r>
        <w:rPr>
          <w:sz w:val="20"/>
        </w:rPr>
        <w:t>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(bod</w:t>
      </w:r>
      <w:r>
        <w:rPr>
          <w:spacing w:val="-6"/>
          <w:sz w:val="20"/>
        </w:rPr>
        <w:t xml:space="preserve"> </w:t>
      </w:r>
      <w:r>
        <w:rPr>
          <w:sz w:val="20"/>
        </w:rPr>
        <w:t>11)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7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</w:p>
    <w:p w:rsidR="007A74E1" w:rsidRDefault="007A74E1">
      <w:pPr>
        <w:spacing w:line="237" w:lineRule="auto"/>
        <w:jc w:val="both"/>
        <w:rPr>
          <w:sz w:val="20"/>
        </w:rPr>
        <w:sectPr w:rsidR="007A74E1">
          <w:pgSz w:w="12240" w:h="15840"/>
          <w:pgMar w:top="1060" w:right="1020" w:bottom="1620" w:left="1460" w:header="0" w:footer="1384" w:gutter="0"/>
          <w:cols w:space="708"/>
        </w:sectPr>
      </w:pPr>
    </w:p>
    <w:p w:rsidR="007A74E1" w:rsidRDefault="00704606">
      <w:pPr>
        <w:pStyle w:val="Zkladntext"/>
        <w:spacing w:before="73"/>
        <w:ind w:right="111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</w:t>
      </w:r>
      <w:r>
        <w:t>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 xml:space="preserve">Odlišnou výši financování </w:t>
      </w:r>
      <w:r>
        <w:rPr>
          <w:sz w:val="20"/>
        </w:rPr>
        <w:t>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w w:val="95"/>
          <w:sz w:val="20"/>
        </w:rPr>
        <w:t>Fond poskytne podporu v závislosti</w:t>
      </w:r>
      <w:r>
        <w:rPr>
          <w:w w:val="95"/>
          <w:sz w:val="20"/>
        </w:rPr>
        <w:t xml:space="preserve">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</w:t>
      </w:r>
      <w:r>
        <w:rPr>
          <w:sz w:val="20"/>
        </w:rPr>
        <w:t>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7A74E1" w:rsidRDefault="00704606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66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6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daném</w:t>
      </w:r>
      <w:r>
        <w:rPr>
          <w:spacing w:val="69"/>
          <w:sz w:val="20"/>
        </w:rPr>
        <w:t xml:space="preserve"> </w:t>
      </w:r>
      <w:r>
        <w:rPr>
          <w:sz w:val="20"/>
        </w:rPr>
        <w:t>roce</w:t>
      </w:r>
      <w:r>
        <w:rPr>
          <w:spacing w:val="66"/>
          <w:sz w:val="20"/>
        </w:rPr>
        <w:t xml:space="preserve"> </w:t>
      </w:r>
      <w:r>
        <w:rPr>
          <w:sz w:val="20"/>
        </w:rPr>
        <w:t>či</w:t>
      </w:r>
      <w:r>
        <w:rPr>
          <w:spacing w:val="66"/>
          <w:sz w:val="20"/>
        </w:rPr>
        <w:t xml:space="preserve"> </w:t>
      </w:r>
      <w:r>
        <w:rPr>
          <w:sz w:val="20"/>
        </w:rPr>
        <w:t>vrácené</w:t>
      </w:r>
      <w:r>
        <w:rPr>
          <w:spacing w:val="67"/>
          <w:sz w:val="20"/>
        </w:rPr>
        <w:t xml:space="preserve"> </w:t>
      </w:r>
      <w:r>
        <w:rPr>
          <w:sz w:val="20"/>
        </w:rPr>
        <w:t>se</w:t>
      </w:r>
      <w:r>
        <w:rPr>
          <w:spacing w:val="65"/>
          <w:sz w:val="20"/>
        </w:rPr>
        <w:t xml:space="preserve"> </w:t>
      </w:r>
      <w:r>
        <w:rPr>
          <w:sz w:val="20"/>
        </w:rPr>
        <w:t>zvýší</w:t>
      </w:r>
      <w:r>
        <w:rPr>
          <w:spacing w:val="66"/>
          <w:sz w:val="20"/>
        </w:rPr>
        <w:t xml:space="preserve"> </w:t>
      </w:r>
      <w:r>
        <w:rPr>
          <w:sz w:val="20"/>
        </w:rPr>
        <w:t>finanční</w:t>
      </w:r>
      <w:r>
        <w:rPr>
          <w:spacing w:val="67"/>
          <w:sz w:val="20"/>
        </w:rPr>
        <w:t xml:space="preserve"> </w:t>
      </w:r>
      <w:r>
        <w:rPr>
          <w:sz w:val="20"/>
        </w:rPr>
        <w:t>objem</w:t>
      </w:r>
      <w:r>
        <w:rPr>
          <w:spacing w:val="68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68"/>
          <w:sz w:val="20"/>
        </w:rPr>
        <w:t xml:space="preserve"> </w:t>
      </w:r>
      <w:r>
        <w:rPr>
          <w:sz w:val="20"/>
        </w:rPr>
        <w:t>roku,</w:t>
      </w:r>
    </w:p>
    <w:p w:rsidR="007A74E1" w:rsidRDefault="00704606">
      <w:pPr>
        <w:pStyle w:val="Zkladntext"/>
        <w:spacing w:before="1"/>
      </w:pPr>
      <w:r>
        <w:t>pokud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5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7A74E1" w:rsidRDefault="00704606">
      <w:pPr>
        <w:pStyle w:val="Zkladntext"/>
        <w:jc w:val="lef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52"/>
          <w:sz w:val="20"/>
        </w:rPr>
        <w:t xml:space="preserve"> </w:t>
      </w:r>
      <w:r>
        <w:rPr>
          <w:sz w:val="20"/>
        </w:rPr>
        <w:t>včetně</w:t>
      </w:r>
      <w:r>
        <w:rPr>
          <w:spacing w:val="5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kopie</w:t>
      </w:r>
      <w:r>
        <w:rPr>
          <w:spacing w:val="5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"/>
          <w:sz w:val="20"/>
        </w:rPr>
        <w:t xml:space="preserve"> </w:t>
      </w:r>
      <w:r>
        <w:rPr>
          <w:sz w:val="20"/>
        </w:rPr>
        <w:t>výpisu</w:t>
      </w:r>
      <w:r>
        <w:rPr>
          <w:spacing w:val="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51"/>
          <w:sz w:val="20"/>
        </w:rPr>
        <w:t xml:space="preserve"> </w:t>
      </w:r>
      <w:r>
        <w:rPr>
          <w:sz w:val="20"/>
        </w:rPr>
        <w:t>po</w:t>
      </w:r>
      <w:r>
        <w:rPr>
          <w:spacing w:val="53"/>
          <w:sz w:val="20"/>
        </w:rPr>
        <w:t xml:space="preserve"> </w:t>
      </w:r>
      <w:r>
        <w:rPr>
          <w:sz w:val="20"/>
        </w:rPr>
        <w:t>obdržení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7A74E1" w:rsidRDefault="007046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A74E1" w:rsidRDefault="007A74E1">
      <w:pPr>
        <w:pStyle w:val="Zkladntext"/>
        <w:spacing w:before="10"/>
        <w:ind w:left="0"/>
        <w:jc w:val="left"/>
        <w:rPr>
          <w:sz w:val="28"/>
        </w:rPr>
      </w:pPr>
    </w:p>
    <w:p w:rsidR="007A74E1" w:rsidRDefault="00704606">
      <w:pPr>
        <w:pStyle w:val="Nadpis1"/>
        <w:spacing w:before="100"/>
      </w:pPr>
      <w:r>
        <w:t>IV.</w:t>
      </w:r>
    </w:p>
    <w:p w:rsidR="007A74E1" w:rsidRDefault="00704606">
      <w:pPr>
        <w:pStyle w:val="Nadpis2"/>
        <w:ind w:right="102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A74E1" w:rsidRDefault="007A74E1">
      <w:pPr>
        <w:pStyle w:val="Zkladntext"/>
        <w:spacing w:before="12"/>
        <w:ind w:left="0"/>
        <w:jc w:val="left"/>
        <w:rPr>
          <w:b/>
          <w:sz w:val="17"/>
        </w:rPr>
      </w:pPr>
    </w:p>
    <w:p w:rsidR="007A74E1" w:rsidRDefault="0070460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akce byla provedena podle Fondem odsouhlaseného podrobného popisu realizace projektu „Další</w:t>
      </w:r>
      <w:r>
        <w:rPr>
          <w:spacing w:val="1"/>
          <w:sz w:val="20"/>
        </w:rPr>
        <w:t xml:space="preserve"> </w:t>
      </w:r>
      <w:r>
        <w:rPr>
          <w:sz w:val="20"/>
        </w:rPr>
        <w:t>etapa rozšíření na MŠ Žešov v Prostějově“ ze dne 2. 3. 2022,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8/2023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11/2023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8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</w:p>
    <w:p w:rsidR="007A74E1" w:rsidRDefault="00704606">
      <w:pPr>
        <w:pStyle w:val="Zkladntext"/>
        <w:ind w:left="923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2023,</w:t>
      </w:r>
    </w:p>
    <w:p w:rsidR="007A74E1" w:rsidRDefault="007A74E1">
      <w:pPr>
        <w:sectPr w:rsidR="007A74E1">
          <w:pgSz w:w="12240" w:h="15840"/>
          <w:pgMar w:top="1060" w:right="1020" w:bottom="1660" w:left="1460" w:header="0" w:footer="1384" w:gutter="0"/>
          <w:cols w:space="708"/>
        </w:sectPr>
      </w:pP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ind w:right="10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A74E1" w:rsidRDefault="00704606">
      <w:pPr>
        <w:pStyle w:val="Zkladntext"/>
        <w:spacing w:before="120"/>
        <w:ind w:left="923" w:right="111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50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7A74E1" w:rsidRDefault="00704606">
      <w:pPr>
        <w:pStyle w:val="Zkladntext"/>
        <w:spacing w:before="1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</w:t>
      </w:r>
      <w:r>
        <w:rPr>
          <w:sz w:val="20"/>
        </w:rPr>
        <w:t>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7A74E1" w:rsidRDefault="007046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A74E1" w:rsidRDefault="00704606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0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1"/>
          <w:sz w:val="20"/>
        </w:rPr>
        <w:t xml:space="preserve"> </w:t>
      </w:r>
      <w:r>
        <w:rPr>
          <w:sz w:val="20"/>
        </w:rPr>
        <w:t>části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30</w:t>
      </w:r>
      <w:r>
        <w:rPr>
          <w:spacing w:val="51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nen</w:t>
      </w:r>
      <w:r>
        <w:rPr>
          <w:spacing w:val="2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7A74E1" w:rsidRDefault="007A74E1">
      <w:pPr>
        <w:jc w:val="both"/>
        <w:rPr>
          <w:sz w:val="20"/>
        </w:rPr>
        <w:sectPr w:rsidR="007A74E1">
          <w:pgSz w:w="12240" w:h="15840"/>
          <w:pgMar w:top="1060" w:right="1020" w:bottom="1660" w:left="1460" w:header="0" w:footer="1384" w:gutter="0"/>
          <w:cols w:space="708"/>
        </w:sectPr>
      </w:pPr>
    </w:p>
    <w:p w:rsidR="007A74E1" w:rsidRDefault="00704606">
      <w:pPr>
        <w:pStyle w:val="Zkladntext"/>
        <w:spacing w:before="73"/>
        <w:ind w:left="808" w:right="118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</w:t>
      </w:r>
      <w:r>
        <w:t>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Smlouvou),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7A74E1" w:rsidRDefault="007046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7A74E1" w:rsidRDefault="007A74E1">
      <w:pPr>
        <w:pStyle w:val="Zkladntext"/>
        <w:spacing w:before="13"/>
        <w:ind w:left="0"/>
        <w:jc w:val="left"/>
        <w:rPr>
          <w:sz w:val="35"/>
        </w:rPr>
      </w:pPr>
    </w:p>
    <w:p w:rsidR="007A74E1" w:rsidRDefault="00704606">
      <w:pPr>
        <w:pStyle w:val="Nadpis1"/>
      </w:pPr>
      <w:r>
        <w:t>V.</w:t>
      </w:r>
    </w:p>
    <w:p w:rsidR="007A74E1" w:rsidRDefault="00704606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A74E1" w:rsidRDefault="007A74E1">
      <w:pPr>
        <w:pStyle w:val="Zkladntext"/>
        <w:spacing w:before="1"/>
        <w:ind w:left="0"/>
        <w:jc w:val="left"/>
        <w:rPr>
          <w:b/>
          <w:sz w:val="18"/>
        </w:rPr>
      </w:pP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7A74E1" w:rsidRDefault="00704606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</w:t>
      </w:r>
      <w:r>
        <w:rPr>
          <w:sz w:val="20"/>
        </w:rPr>
        <w:t>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A74E1" w:rsidRDefault="0070460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7A74E1" w:rsidRDefault="00704606">
      <w:pPr>
        <w:pStyle w:val="Zkladntext"/>
        <w:spacing w:before="1"/>
        <w:jc w:val="left"/>
      </w:pPr>
      <w:r>
        <w:t>podpory.</w:t>
      </w:r>
    </w:p>
    <w:p w:rsidR="007A74E1" w:rsidRDefault="007A74E1">
      <w:pPr>
        <w:pStyle w:val="Zkladntext"/>
        <w:spacing w:before="2"/>
        <w:ind w:left="0"/>
        <w:jc w:val="left"/>
        <w:rPr>
          <w:sz w:val="36"/>
        </w:rPr>
      </w:pPr>
    </w:p>
    <w:p w:rsidR="007A74E1" w:rsidRDefault="00704606">
      <w:pPr>
        <w:pStyle w:val="Nadpis1"/>
      </w:pPr>
      <w:r>
        <w:t>VI.</w:t>
      </w:r>
    </w:p>
    <w:p w:rsidR="007A74E1" w:rsidRDefault="00704606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A74E1" w:rsidRDefault="007A74E1">
      <w:pPr>
        <w:pStyle w:val="Zkladntext"/>
        <w:spacing w:before="12"/>
        <w:ind w:left="0"/>
        <w:jc w:val="left"/>
        <w:rPr>
          <w:b/>
          <w:sz w:val="17"/>
        </w:rPr>
      </w:pP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284"/>
        </w:tabs>
        <w:spacing w:before="0"/>
        <w:ind w:right="118" w:hanging="526"/>
        <w:jc w:val="right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8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0"/>
          <w:sz w:val="20"/>
        </w:rPr>
        <w:t xml:space="preserve"> </w:t>
      </w:r>
      <w:r>
        <w:rPr>
          <w:sz w:val="20"/>
        </w:rPr>
        <w:t>právních</w:t>
      </w:r>
      <w:r>
        <w:rPr>
          <w:spacing w:val="79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79"/>
          <w:sz w:val="20"/>
        </w:rPr>
        <w:t xml:space="preserve"> </w:t>
      </w:r>
      <w:r>
        <w:rPr>
          <w:sz w:val="20"/>
        </w:rPr>
        <w:t>vyplývajících</w:t>
      </w:r>
    </w:p>
    <w:p w:rsidR="007A74E1" w:rsidRDefault="00704606">
      <w:pPr>
        <w:pStyle w:val="Zkladntext"/>
        <w:ind w:left="0" w:right="116"/>
        <w:jc w:val="right"/>
      </w:pPr>
      <w:r>
        <w:rPr>
          <w:spacing w:val="-1"/>
        </w:rPr>
        <w:t>z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Smlouvy,</w:t>
      </w:r>
      <w:r>
        <w:rPr>
          <w:spacing w:val="-12"/>
        </w:rPr>
        <w:t xml:space="preserve"> </w:t>
      </w:r>
      <w:r>
        <w:rPr>
          <w:spacing w:val="-1"/>
        </w:rPr>
        <w:t>uzavřou</w:t>
      </w:r>
      <w:r>
        <w:rPr>
          <w:spacing w:val="-12"/>
        </w:rPr>
        <w:t xml:space="preserve"> </w:t>
      </w:r>
      <w:r>
        <w:rPr>
          <w:spacing w:val="-1"/>
        </w:rPr>
        <w:t>smluvní</w:t>
      </w:r>
      <w:r>
        <w:rPr>
          <w:spacing w:val="-11"/>
        </w:rPr>
        <w:t xml:space="preserve"> </w:t>
      </w:r>
      <w:r>
        <w:rPr>
          <w:spacing w:val="-1"/>
        </w:rPr>
        <w:t>strany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-13"/>
        </w:rPr>
        <w:t xml:space="preserve"> </w:t>
      </w:r>
      <w:r>
        <w:rPr>
          <w:spacing w:val="-1"/>
        </w:rPr>
        <w:t>této</w:t>
      </w:r>
      <w:r>
        <w:rPr>
          <w:spacing w:val="-11"/>
        </w:rPr>
        <w:t xml:space="preserve"> </w:t>
      </w:r>
      <w:r>
        <w:rPr>
          <w:spacing w:val="-1"/>
        </w:rPr>
        <w:t>Smlouvě</w:t>
      </w:r>
      <w:r>
        <w:rPr>
          <w:spacing w:val="-13"/>
        </w:rPr>
        <w:t xml:space="preserve"> </w:t>
      </w:r>
      <w:r>
        <w:rPr>
          <w:spacing w:val="-1"/>
        </w:rPr>
        <w:t>dodatek,</w:t>
      </w:r>
      <w:r>
        <w:rPr>
          <w:spacing w:val="-11"/>
        </w:rPr>
        <w:t xml:space="preserve"> </w:t>
      </w:r>
      <w:r>
        <w:rPr>
          <w:spacing w:val="-1"/>
        </w:rPr>
        <w:t>kterým</w:t>
      </w:r>
      <w:r>
        <w:rPr>
          <w:spacing w:val="-11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zajištěn</w:t>
      </w:r>
      <w:r>
        <w:rPr>
          <w:spacing w:val="-12"/>
        </w:rPr>
        <w:t xml:space="preserve"> </w:t>
      </w:r>
      <w:r>
        <w:t>její</w:t>
      </w:r>
      <w:r>
        <w:rPr>
          <w:spacing w:val="-13"/>
        </w:rPr>
        <w:t xml:space="preserve"> </w:t>
      </w:r>
      <w:r>
        <w:t>soulad</w:t>
      </w:r>
      <w:r>
        <w:rPr>
          <w:spacing w:val="-11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obecně</w:t>
      </w:r>
    </w:p>
    <w:p w:rsidR="007A74E1" w:rsidRDefault="007A74E1">
      <w:pPr>
        <w:jc w:val="right"/>
        <w:sectPr w:rsidR="007A74E1">
          <w:pgSz w:w="12240" w:h="15840"/>
          <w:pgMar w:top="1060" w:right="1020" w:bottom="1580" w:left="1460" w:header="0" w:footer="1384" w:gutter="0"/>
          <w:cols w:space="708"/>
        </w:sectPr>
      </w:pPr>
    </w:p>
    <w:p w:rsidR="007A74E1" w:rsidRDefault="00704606">
      <w:pPr>
        <w:pStyle w:val="Zkladntext"/>
        <w:spacing w:before="73"/>
        <w:ind w:right="12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284"/>
        </w:tabs>
        <w:ind w:right="119" w:hanging="526"/>
        <w:jc w:val="right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0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29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</w:p>
    <w:p w:rsidR="007A74E1" w:rsidRDefault="00704606">
      <w:pPr>
        <w:pStyle w:val="Zkladntext"/>
        <w:ind w:left="0" w:right="115"/>
        <w:jc w:val="right"/>
      </w:pPr>
      <w:r>
        <w:t>se</w:t>
      </w:r>
      <w:r>
        <w:rPr>
          <w:spacing w:val="-4"/>
        </w:rPr>
        <w:t xml:space="preserve"> </w:t>
      </w:r>
      <w:r>
        <w:t>akce,</w:t>
      </w:r>
      <w:r>
        <w:rPr>
          <w:spacing w:val="-10"/>
        </w:rPr>
        <w:t xml:space="preserve"> </w:t>
      </w:r>
      <w:r>
        <w:t>uvádět</w:t>
      </w:r>
      <w:r>
        <w:rPr>
          <w:spacing w:val="-10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číslo</w:t>
      </w:r>
      <w:r>
        <w:rPr>
          <w:spacing w:val="-10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již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označení</w:t>
      </w:r>
      <w:r>
        <w:rPr>
          <w:spacing w:val="-10"/>
        </w:rPr>
        <w:t xml:space="preserve"> </w:t>
      </w:r>
      <w:r>
        <w:t>věci,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daná</w:t>
      </w:r>
      <w:r>
        <w:rPr>
          <w:spacing w:val="-10"/>
        </w:rPr>
        <w:t xml:space="preserve"> </w:t>
      </w:r>
      <w:r>
        <w:t>korespondence</w:t>
      </w:r>
      <w:r>
        <w:rPr>
          <w:spacing w:val="-10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týkat.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74"/>
          <w:sz w:val="20"/>
        </w:rPr>
        <w:t xml:space="preserve"> </w:t>
      </w:r>
      <w:r>
        <w:rPr>
          <w:sz w:val="20"/>
        </w:rPr>
        <w:t>možno</w:t>
      </w:r>
      <w:r>
        <w:rPr>
          <w:spacing w:val="76"/>
          <w:sz w:val="20"/>
        </w:rPr>
        <w:t xml:space="preserve"> </w:t>
      </w:r>
      <w:r>
        <w:rPr>
          <w:sz w:val="20"/>
        </w:rPr>
        <w:t>tuto</w:t>
      </w:r>
      <w:r>
        <w:rPr>
          <w:spacing w:val="77"/>
          <w:sz w:val="20"/>
        </w:rPr>
        <w:t xml:space="preserve"> </w:t>
      </w:r>
      <w:r>
        <w:rPr>
          <w:sz w:val="20"/>
        </w:rPr>
        <w:t>Smlouvu</w:t>
      </w:r>
      <w:r>
        <w:rPr>
          <w:spacing w:val="75"/>
          <w:sz w:val="20"/>
        </w:rPr>
        <w:t xml:space="preserve"> </w:t>
      </w:r>
      <w:r>
        <w:rPr>
          <w:sz w:val="20"/>
        </w:rPr>
        <w:t>vypovědět</w:t>
      </w:r>
      <w:r>
        <w:rPr>
          <w:spacing w:val="77"/>
          <w:sz w:val="20"/>
        </w:rPr>
        <w:t xml:space="preserve"> </w:t>
      </w:r>
      <w:r>
        <w:rPr>
          <w:sz w:val="20"/>
        </w:rPr>
        <w:t>pouze</w:t>
      </w:r>
      <w:r>
        <w:rPr>
          <w:spacing w:val="74"/>
          <w:sz w:val="20"/>
        </w:rPr>
        <w:t xml:space="preserve"> </w:t>
      </w:r>
      <w:r>
        <w:rPr>
          <w:sz w:val="20"/>
        </w:rPr>
        <w:t>za</w:t>
      </w:r>
      <w:r>
        <w:rPr>
          <w:spacing w:val="75"/>
          <w:sz w:val="20"/>
        </w:rPr>
        <w:t xml:space="preserve"> </w:t>
      </w:r>
      <w:r>
        <w:rPr>
          <w:sz w:val="20"/>
        </w:rPr>
        <w:t>podmínek</w:t>
      </w:r>
      <w:r>
        <w:rPr>
          <w:spacing w:val="7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5"/>
          <w:sz w:val="20"/>
        </w:rPr>
        <w:t xml:space="preserve"> </w:t>
      </w:r>
      <w:r>
        <w:rPr>
          <w:sz w:val="20"/>
        </w:rPr>
        <w:t>zákonem</w:t>
      </w:r>
      <w:r>
        <w:rPr>
          <w:spacing w:val="77"/>
          <w:sz w:val="20"/>
        </w:rPr>
        <w:t xml:space="preserve"> </w:t>
      </w:r>
      <w:r>
        <w:rPr>
          <w:sz w:val="20"/>
        </w:rPr>
        <w:t>či</w:t>
      </w:r>
    </w:p>
    <w:p w:rsidR="007A74E1" w:rsidRDefault="00704606">
      <w:pPr>
        <w:pStyle w:val="Zkladntext"/>
      </w:pPr>
      <w:r>
        <w:t>touto</w:t>
      </w:r>
      <w:r>
        <w:rPr>
          <w:spacing w:val="-3"/>
        </w:rPr>
        <w:t xml:space="preserve"> </w:t>
      </w:r>
      <w:r>
        <w:t>Smlouvou.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A74E1" w:rsidRDefault="0070460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A74E1" w:rsidRDefault="0070460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</w:t>
      </w:r>
      <w:r>
        <w:rPr>
          <w:sz w:val="20"/>
        </w:rPr>
        <w:t>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A74E1" w:rsidRDefault="007A74E1">
      <w:pPr>
        <w:pStyle w:val="Zkladntext"/>
        <w:spacing w:before="3"/>
        <w:ind w:left="0"/>
        <w:jc w:val="left"/>
        <w:rPr>
          <w:sz w:val="36"/>
        </w:rPr>
      </w:pPr>
    </w:p>
    <w:p w:rsidR="007A74E1" w:rsidRDefault="00704606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A74E1" w:rsidRDefault="007A74E1">
      <w:pPr>
        <w:pStyle w:val="Zkladntext"/>
        <w:spacing w:before="12"/>
        <w:ind w:left="0"/>
        <w:jc w:val="left"/>
        <w:rPr>
          <w:sz w:val="17"/>
        </w:rPr>
      </w:pPr>
    </w:p>
    <w:p w:rsidR="007A74E1" w:rsidRDefault="00704606">
      <w:pPr>
        <w:pStyle w:val="Zkladntext"/>
        <w:ind w:left="242"/>
        <w:jc w:val="left"/>
      </w:pPr>
      <w:r>
        <w:t>dne:</w:t>
      </w:r>
    </w:p>
    <w:p w:rsidR="007A74E1" w:rsidRDefault="007A74E1">
      <w:pPr>
        <w:pStyle w:val="Zkladntext"/>
        <w:ind w:left="0"/>
        <w:jc w:val="left"/>
        <w:rPr>
          <w:sz w:val="26"/>
        </w:rPr>
      </w:pPr>
    </w:p>
    <w:p w:rsidR="007A74E1" w:rsidRDefault="007A74E1">
      <w:pPr>
        <w:pStyle w:val="Zkladntext"/>
        <w:ind w:left="0"/>
        <w:jc w:val="left"/>
        <w:rPr>
          <w:sz w:val="26"/>
        </w:rPr>
      </w:pPr>
    </w:p>
    <w:p w:rsidR="007A74E1" w:rsidRDefault="007A74E1">
      <w:pPr>
        <w:pStyle w:val="Zkladntext"/>
        <w:spacing w:before="3"/>
        <w:ind w:left="0"/>
        <w:jc w:val="left"/>
        <w:rPr>
          <w:sz w:val="29"/>
        </w:rPr>
      </w:pPr>
    </w:p>
    <w:p w:rsidR="007A74E1" w:rsidRDefault="0070460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A74E1" w:rsidRDefault="0070460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7A74E1">
      <w:pgSz w:w="12240" w:h="15840"/>
      <w:pgMar w:top="106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06" w:rsidRDefault="00704606">
      <w:r>
        <w:separator/>
      </w:r>
    </w:p>
  </w:endnote>
  <w:endnote w:type="continuationSeparator" w:id="0">
    <w:p w:rsidR="00704606" w:rsidRDefault="007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E1" w:rsidRDefault="009D1CE5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E1" w:rsidRDefault="0070460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CE5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A74E1" w:rsidRDefault="0070460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CE5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06" w:rsidRDefault="00704606">
      <w:r>
        <w:separator/>
      </w:r>
    </w:p>
  </w:footnote>
  <w:footnote w:type="continuationSeparator" w:id="0">
    <w:p w:rsidR="00704606" w:rsidRDefault="0070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34B"/>
    <w:multiLevelType w:val="hybridMultilevel"/>
    <w:tmpl w:val="8FD2E1DA"/>
    <w:lvl w:ilvl="0" w:tplc="0554D5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B22F3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0A618E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22C753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3F4D20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132250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C7A5B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EBE228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F227F9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9544B4"/>
    <w:multiLevelType w:val="hybridMultilevel"/>
    <w:tmpl w:val="F098A1E8"/>
    <w:lvl w:ilvl="0" w:tplc="B66826A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D690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C1456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6625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6F803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AB6BBE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EB0002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1F0F4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944EA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375ACC"/>
    <w:multiLevelType w:val="hybridMultilevel"/>
    <w:tmpl w:val="09FE9942"/>
    <w:lvl w:ilvl="0" w:tplc="1D28D41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E462C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A5E5BA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A9A76D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FE09F6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60EA89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FD4D2A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DF0C59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0BC91E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CE069C5"/>
    <w:multiLevelType w:val="hybridMultilevel"/>
    <w:tmpl w:val="DD884382"/>
    <w:lvl w:ilvl="0" w:tplc="2EC6AFD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0EAE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F10212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87C866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1C40E2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06A23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CB27A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040C8F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354CD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16825A2"/>
    <w:multiLevelType w:val="hybridMultilevel"/>
    <w:tmpl w:val="BD9ED7FC"/>
    <w:lvl w:ilvl="0" w:tplc="8458A9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7A44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A3A1A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286D37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EC2D76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DAA347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E74BC4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BFC905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3CC632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DC14B1D"/>
    <w:multiLevelType w:val="hybridMultilevel"/>
    <w:tmpl w:val="9F0881CC"/>
    <w:lvl w:ilvl="0" w:tplc="EEFA90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10AF4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7CE23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E66658E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60A89716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BD9CB474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38FEE1F8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7D4A1700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D91470B0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E1"/>
    <w:rsid w:val="00704606"/>
    <w:rsid w:val="007A74E1"/>
    <w:rsid w:val="009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BC38-9760-426E-BBC3-E574FD00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2024-01-15T12:23:00Z</dcterms:created>
  <dcterms:modified xsi:type="dcterms:W3CDTF">2024-01-15T12:23:00Z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2024-01-15T00:00:00Z</vt:filetime>
  </property>
</Properties>
</file>