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6716211A" w:rsidR="00D859C2" w:rsidRPr="002170F1" w:rsidRDefault="00C81932" w:rsidP="00D859C2">
      <w:pPr>
        <w:rPr>
          <w:b/>
        </w:rPr>
      </w:pPr>
      <w:r w:rsidRPr="002170F1">
        <w:rPr>
          <w:b/>
        </w:rPr>
        <w:t>SNT Plus s.r.o.</w:t>
      </w:r>
    </w:p>
    <w:p w14:paraId="3DADA2B1" w14:textId="4BC34CD7" w:rsidR="00D859C2" w:rsidRPr="002170F1" w:rsidRDefault="00D859C2" w:rsidP="00D859C2">
      <w:r w:rsidRPr="002170F1">
        <w:t xml:space="preserve">IČ: </w:t>
      </w:r>
      <w:r w:rsidR="00C81932" w:rsidRPr="002170F1">
        <w:t>25701576</w:t>
      </w:r>
    </w:p>
    <w:p w14:paraId="494735B8" w14:textId="31605148" w:rsidR="00D859C2" w:rsidRPr="002170F1" w:rsidRDefault="00D859C2" w:rsidP="00D859C2">
      <w:r w:rsidRPr="002170F1">
        <w:t xml:space="preserve">DIČ: </w:t>
      </w:r>
      <w:r w:rsidR="00C81932" w:rsidRPr="002170F1">
        <w:t>CZ25701576</w:t>
      </w:r>
    </w:p>
    <w:p w14:paraId="4BE4B061" w14:textId="6559DCF1" w:rsidR="00D859C2" w:rsidRPr="002170F1" w:rsidRDefault="00D859C2" w:rsidP="00D859C2">
      <w:r w:rsidRPr="002170F1">
        <w:t>se sídlem</w:t>
      </w:r>
      <w:r w:rsidR="005B0B71" w:rsidRPr="002170F1">
        <w:t xml:space="preserve">: </w:t>
      </w:r>
      <w:r w:rsidR="00C81932" w:rsidRPr="002170F1">
        <w:t>Praha 4, Novodvorská 994/138, PSČ 142 00</w:t>
      </w:r>
    </w:p>
    <w:p w14:paraId="1F4F5F98" w14:textId="42863B94" w:rsidR="00D859C2" w:rsidRPr="002170F1" w:rsidRDefault="00D859C2" w:rsidP="00D859C2">
      <w:r w:rsidRPr="002170F1">
        <w:t xml:space="preserve">zastoupena: </w:t>
      </w:r>
      <w:r w:rsidR="00C81932" w:rsidRPr="002170F1">
        <w:t>Ing. Ludvíkem Tótem, jednatelem</w:t>
      </w:r>
    </w:p>
    <w:p w14:paraId="43130257" w14:textId="7604A782" w:rsidR="00D859C2" w:rsidRPr="002170F1" w:rsidRDefault="00D859C2" w:rsidP="00D859C2">
      <w:r w:rsidRPr="002170F1">
        <w:t xml:space="preserve">bankovní spojení: </w:t>
      </w:r>
      <w:r w:rsidR="00C81932" w:rsidRPr="002170F1">
        <w:t>Raiffeisenbank a.s.</w:t>
      </w:r>
    </w:p>
    <w:p w14:paraId="4B4D9F51" w14:textId="73D27D61" w:rsidR="00D859C2" w:rsidRPr="002170F1" w:rsidRDefault="00D859C2" w:rsidP="00D859C2">
      <w:r w:rsidRPr="002170F1">
        <w:t xml:space="preserve">číslo účtu: </w:t>
      </w:r>
      <w:r w:rsidR="00C81932" w:rsidRPr="002170F1">
        <w:t>112 110 3502/5500</w:t>
      </w:r>
    </w:p>
    <w:p w14:paraId="7BE5CCD9" w14:textId="566E31C4" w:rsidR="00D859C2" w:rsidRPr="002170F1" w:rsidRDefault="00D859C2" w:rsidP="00D859C2">
      <w:r w:rsidRPr="002170F1">
        <w:t xml:space="preserve">zapsána v obchodním rejstříku vedeném </w:t>
      </w:r>
      <w:r w:rsidR="00C81932" w:rsidRPr="002170F1">
        <w:t>Městským</w:t>
      </w:r>
      <w:r w:rsidRPr="002170F1">
        <w:t xml:space="preserve"> soudem v </w:t>
      </w:r>
      <w:r w:rsidR="00C81932" w:rsidRPr="002170F1">
        <w:t>Praze</w:t>
      </w:r>
      <w:r w:rsidRPr="002170F1">
        <w:t xml:space="preserve">, oddíl </w:t>
      </w:r>
      <w:r w:rsidR="00C81932" w:rsidRPr="002170F1">
        <w:t>C</w:t>
      </w:r>
      <w:r w:rsidRPr="002170F1">
        <w:t xml:space="preserve">, vložka </w:t>
      </w:r>
      <w:r w:rsidR="00C81932" w:rsidRPr="002170F1">
        <w:t>62478</w:t>
      </w:r>
    </w:p>
    <w:p w14:paraId="39F0ACA6" w14:textId="77777777" w:rsidR="00D859C2" w:rsidRPr="002170F1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2170F1">
        <w:rPr>
          <w:rStyle w:val="platne1"/>
        </w:rPr>
        <w:t>jako prodávajícím (dále jen „</w:t>
      </w:r>
      <w:r w:rsidRPr="002170F1">
        <w:rPr>
          <w:rStyle w:val="platne1"/>
          <w:b/>
        </w:rPr>
        <w:t>Prodávající</w:t>
      </w:r>
      <w:r w:rsidRPr="002170F1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6617CD82" w:rsidR="00095C75" w:rsidRPr="00CF0C56" w:rsidRDefault="00095C75" w:rsidP="00A05D45">
      <w:pPr>
        <w:pStyle w:val="Odstavecsmlouvy"/>
        <w:numPr>
          <w:ilvl w:val="1"/>
          <w:numId w:val="2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vyhlášené Kupujícím pod </w:t>
      </w:r>
      <w:r w:rsidRPr="008B7B0B">
        <w:t>názvem</w:t>
      </w:r>
      <w:r w:rsidR="719E714E" w:rsidRPr="008B7B0B">
        <w:rPr>
          <w:rFonts w:eastAsia="Arial"/>
        </w:rPr>
        <w:t xml:space="preserve"> „</w:t>
      </w:r>
      <w:r w:rsidR="008B7B0B" w:rsidRPr="008B7B0B">
        <w:rPr>
          <w:rFonts w:eastAsia="Arial"/>
        </w:rPr>
        <w:t>Monitory vitálních funkcí</w:t>
      </w:r>
      <w:r w:rsidR="719E714E" w:rsidRPr="008B7B0B">
        <w:rPr>
          <w:rFonts w:eastAsia="Arial"/>
        </w:rPr>
        <w:t>“</w:t>
      </w:r>
      <w:r w:rsidRPr="008B7B0B">
        <w:t>,</w:t>
      </w:r>
      <w:r>
        <w:t xml:space="preserve"> část </w:t>
      </w:r>
      <w:r w:rsidR="008B7B0B">
        <w:t>1</w:t>
      </w:r>
      <w:r>
        <w:t xml:space="preserve"> 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2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2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2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77777777" w:rsidR="00C45456" w:rsidRDefault="00C45456" w:rsidP="00C45456">
      <w:pPr>
        <w:pStyle w:val="Odstavecsmlouvy"/>
        <w:numPr>
          <w:ilvl w:val="1"/>
          <w:numId w:val="2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CD4D27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45D7AB98" w:rsidR="00BA5EEC" w:rsidRDefault="00BA5EEC" w:rsidP="00BA5EEC">
      <w:pPr>
        <w:pStyle w:val="Odstavecsmlouvy"/>
        <w:numPr>
          <w:ilvl w:val="1"/>
          <w:numId w:val="2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r w:rsidR="001E2240" w:rsidRPr="00D859C2">
        <w:t xml:space="preserve">zákona č. </w:t>
      </w:r>
      <w:r w:rsidR="001E2240">
        <w:t>375</w:t>
      </w:r>
      <w:r w:rsidR="001E2240" w:rsidRPr="00D859C2">
        <w:t>/</w:t>
      </w:r>
      <w:r w:rsidR="001E2240">
        <w:t>2022</w:t>
      </w:r>
      <w:r w:rsidR="001E2240" w:rsidRPr="00D859C2">
        <w:t xml:space="preserve"> Sb., </w:t>
      </w:r>
      <w:r w:rsidR="001E2240" w:rsidRPr="004820A4">
        <w:t xml:space="preserve">o zdravotnických prostředcích a </w:t>
      </w:r>
      <w:r w:rsidR="001E2240">
        <w:t>diagnostických zdravotnických prostředcích in vitro</w:t>
      </w:r>
      <w:r w:rsidR="001E2240" w:rsidRPr="004820A4">
        <w:t>, ve znění pozdějších předpisů</w:t>
      </w:r>
      <w:r w:rsidR="001E2240">
        <w:t xml:space="preserve"> (dále jen „</w:t>
      </w:r>
      <w:proofErr w:type="spellStart"/>
      <w:r w:rsidR="001E2240" w:rsidRPr="00D859C2">
        <w:rPr>
          <w:b/>
        </w:rPr>
        <w:t>ZoZP</w:t>
      </w:r>
      <w:proofErr w:type="spellEnd"/>
      <w:r w:rsidR="001E2240">
        <w:t>“),</w:t>
      </w:r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58605A75" w14:textId="77777777" w:rsidR="001E2240" w:rsidRDefault="001E2240" w:rsidP="008B7B0B">
      <w:pPr>
        <w:pStyle w:val="Odstavecsmlouvy"/>
        <w:numPr>
          <w:ilvl w:val="0"/>
          <w:numId w:val="0"/>
        </w:numPr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5B1D3BC2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</w:t>
      </w:r>
      <w:r w:rsidR="00ED3A3E" w:rsidRPr="002170F1">
        <w:t>jícímu</w:t>
      </w:r>
      <w:r w:rsidR="009E1C26" w:rsidRPr="002170F1">
        <w:t xml:space="preserve"> </w:t>
      </w:r>
      <w:r w:rsidR="002678E6" w:rsidRPr="002170F1">
        <w:t>1</w:t>
      </w:r>
      <w:r w:rsidR="002F4F30" w:rsidRPr="002170F1">
        <w:t xml:space="preserve"> ks </w:t>
      </w:r>
      <w:bookmarkStart w:id="0" w:name="_Hlk147138941"/>
      <w:r w:rsidR="002678E6" w:rsidRPr="002170F1">
        <w:t xml:space="preserve">Monitor </w:t>
      </w:r>
      <w:r w:rsidR="006C55BE" w:rsidRPr="002170F1">
        <w:t>v</w:t>
      </w:r>
      <w:r w:rsidR="002678E6" w:rsidRPr="002170F1">
        <w:t>itálních funkcí</w:t>
      </w:r>
      <w:bookmarkEnd w:id="0"/>
      <w:r w:rsidR="008645D8" w:rsidRPr="002170F1">
        <w:rPr>
          <w:b/>
        </w:rPr>
        <w:t>, typ:</w:t>
      </w:r>
      <w:r w:rsidR="008645D8" w:rsidRPr="00D859C2">
        <w:rPr>
          <w:b/>
        </w:rPr>
        <w:t xml:space="preserve"> </w:t>
      </w:r>
      <w:r w:rsidR="002678E6">
        <w:rPr>
          <w:b/>
        </w:rPr>
        <w:t>IntelliVue MX450</w:t>
      </w:r>
      <w:r w:rsidR="004453FF" w:rsidRPr="00D859C2">
        <w:rPr>
          <w:b/>
        </w:rPr>
        <w:t>, výrobce</w:t>
      </w:r>
      <w:r w:rsidR="002678E6">
        <w:rPr>
          <w:b/>
        </w:rPr>
        <w:t xml:space="preserve"> PHILIPS</w:t>
      </w:r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lastRenderedPageBreak/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78265B74" w:rsidR="003F7B02" w:rsidRPr="00D859C2" w:rsidRDefault="003A1056" w:rsidP="38690F1A">
      <w:pPr>
        <w:pStyle w:val="Odstavecsmlouvy"/>
      </w:pPr>
      <w:r>
        <w:t xml:space="preserve">Prodávající se zavazuje dodat </w:t>
      </w:r>
      <w:r w:rsidR="003F7B02">
        <w:t xml:space="preserve">Zboží </w:t>
      </w:r>
      <w:r w:rsidR="009A3D16">
        <w:t xml:space="preserve">a veškeré doklady, které se ke Zboží vztahují, </w:t>
      </w:r>
      <w:r>
        <w:t>Kupujícímu</w:t>
      </w:r>
      <w:r w:rsidR="003F7B02">
        <w:t xml:space="preserve"> nejpozději </w:t>
      </w:r>
      <w:r w:rsidR="008B7B0B">
        <w:rPr>
          <w:rFonts w:eastAsia="Arial"/>
          <w:b/>
          <w:bCs/>
        </w:rPr>
        <w:t>do 8 týdnů</w:t>
      </w:r>
      <w:r>
        <w:t xml:space="preserve"> </w:t>
      </w:r>
      <w:r w:rsidR="003F7B02">
        <w:t xml:space="preserve">ode dne </w:t>
      </w:r>
      <w:r w:rsidR="00D071E8">
        <w:t xml:space="preserve">nabytí účinnosti </w:t>
      </w:r>
      <w:r w:rsidR="003F7B02">
        <w:t xml:space="preserve">této </w:t>
      </w:r>
      <w:r w:rsidR="00250E90">
        <w:t>smlouvy a Kupující se zavazuje dodané Zboží převzít.</w:t>
      </w:r>
      <w:r w:rsidR="19907203">
        <w:t xml:space="preserve"> Současně, </w:t>
      </w:r>
      <w:r w:rsidR="19907203" w:rsidRPr="38690F1A">
        <w:rPr>
          <w:b/>
          <w:bCs/>
        </w:rPr>
        <w:t>5 dnů před plánovaným předáním, je prodávající povinen zaslat na uvedený e-mail vyplněnou Importní tabulku</w:t>
      </w:r>
      <w:r w:rsidR="19907203" w:rsidRPr="38690F1A">
        <w:t>, která byla součástí výzvy k podání nabídky, a to v elektronické podobě.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4C478768" w:rsidR="00BE2371" w:rsidRPr="00D859C2" w:rsidRDefault="003F7B02" w:rsidP="00D859C2">
      <w:pPr>
        <w:pStyle w:val="Odstavecsmlouvy"/>
      </w:pPr>
      <w:r>
        <w:t xml:space="preserve">Místem dodání Zboží </w:t>
      </w:r>
      <w:r w:rsidR="00D50BBE">
        <w:t xml:space="preserve">je </w:t>
      </w:r>
      <w:r w:rsidR="008B7B0B">
        <w:t>JIP ORL oddělení Fakultní nemocnice Brno</w:t>
      </w:r>
      <w:r w:rsidR="008B7B0B" w:rsidRPr="004D0B5C">
        <w:t xml:space="preserve">, </w:t>
      </w:r>
      <w:r w:rsidR="008B7B0B" w:rsidRPr="00957E8F">
        <w:t>pracoviště Nemocnice Bohunice a Porodnice</w:t>
      </w:r>
      <w:r w:rsidR="008B7B0B">
        <w:t xml:space="preserve">, </w:t>
      </w:r>
      <w:r w:rsidR="008B7B0B" w:rsidRPr="004D0B5C">
        <w:t>Jihlavská 20, 625 00 Brno</w:t>
      </w:r>
      <w:r w:rsidR="008B7B0B">
        <w:t>.</w:t>
      </w: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0457742C" w14:textId="62092F71" w:rsidR="00AB178A" w:rsidRPr="00AB178A" w:rsidRDefault="009A3D16" w:rsidP="00AB178A">
      <w:pPr>
        <w:pStyle w:val="Odstavecsmlouvy"/>
      </w:pPr>
      <w:r>
        <w:t xml:space="preserve">Prodávající se zavazuje oznámit </w:t>
      </w:r>
      <w:r w:rsidR="00560C16">
        <w:t xml:space="preserve">Kupujícímu </w:t>
      </w:r>
      <w:r>
        <w:t xml:space="preserve">konkrétní termín dodání Zboží </w:t>
      </w:r>
      <w:r w:rsidR="00FB373A">
        <w:t>pět</w:t>
      </w:r>
      <w:r>
        <w:t xml:space="preserve"> pracovní</w:t>
      </w:r>
      <w:r w:rsidR="00FB373A">
        <w:t>ch dnů</w:t>
      </w:r>
      <w:r>
        <w:t xml:space="preserve"> před plánovaným termínem </w:t>
      </w:r>
      <w:r w:rsidR="00735D41">
        <w:t xml:space="preserve">dodání </w:t>
      </w:r>
      <w:r>
        <w:t xml:space="preserve">na </w:t>
      </w:r>
      <w:r w:rsidR="00B41494">
        <w:t>o</w:t>
      </w:r>
      <w:r w:rsidR="002F4EDA">
        <w:t>bchodní oddělení</w:t>
      </w:r>
      <w:r>
        <w:t xml:space="preserve"> </w:t>
      </w:r>
      <w:r w:rsidR="00560C16">
        <w:t>FN Brno</w:t>
      </w:r>
      <w:r w:rsidR="00B41494">
        <w:t xml:space="preserve"> paní</w:t>
      </w:r>
      <w:r w:rsidR="36698B26">
        <w:t xml:space="preserve"> </w:t>
      </w:r>
      <w:r w:rsidR="00E0489B">
        <w:rPr>
          <w:rFonts w:eastAsia="Arial"/>
          <w:bCs/>
        </w:rPr>
        <w:t>XXX</w:t>
      </w:r>
      <w:r w:rsidR="008B7B0B" w:rsidRPr="008B7B0B">
        <w:rPr>
          <w:rFonts w:eastAsia="Arial"/>
          <w:bCs/>
        </w:rPr>
        <w:t xml:space="preserve">, </w:t>
      </w:r>
      <w:r w:rsidR="00DE3A3F" w:rsidRPr="008B7B0B">
        <w:t xml:space="preserve">tel.: </w:t>
      </w:r>
      <w:r w:rsidR="00E0489B">
        <w:t>XXX</w:t>
      </w:r>
      <w:r w:rsidR="008B7B0B" w:rsidRPr="008B7B0B">
        <w:rPr>
          <w:rFonts w:eastAsia="Arial"/>
          <w:bCs/>
        </w:rPr>
        <w:t xml:space="preserve"> </w:t>
      </w:r>
      <w:r w:rsidR="00DE3A3F" w:rsidRPr="008B7B0B">
        <w:t xml:space="preserve">a písemně na e-mail: </w:t>
      </w:r>
      <w:r w:rsidR="00E0489B">
        <w:t>XXX</w:t>
      </w:r>
      <w:r w:rsidRPr="008B7B0B">
        <w:t>. Bez tohoto oznámení není Kupující povinen Zboží převzít.</w:t>
      </w:r>
      <w:r w:rsidR="00B91037">
        <w:t xml:space="preserve"> </w:t>
      </w:r>
      <w:r w:rsidR="00AB178A" w:rsidRPr="00AB178A">
        <w:t xml:space="preserve">Současně, </w:t>
      </w:r>
      <w:r w:rsidR="00AB178A" w:rsidRPr="00AB178A">
        <w:rPr>
          <w:b/>
        </w:rPr>
        <w:t>5 dnů před plánovaným předáním, je prodávající povinen zaslat na uvedený e-mail vyplněnou Importní tabulku</w:t>
      </w:r>
      <w:r w:rsidR="00AB178A" w:rsidRPr="00AB178A">
        <w:t>, která byla součástí výzvy k podání nabídky, a to v elektronické podobě.</w:t>
      </w:r>
    </w:p>
    <w:p w14:paraId="75136A6F" w14:textId="27BC8A05" w:rsidR="00D82704" w:rsidRPr="00D859C2" w:rsidRDefault="00D82704" w:rsidP="00AB178A">
      <w:pPr>
        <w:pStyle w:val="Odstavecsmlouvy"/>
        <w:numPr>
          <w:ilvl w:val="0"/>
          <w:numId w:val="0"/>
        </w:numPr>
        <w:ind w:left="567"/>
      </w:pP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</w:t>
      </w:r>
      <w:proofErr w:type="spellStart"/>
      <w:r>
        <w:t>workflow</w:t>
      </w:r>
      <w:proofErr w:type="spellEnd"/>
      <w:r>
        <w:t>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t>Zástupci Prodávajícího a Kupujícího sepíší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 xml:space="preserve"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</w:t>
      </w:r>
      <w:r>
        <w:lastRenderedPageBreak/>
        <w:t>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2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1" w:name="_Ref31278541"/>
      <w:r>
        <w:t>Montáž</w:t>
      </w:r>
      <w:bookmarkEnd w:id="1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</w:t>
      </w:r>
      <w:r>
        <w:lastRenderedPageBreak/>
        <w:t>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617"/>
        <w:gridCol w:w="3746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2170F1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2170F1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72C55859" w:rsidR="00D859C2" w:rsidRPr="002170F1" w:rsidRDefault="005D23AF" w:rsidP="000E79CE">
            <w:pPr>
              <w:pStyle w:val="Zkladntext3"/>
              <w:rPr>
                <w:b/>
                <w:sz w:val="22"/>
                <w:szCs w:val="22"/>
              </w:rPr>
            </w:pPr>
            <w:r w:rsidRPr="002170F1">
              <w:rPr>
                <w:b/>
                <w:sz w:val="22"/>
                <w:szCs w:val="22"/>
              </w:rPr>
              <w:t>237 000</w:t>
            </w:r>
            <w:r w:rsidR="00D859C2" w:rsidRPr="002170F1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270FA5E9" w:rsidR="00D859C2" w:rsidRPr="002170F1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2170F1">
              <w:rPr>
                <w:b/>
                <w:sz w:val="22"/>
                <w:szCs w:val="22"/>
              </w:rPr>
              <w:t xml:space="preserve">DPH </w:t>
            </w:r>
            <w:r w:rsidR="005D23AF" w:rsidRPr="002170F1">
              <w:rPr>
                <w:b/>
                <w:sz w:val="22"/>
                <w:szCs w:val="22"/>
              </w:rPr>
              <w:t>21</w:t>
            </w:r>
            <w:r w:rsidRPr="002170F1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3814E231" w:rsidR="00D859C2" w:rsidRPr="002170F1" w:rsidRDefault="005D23AF" w:rsidP="000E79CE">
            <w:pPr>
              <w:pStyle w:val="Zkladntext3"/>
              <w:rPr>
                <w:b/>
                <w:sz w:val="22"/>
                <w:szCs w:val="22"/>
              </w:rPr>
            </w:pPr>
            <w:r w:rsidRPr="002170F1">
              <w:rPr>
                <w:b/>
                <w:sz w:val="22"/>
                <w:szCs w:val="22"/>
              </w:rPr>
              <w:t>49 770</w:t>
            </w:r>
            <w:r w:rsidR="00D859C2" w:rsidRPr="002170F1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2170F1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2170F1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246B3388" w:rsidR="00D859C2" w:rsidRPr="002170F1" w:rsidRDefault="005D23AF" w:rsidP="000E79CE">
            <w:pPr>
              <w:pStyle w:val="Zkladntext3"/>
              <w:rPr>
                <w:b/>
                <w:sz w:val="22"/>
                <w:szCs w:val="22"/>
              </w:rPr>
            </w:pPr>
            <w:r w:rsidRPr="002170F1">
              <w:rPr>
                <w:b/>
                <w:sz w:val="22"/>
                <w:szCs w:val="22"/>
              </w:rPr>
              <w:t>286 770</w:t>
            </w:r>
            <w:r w:rsidR="00D859C2" w:rsidRPr="002170F1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2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2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 xml:space="preserve">a musí na ní být uvedena sjednaná kupní cena a datum splatnosti v souladu </w:t>
      </w:r>
      <w:r w:rsidRPr="00D859C2">
        <w:lastRenderedPageBreak/>
        <w:t>se smlouvou</w:t>
      </w:r>
      <w:r w:rsidRPr="00D859C2">
        <w:rPr>
          <w:color w:val="000000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2"/>
        </w:numPr>
        <w:rPr>
          <w:color w:val="000000"/>
        </w:rPr>
      </w:pPr>
      <w:bookmarkStart w:id="2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2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lastRenderedPageBreak/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3F44AC6E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r w:rsidR="00CD4D27">
        <w:t>IX.5</w:t>
      </w:r>
      <w:r>
        <w:fldChar w:fldCharType="end"/>
      </w:r>
      <w:r>
        <w:t xml:space="preserve"> této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2"/>
        </w:numPr>
      </w:pPr>
      <w:bookmarkStart w:id="3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2"/>
        </w:numPr>
      </w:pPr>
      <w:bookmarkStart w:id="4" w:name="_Ref41464712"/>
      <w:bookmarkStart w:id="5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4"/>
    </w:p>
    <w:bookmarkEnd w:id="5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3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lastRenderedPageBreak/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31AF0C68" w:rsidR="00327588" w:rsidRPr="00D859C2" w:rsidRDefault="00903293" w:rsidP="00094B12">
      <w:pPr>
        <w:pStyle w:val="Odstavecsmlouvy"/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="008B7B0B">
        <w:rPr>
          <w:snapToGrid w:val="0"/>
        </w:rPr>
        <w:t xml:space="preserve"> je sepsána ve dvou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>Prodávající obdrží jed</w:t>
      </w:r>
      <w:r w:rsidR="008B7B0B">
        <w:rPr>
          <w:snapToGrid w:val="0"/>
        </w:rPr>
        <w:t xml:space="preserve">no vyhotovení a Kupující obdrží jedno </w:t>
      </w:r>
      <w:r>
        <w:rPr>
          <w:snapToGrid w:val="0"/>
        </w:rPr>
        <w:t xml:space="preserve">vyhotovení.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>. V takovém případě obdrží každá smluvní strana elektronický originál oboustranně podepsané smlouvy</w:t>
      </w:r>
      <w:r w:rsidRPr="00766CF0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4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0B6D6C92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  <w:r w:rsidR="002B7B6F">
        <w:t>.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03"/>
        <w:gridCol w:w="1002"/>
        <w:gridCol w:w="3800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60074EDA" w:rsidR="00094B12" w:rsidRPr="002170F1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2170F1">
              <w:rPr>
                <w:sz w:val="22"/>
                <w:szCs w:val="22"/>
              </w:rPr>
              <w:t>V </w:t>
            </w:r>
            <w:r w:rsidR="00C81932" w:rsidRPr="002170F1">
              <w:rPr>
                <w:sz w:val="22"/>
                <w:szCs w:val="22"/>
              </w:rPr>
              <w:t>Praze</w:t>
            </w:r>
            <w:r w:rsidRPr="002170F1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2170F1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Pr="002170F1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Pr="002170F1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2170F1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2170F1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78539E64" w:rsidR="00094B12" w:rsidRPr="002170F1" w:rsidRDefault="00C8193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2170F1">
              <w:rPr>
                <w:b/>
                <w:sz w:val="22"/>
                <w:szCs w:val="22"/>
              </w:rPr>
              <w:t>SNT Plus s.r.o.</w:t>
            </w:r>
          </w:p>
          <w:p w14:paraId="17D23793" w14:textId="2D9EBAD7" w:rsidR="00094B12" w:rsidRPr="002170F1" w:rsidRDefault="00C8193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2170F1">
              <w:rPr>
                <w:sz w:val="22"/>
                <w:szCs w:val="22"/>
              </w:rPr>
              <w:t>Ing. Ludvík Tót, jednatel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3374C9BB" w:rsidR="00094B12" w:rsidRDefault="00094B12">
      <w:pPr>
        <w:spacing w:line="240" w:lineRule="auto"/>
        <w:jc w:val="left"/>
      </w:pPr>
      <w:r>
        <w:br w:type="page"/>
      </w: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11EDEFE8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C45456">
        <w:rPr>
          <w:b/>
        </w:rPr>
        <w:t xml:space="preserve"> a dalších plnění</w:t>
      </w:r>
    </w:p>
    <w:p w14:paraId="46EF4B78" w14:textId="77777777" w:rsidR="00094B12" w:rsidRDefault="00094B12" w:rsidP="00094B12"/>
    <w:p w14:paraId="725A367B" w14:textId="77777777" w:rsidR="002678E6" w:rsidRDefault="002678E6" w:rsidP="00994805">
      <w:pPr>
        <w:ind w:left="284" w:hanging="5"/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488"/>
        <w:gridCol w:w="3976"/>
        <w:gridCol w:w="376"/>
        <w:gridCol w:w="1476"/>
        <w:gridCol w:w="1676"/>
      </w:tblGrid>
      <w:tr w:rsidR="00F147F0" w:rsidRPr="00F147F0" w14:paraId="41FC02F9" w14:textId="77777777" w:rsidTr="00F147F0">
        <w:trPr>
          <w:trHeight w:val="2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14:paraId="1ACE4162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F147F0"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14:paraId="75AF0552" w14:textId="77777777" w:rsidR="00F147F0" w:rsidRPr="00F147F0" w:rsidRDefault="00F147F0" w:rsidP="00F147F0">
            <w:pPr>
              <w:spacing w:line="240" w:lineRule="auto"/>
              <w:ind w:firstLineChars="100" w:firstLine="160"/>
              <w:jc w:val="lef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F147F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Produkt 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14:paraId="566C07E2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F147F0">
              <w:rPr>
                <w:rFonts w:ascii="Arial CE" w:hAnsi="Arial CE" w:cs="Arial CE"/>
                <w:color w:val="000000"/>
                <w:sz w:val="16"/>
                <w:szCs w:val="16"/>
              </w:rPr>
              <w:t>Popis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14:paraId="097754ED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F147F0">
              <w:rPr>
                <w:rFonts w:ascii="Arial CE" w:hAnsi="Arial CE" w:cs="Arial CE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14:paraId="4201CA2F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F147F0">
              <w:rPr>
                <w:rFonts w:ascii="Arial CE" w:hAnsi="Arial CE" w:cs="Arial CE"/>
                <w:color w:val="000000"/>
                <w:sz w:val="16"/>
                <w:szCs w:val="16"/>
              </w:rPr>
              <w:t>Cena Kč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14:paraId="59B64EDB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F147F0">
              <w:rPr>
                <w:rFonts w:ascii="Arial CE" w:hAnsi="Arial CE" w:cs="Arial CE"/>
                <w:color w:val="000000"/>
                <w:sz w:val="16"/>
                <w:szCs w:val="16"/>
              </w:rPr>
              <w:t>Cena x ks</w:t>
            </w:r>
          </w:p>
        </w:tc>
      </w:tr>
      <w:tr w:rsidR="00F147F0" w:rsidRPr="00F147F0" w14:paraId="4695A2E5" w14:textId="77777777" w:rsidTr="00F147F0">
        <w:trPr>
          <w:trHeight w:val="16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AD502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FF"/>
                <w:sz w:val="12"/>
                <w:szCs w:val="12"/>
              </w:rPr>
            </w:pPr>
            <w:r w:rsidRPr="00F147F0">
              <w:rPr>
                <w:rFonts w:ascii="Arial CE" w:hAnsi="Arial CE" w:cs="Arial CE"/>
                <w:color w:val="0000FF"/>
                <w:sz w:val="12"/>
                <w:szCs w:val="1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A3AA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FF"/>
                <w:sz w:val="12"/>
                <w:szCs w:val="12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58700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E776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47941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C6EDA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3F97B600" w14:textId="77777777" w:rsidTr="00F147F0">
        <w:trPr>
          <w:trHeight w:val="16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1536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FF"/>
                <w:sz w:val="12"/>
                <w:szCs w:val="12"/>
              </w:rPr>
            </w:pPr>
            <w:r w:rsidRPr="00F147F0">
              <w:rPr>
                <w:rFonts w:ascii="Arial CE" w:hAnsi="Arial CE" w:cs="Arial CE"/>
                <w:color w:val="0000FF"/>
                <w:sz w:val="12"/>
                <w:szCs w:val="1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B9A5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FF"/>
                <w:sz w:val="12"/>
                <w:szCs w:val="12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FC0B1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004B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82DB7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91AF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39948089" w14:textId="77777777" w:rsidTr="00F147F0">
        <w:trPr>
          <w:trHeight w:val="16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DE628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FF"/>
                <w:sz w:val="12"/>
                <w:szCs w:val="12"/>
              </w:rPr>
            </w:pPr>
            <w:r w:rsidRPr="00F147F0">
              <w:rPr>
                <w:rFonts w:ascii="Arial CE" w:hAnsi="Arial CE" w:cs="Arial CE"/>
                <w:color w:val="0000FF"/>
                <w:sz w:val="12"/>
                <w:szCs w:val="1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634D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FF"/>
                <w:sz w:val="12"/>
                <w:szCs w:val="12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417C" w14:textId="099200C0" w:rsidR="00F147F0" w:rsidRPr="00F147F0" w:rsidRDefault="00F147F0" w:rsidP="00F147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147F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3FA3046E" wp14:editId="328DEB8B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95250</wp:posOffset>
                  </wp:positionV>
                  <wp:extent cx="904875" cy="771525"/>
                  <wp:effectExtent l="0" t="0" r="0" b="9525"/>
                  <wp:wrapNone/>
                  <wp:docPr id="5" name="Obrázek 2" descr="C:\Users\tomas.piler\Documents\P_PRODUKTY\MONITORY\01_MONITORY\00_MX Monitory obr\MX450\mx450_gallery2_lrg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BBC52F-A1BC-4A0C-82F6-7AAD758C97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C:\Users\tomas.piler\Documents\P_PRODUKTY\MONITORY\01_MONITORY\00_MX Monitory obr\MX450\mx450_gallery2_lrg.jpg">
                            <a:extLst>
                              <a:ext uri="{FF2B5EF4-FFF2-40B4-BE49-F238E27FC236}">
                                <a16:creationId xmlns:a16="http://schemas.microsoft.com/office/drawing/2014/main" id="{BEBBC52F-A1BC-4A0C-82F6-7AAD758C97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7428" cy="77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6"/>
            </w:tblGrid>
            <w:tr w:rsidR="00F147F0" w:rsidRPr="00F147F0" w14:paraId="10AC9B25" w14:textId="77777777">
              <w:trPr>
                <w:trHeight w:val="165"/>
                <w:tblCellSpacing w:w="0" w:type="dxa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8E1AF3" w14:textId="77777777" w:rsidR="00F147F0" w:rsidRPr="00F147F0" w:rsidRDefault="00F147F0" w:rsidP="00F147F0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8C89D21" w14:textId="77777777" w:rsidR="00F147F0" w:rsidRPr="00F147F0" w:rsidRDefault="00F147F0" w:rsidP="00F147F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C7CA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D7130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C325B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66EFE59F" w14:textId="77777777" w:rsidTr="00F147F0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D972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F147F0"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9D71" w14:textId="77777777" w:rsidR="00F147F0" w:rsidRPr="00F147F0" w:rsidRDefault="00F147F0" w:rsidP="00F147F0">
            <w:pPr>
              <w:spacing w:line="240" w:lineRule="auto"/>
              <w:jc w:val="left"/>
              <w:rPr>
                <w:color w:val="FF0000"/>
                <w:sz w:val="18"/>
                <w:szCs w:val="18"/>
                <w:u w:val="single"/>
              </w:rPr>
            </w:pPr>
            <w:proofErr w:type="spellStart"/>
            <w:r w:rsidRPr="00F147F0">
              <w:rPr>
                <w:color w:val="FF0000"/>
                <w:sz w:val="18"/>
                <w:szCs w:val="18"/>
                <w:u w:val="single"/>
              </w:rPr>
              <w:t>IntelliVue</w:t>
            </w:r>
            <w:proofErr w:type="spellEnd"/>
            <w:r w:rsidRPr="00F147F0">
              <w:rPr>
                <w:color w:val="FF0000"/>
                <w:sz w:val="18"/>
                <w:szCs w:val="18"/>
                <w:u w:val="single"/>
              </w:rPr>
              <w:t xml:space="preserve"> MX450 (12" dotykový)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9C646" w14:textId="77777777" w:rsidR="00F147F0" w:rsidRPr="00F147F0" w:rsidRDefault="00F147F0" w:rsidP="00F147F0">
            <w:pPr>
              <w:spacing w:line="240" w:lineRule="auto"/>
              <w:jc w:val="left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5D8C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98FD6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088EE967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8FFA6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3296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866062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6F92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proofErr w:type="spellStart"/>
            <w:r w:rsidRPr="00F147F0">
              <w:rPr>
                <w:rFonts w:ascii="Arial CE" w:hAnsi="Arial CE" w:cs="Arial CE"/>
                <w:b/>
                <w:bCs/>
                <w:sz w:val="14"/>
                <w:szCs w:val="14"/>
              </w:rPr>
              <w:t>IntelliVue</w:t>
            </w:r>
            <w:proofErr w:type="spellEnd"/>
            <w:r w:rsidRPr="00F147F0">
              <w:rPr>
                <w:rFonts w:ascii="Arial CE" w:hAnsi="Arial CE" w:cs="Arial CE"/>
                <w:b/>
                <w:bCs/>
                <w:sz w:val="14"/>
                <w:szCs w:val="14"/>
              </w:rPr>
              <w:t xml:space="preserve"> MX450 </w:t>
            </w:r>
            <w:proofErr w:type="spellStart"/>
            <w:r w:rsidRPr="00F147F0">
              <w:rPr>
                <w:rFonts w:ascii="Arial CE" w:hAnsi="Arial CE" w:cs="Arial CE"/>
                <w:b/>
                <w:bCs/>
                <w:sz w:val="14"/>
                <w:szCs w:val="14"/>
              </w:rPr>
              <w:t>Patient</w:t>
            </w:r>
            <w:proofErr w:type="spellEnd"/>
            <w:r w:rsidRPr="00F147F0">
              <w:rPr>
                <w:rFonts w:ascii="Arial CE" w:hAnsi="Arial CE" w:cs="Arial CE"/>
                <w:b/>
                <w:bCs/>
                <w:sz w:val="14"/>
                <w:szCs w:val="14"/>
              </w:rPr>
              <w:t xml:space="preserve"> Monitor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60E07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50228" w14:textId="299C697D" w:rsidR="00F147F0" w:rsidRPr="00F147F0" w:rsidRDefault="00E0489B" w:rsidP="00F147F0">
            <w:pPr>
              <w:spacing w:line="240" w:lineRule="auto"/>
              <w:jc w:val="right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>
              <w:rPr>
                <w:rFonts w:ascii="Arial CE" w:hAnsi="Arial CE" w:cs="Arial CE"/>
                <w:color w:val="000000"/>
                <w:sz w:val="14"/>
                <w:szCs w:val="14"/>
              </w:rPr>
              <w:t>XXX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6351" w14:textId="43845431" w:rsidR="00F147F0" w:rsidRPr="00F147F0" w:rsidRDefault="00E0489B" w:rsidP="00F147F0">
            <w:pPr>
              <w:spacing w:line="240" w:lineRule="auto"/>
              <w:jc w:val="right"/>
              <w:rPr>
                <w:rFonts w:ascii="Arial CE" w:hAnsi="Arial CE" w:cs="Arial CE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4"/>
                <w:szCs w:val="14"/>
              </w:rPr>
              <w:t>XXX</w:t>
            </w:r>
          </w:p>
        </w:tc>
      </w:tr>
      <w:tr w:rsidR="00F147F0" w:rsidRPr="00F147F0" w14:paraId="2D2A4123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CD920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2901F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B387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719B5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2287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4C7E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1E4BF792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9A81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128F2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9CD7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99E2D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F56C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503B4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04D8D590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55415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7A4BD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AAD8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2058B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BA6F9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17381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184A192A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A38C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FE81B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4121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7695A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7DC9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34490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6AA54BB8" w14:textId="77777777" w:rsidTr="00F147F0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135B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859E" w14:textId="77777777" w:rsidR="00F147F0" w:rsidRPr="00F147F0" w:rsidRDefault="00F147F0" w:rsidP="00F147F0">
            <w:pPr>
              <w:spacing w:line="240" w:lineRule="auto"/>
              <w:jc w:val="left"/>
              <w:rPr>
                <w:color w:val="FF0000"/>
                <w:sz w:val="18"/>
                <w:szCs w:val="18"/>
                <w:u w:val="single"/>
              </w:rPr>
            </w:pPr>
            <w:r w:rsidRPr="00F147F0">
              <w:rPr>
                <w:color w:val="FF0000"/>
                <w:sz w:val="18"/>
                <w:szCs w:val="18"/>
                <w:u w:val="single"/>
              </w:rPr>
              <w:t xml:space="preserve">Měřící monitory </w:t>
            </w:r>
            <w:proofErr w:type="spellStart"/>
            <w:r w:rsidRPr="00F147F0">
              <w:rPr>
                <w:color w:val="FF0000"/>
                <w:sz w:val="18"/>
                <w:szCs w:val="18"/>
                <w:u w:val="single"/>
              </w:rPr>
              <w:t>IntelliVue</w:t>
            </w:r>
            <w:proofErr w:type="spellEnd"/>
            <w:r w:rsidRPr="00F147F0">
              <w:rPr>
                <w:color w:val="FF0000"/>
                <w:sz w:val="18"/>
                <w:szCs w:val="18"/>
                <w:u w:val="single"/>
              </w:rPr>
              <w:t xml:space="preserve"> X3 - EKG, </w:t>
            </w:r>
            <w:proofErr w:type="spellStart"/>
            <w:r w:rsidRPr="00F147F0">
              <w:rPr>
                <w:color w:val="FF0000"/>
                <w:sz w:val="18"/>
                <w:szCs w:val="18"/>
                <w:u w:val="single"/>
              </w:rPr>
              <w:t>Resp</w:t>
            </w:r>
            <w:proofErr w:type="spellEnd"/>
            <w:r w:rsidRPr="00F147F0">
              <w:rPr>
                <w:color w:val="FF0000"/>
                <w:sz w:val="18"/>
                <w:szCs w:val="18"/>
                <w:u w:val="single"/>
              </w:rPr>
              <w:t xml:space="preserve">, SpO2, </w:t>
            </w:r>
            <w:proofErr w:type="gramStart"/>
            <w:r w:rsidRPr="00F147F0">
              <w:rPr>
                <w:color w:val="FF0000"/>
                <w:sz w:val="18"/>
                <w:szCs w:val="18"/>
                <w:u w:val="single"/>
              </w:rPr>
              <w:t>NIBP,IP</w:t>
            </w:r>
            <w:proofErr w:type="gramEnd"/>
            <w:r w:rsidRPr="00F147F0">
              <w:rPr>
                <w:color w:val="FF0000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F147F0">
              <w:rPr>
                <w:color w:val="FF0000"/>
                <w:sz w:val="18"/>
                <w:szCs w:val="18"/>
                <w:u w:val="single"/>
              </w:rPr>
              <w:t>Tepl</w:t>
            </w:r>
            <w:proofErr w:type="spellEnd"/>
            <w:r w:rsidRPr="00F147F0">
              <w:rPr>
                <w:color w:val="FF0000"/>
                <w:sz w:val="18"/>
                <w:szCs w:val="18"/>
                <w:u w:val="single"/>
              </w:rPr>
              <w:t>.,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C61B" w14:textId="77777777" w:rsidR="00F147F0" w:rsidRPr="00F147F0" w:rsidRDefault="00F147F0" w:rsidP="00F147F0">
            <w:pPr>
              <w:spacing w:line="240" w:lineRule="auto"/>
              <w:jc w:val="left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5CD21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443A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0CD8A729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CC33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4B21F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867030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10D2" w14:textId="295368C3" w:rsidR="00F147F0" w:rsidRPr="00F147F0" w:rsidRDefault="00F147F0" w:rsidP="00F147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147F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BEDBF3C" wp14:editId="0D19941A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95250</wp:posOffset>
                  </wp:positionV>
                  <wp:extent cx="981075" cy="857250"/>
                  <wp:effectExtent l="0" t="0" r="9525" b="0"/>
                  <wp:wrapNone/>
                  <wp:docPr id="4" name="Obrázek 1" descr="C:\Users\tomas.piler\OneDrive - S&amp;T AG\P_ PRACE\P_PRODUKTY\MONITORY\X3 MX100\MX100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0DFEFE-D0AE-43B2-A70B-3AB28497070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C:\Users\tomas.piler\OneDrive - S&amp;T AG\P_ PRACE\P_PRODUKTY\MONITORY\X3 MX100\MX100.png">
                            <a:extLst>
                              <a:ext uri="{FF2B5EF4-FFF2-40B4-BE49-F238E27FC236}">
                                <a16:creationId xmlns:a16="http://schemas.microsoft.com/office/drawing/2014/main" id="{4E0DFEFE-D0AE-43B2-A70B-3AB2849707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6" t="1343" r="24439" b="9186"/>
                          <a:stretch/>
                        </pic:blipFill>
                        <pic:spPr bwMode="auto">
                          <a:xfrm>
                            <a:off x="0" y="0"/>
                            <a:ext cx="979695" cy="848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6"/>
            </w:tblGrid>
            <w:tr w:rsidR="00F147F0" w:rsidRPr="00F147F0" w14:paraId="3A36FFDD" w14:textId="77777777">
              <w:trPr>
                <w:trHeight w:val="195"/>
                <w:tblCellSpacing w:w="0" w:type="dxa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9C4605" w14:textId="77777777" w:rsidR="00F147F0" w:rsidRPr="00F147F0" w:rsidRDefault="00F147F0" w:rsidP="00F147F0">
                  <w:pPr>
                    <w:spacing w:line="240" w:lineRule="auto"/>
                    <w:jc w:val="left"/>
                    <w:rPr>
                      <w:rFonts w:ascii="Arial CE" w:hAnsi="Arial CE" w:cs="Arial CE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spellStart"/>
                  <w:r w:rsidRPr="00F147F0">
                    <w:rPr>
                      <w:rFonts w:ascii="Arial CE" w:hAnsi="Arial CE" w:cs="Arial CE"/>
                      <w:b/>
                      <w:bCs/>
                      <w:color w:val="000000"/>
                      <w:sz w:val="14"/>
                      <w:szCs w:val="14"/>
                    </w:rPr>
                    <w:t>IntelliVue</w:t>
                  </w:r>
                  <w:proofErr w:type="spellEnd"/>
                  <w:r w:rsidRPr="00F147F0">
                    <w:rPr>
                      <w:rFonts w:ascii="Arial CE" w:hAnsi="Arial CE" w:cs="Arial CE"/>
                      <w:b/>
                      <w:bCs/>
                      <w:color w:val="000000"/>
                      <w:sz w:val="14"/>
                      <w:szCs w:val="14"/>
                    </w:rPr>
                    <w:t xml:space="preserve"> X3 </w:t>
                  </w:r>
                </w:p>
              </w:tc>
            </w:tr>
          </w:tbl>
          <w:p w14:paraId="6B029727" w14:textId="77777777" w:rsidR="00F147F0" w:rsidRPr="00F147F0" w:rsidRDefault="00F147F0" w:rsidP="00F147F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D9326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0CDE" w14:textId="74AA88BC" w:rsidR="00F147F0" w:rsidRPr="00F147F0" w:rsidRDefault="00E0489B" w:rsidP="00F147F0">
            <w:pPr>
              <w:spacing w:line="240" w:lineRule="auto"/>
              <w:jc w:val="right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>
              <w:rPr>
                <w:rFonts w:ascii="Arial CE" w:hAnsi="Arial CE" w:cs="Arial CE"/>
                <w:color w:val="000000"/>
                <w:sz w:val="14"/>
                <w:szCs w:val="14"/>
              </w:rPr>
              <w:t>XXX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1885A" w14:textId="35CC186F" w:rsidR="00F147F0" w:rsidRPr="00F147F0" w:rsidRDefault="00E0489B" w:rsidP="00F147F0">
            <w:pPr>
              <w:spacing w:line="240" w:lineRule="auto"/>
              <w:jc w:val="right"/>
              <w:rPr>
                <w:rFonts w:ascii="Arial CE" w:hAnsi="Arial CE" w:cs="Arial CE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4"/>
                <w:szCs w:val="14"/>
              </w:rPr>
              <w:t>XXX</w:t>
            </w:r>
          </w:p>
        </w:tc>
      </w:tr>
      <w:tr w:rsidR="00F147F0" w:rsidRPr="00F147F0" w14:paraId="0B8A2D02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187CA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33D8D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3D16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604B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3D4EA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13A3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08E73B86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6291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B4167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8AF08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FC2F6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73759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4552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7C5C12B1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34A57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7AA19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5474B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CC34A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CCCD2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4D17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0937D9B5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5F800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00D3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7CFE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BC3B0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FF3E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D23B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5FA3C699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B80A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C35D1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97920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8B78A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5E6B9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2CE2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32B9CA4D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6B606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1C0E0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109CB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A856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3A64A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1D74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0D313F78" w14:textId="77777777" w:rsidTr="0098177D">
        <w:trPr>
          <w:trHeight w:val="22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C92B9AD" w14:textId="7BEF4D6B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5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9E32F" w14:textId="42B02E5C" w:rsidR="00F147F0" w:rsidRPr="00F147F0" w:rsidRDefault="00F147F0" w:rsidP="00F147F0">
            <w:pPr>
              <w:spacing w:line="240" w:lineRule="auto"/>
              <w:jc w:val="left"/>
              <w:rPr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D6AE5" w14:textId="78FAA59B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AD7D1" w14:textId="55B76DC3" w:rsidR="00F147F0" w:rsidRPr="00F147F0" w:rsidRDefault="00F147F0" w:rsidP="00F147F0">
            <w:pPr>
              <w:spacing w:line="240" w:lineRule="auto"/>
              <w:jc w:val="right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633E1" w14:textId="45F4A6FF" w:rsidR="00F147F0" w:rsidRPr="00F147F0" w:rsidRDefault="00F147F0" w:rsidP="00F147F0">
            <w:pPr>
              <w:spacing w:line="240" w:lineRule="auto"/>
              <w:jc w:val="right"/>
              <w:rPr>
                <w:rFonts w:ascii="Arial CE" w:hAnsi="Arial CE" w:cs="Arial CE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147F0" w:rsidRPr="00F147F0" w14:paraId="367DF0F2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C9478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88A13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5C382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2C70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B934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8C4AD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1CAC3DD8" w14:textId="77777777" w:rsidTr="00F147F0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1546D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08B47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E6AF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6A6B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501B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5EF5A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7FF8EACD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3B66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C66CF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FA3B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C538C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DD87B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6D07B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78E8A172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BECD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8698E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5770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17EA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336A3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3E1C1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27E7E657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687D4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59BC5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A08B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D562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BEC2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EE1F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2BD68CE4" w14:textId="77777777" w:rsidTr="00F147F0">
        <w:trPr>
          <w:trHeight w:val="19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C7199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EB3D3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9D2B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234F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5961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FA33F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7BB0DD34" w14:textId="77777777" w:rsidTr="00F147F0">
        <w:trPr>
          <w:trHeight w:val="22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7DAF9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  <w:r w:rsidRPr="00F147F0">
              <w:rPr>
                <w:rFonts w:ascii="Arial CE" w:hAnsi="Arial CE" w:cs="Arial CE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85B9F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C272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6788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9743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AA6C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F0" w:rsidRPr="00F147F0" w14:paraId="5AE82D6A" w14:textId="77777777" w:rsidTr="00F147F0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0A5A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</w:rPr>
            </w:pPr>
            <w:r w:rsidRPr="00F147F0">
              <w:rPr>
                <w:rFonts w:ascii="Arial CE" w:hAnsi="Arial CE" w:cs="Arial C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0FF48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305E25CE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F147F0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Mezisoučet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6DD0F9A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147F0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9AC5087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F147F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329A0CC2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Arial CE" w:hAnsi="Arial CE" w:cs="Arial CE"/>
                <w:b/>
                <w:bCs/>
                <w:color w:val="0070C0"/>
              </w:rPr>
            </w:pPr>
            <w:r w:rsidRPr="00F147F0">
              <w:rPr>
                <w:rFonts w:ascii="Arial CE" w:hAnsi="Arial CE" w:cs="Arial CE"/>
                <w:b/>
                <w:bCs/>
                <w:color w:val="0070C0"/>
              </w:rPr>
              <w:t>237 000 Kč</w:t>
            </w:r>
          </w:p>
        </w:tc>
      </w:tr>
      <w:tr w:rsidR="00F147F0" w:rsidRPr="00F147F0" w14:paraId="5BD39BA8" w14:textId="77777777" w:rsidTr="00F147F0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2B87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</w:rPr>
            </w:pPr>
            <w:r w:rsidRPr="00F147F0">
              <w:rPr>
                <w:rFonts w:ascii="Arial CE" w:hAnsi="Arial CE" w:cs="Arial C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9A2BA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BF47463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F147F0">
              <w:rPr>
                <w:rFonts w:ascii="Arial CE" w:hAnsi="Arial CE" w:cs="Arial CE"/>
                <w:i/>
                <w:iCs/>
                <w:sz w:val="16"/>
                <w:szCs w:val="16"/>
              </w:rPr>
              <w:t>DPH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C21EA5B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147F0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C289095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F147F0">
              <w:rPr>
                <w:rFonts w:ascii="Arial CE" w:hAnsi="Arial CE" w:cs="Arial CE"/>
                <w:b/>
                <w:bCs/>
                <w:color w:val="FF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4B3F70B5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147F0">
              <w:rPr>
                <w:rFonts w:ascii="Arial CE" w:hAnsi="Arial CE" w:cs="Arial CE"/>
                <w:sz w:val="20"/>
                <w:szCs w:val="20"/>
              </w:rPr>
              <w:t>49 770,00 Kč</w:t>
            </w:r>
          </w:p>
        </w:tc>
      </w:tr>
      <w:tr w:rsidR="00F147F0" w:rsidRPr="00F147F0" w14:paraId="4FF89753" w14:textId="77777777" w:rsidTr="00F147F0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755F2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</w:rPr>
            </w:pPr>
            <w:r w:rsidRPr="00F147F0">
              <w:rPr>
                <w:rFonts w:ascii="Arial CE" w:hAnsi="Arial CE" w:cs="Arial C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FD8F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0A405DC" w14:textId="77777777" w:rsidR="00F147F0" w:rsidRPr="00F147F0" w:rsidRDefault="00F147F0" w:rsidP="00F147F0">
            <w:pPr>
              <w:spacing w:line="240" w:lineRule="auto"/>
              <w:jc w:val="lef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F147F0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Cena se slevou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F817129" w14:textId="77777777" w:rsidR="00F147F0" w:rsidRPr="00F147F0" w:rsidRDefault="00F147F0" w:rsidP="00F147F0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F147F0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13DEFA21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F147F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C2E86DC" w14:textId="77777777" w:rsidR="00F147F0" w:rsidRPr="00F147F0" w:rsidRDefault="00F147F0" w:rsidP="00F147F0">
            <w:pPr>
              <w:spacing w:line="240" w:lineRule="auto"/>
              <w:jc w:val="right"/>
              <w:rPr>
                <w:rFonts w:ascii="Arial CE" w:hAnsi="Arial CE" w:cs="Arial CE"/>
                <w:b/>
                <w:bCs/>
              </w:rPr>
            </w:pPr>
            <w:r w:rsidRPr="00F147F0">
              <w:rPr>
                <w:rFonts w:ascii="Arial CE" w:hAnsi="Arial CE" w:cs="Arial CE"/>
                <w:b/>
                <w:bCs/>
              </w:rPr>
              <w:t>286 770 Kč</w:t>
            </w:r>
          </w:p>
        </w:tc>
      </w:tr>
    </w:tbl>
    <w:p w14:paraId="4BE27ABF" w14:textId="666F7DA2" w:rsidR="002678E6" w:rsidRPr="00994805" w:rsidRDefault="002678E6" w:rsidP="00994805">
      <w:pPr>
        <w:ind w:left="284" w:hanging="5"/>
      </w:pPr>
    </w:p>
    <w:sectPr w:rsidR="002678E6" w:rsidRPr="00994805" w:rsidSect="00D071E8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DA84" w14:textId="77777777" w:rsidR="00BF4C51" w:rsidRDefault="00BF4C51" w:rsidP="00FF18EB">
      <w:pPr>
        <w:spacing w:line="240" w:lineRule="auto"/>
      </w:pPr>
      <w:r>
        <w:separator/>
      </w:r>
    </w:p>
    <w:p w14:paraId="21B3CD20" w14:textId="77777777" w:rsidR="00BF4C51" w:rsidRDefault="00BF4C51"/>
  </w:endnote>
  <w:endnote w:type="continuationSeparator" w:id="0">
    <w:p w14:paraId="345CE5FE" w14:textId="77777777" w:rsidR="00BF4C51" w:rsidRDefault="00BF4C51" w:rsidP="00FF18EB">
      <w:pPr>
        <w:spacing w:line="240" w:lineRule="auto"/>
      </w:pPr>
      <w:r>
        <w:continuationSeparator/>
      </w:r>
    </w:p>
    <w:p w14:paraId="6AF01484" w14:textId="77777777" w:rsidR="00BF4C51" w:rsidRDefault="00BF4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AB178A" w:rsidRPr="00AB178A">
          <w:rPr>
            <w:rFonts w:ascii="Arial" w:hAnsi="Arial"/>
            <w:noProof/>
            <w:sz w:val="20"/>
            <w:lang w:val="cs-CZ"/>
          </w:rPr>
          <w:t>11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E020" w14:textId="77777777" w:rsidR="00BF4C51" w:rsidRDefault="00BF4C51" w:rsidP="00FF18EB">
      <w:pPr>
        <w:spacing w:line="240" w:lineRule="auto"/>
      </w:pPr>
      <w:r>
        <w:separator/>
      </w:r>
    </w:p>
    <w:p w14:paraId="1563EC5E" w14:textId="77777777" w:rsidR="00BF4C51" w:rsidRDefault="00BF4C51"/>
  </w:footnote>
  <w:footnote w:type="continuationSeparator" w:id="0">
    <w:p w14:paraId="120A20F0" w14:textId="77777777" w:rsidR="00BF4C51" w:rsidRDefault="00BF4C51" w:rsidP="00FF18EB">
      <w:pPr>
        <w:spacing w:line="240" w:lineRule="auto"/>
      </w:pPr>
      <w:r>
        <w:continuationSeparator/>
      </w:r>
    </w:p>
    <w:p w14:paraId="299E5B00" w14:textId="77777777" w:rsidR="00BF4C51" w:rsidRDefault="00BF4C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905334">
    <w:abstractNumId w:val="1"/>
  </w:num>
  <w:num w:numId="2" w16cid:durableId="146211575">
    <w:abstractNumId w:val="6"/>
  </w:num>
  <w:num w:numId="3" w16cid:durableId="1273895863">
    <w:abstractNumId w:val="6"/>
  </w:num>
  <w:num w:numId="4" w16cid:durableId="929894536">
    <w:abstractNumId w:val="10"/>
  </w:num>
  <w:num w:numId="5" w16cid:durableId="30351489">
    <w:abstractNumId w:val="7"/>
  </w:num>
  <w:num w:numId="6" w16cid:durableId="998314807">
    <w:abstractNumId w:val="2"/>
  </w:num>
  <w:num w:numId="7" w16cid:durableId="1612786732">
    <w:abstractNumId w:val="5"/>
  </w:num>
  <w:num w:numId="8" w16cid:durableId="595096990">
    <w:abstractNumId w:val="11"/>
  </w:num>
  <w:num w:numId="9" w16cid:durableId="1306541607">
    <w:abstractNumId w:val="4"/>
  </w:num>
  <w:num w:numId="10" w16cid:durableId="56242872">
    <w:abstractNumId w:val="8"/>
  </w:num>
  <w:num w:numId="11" w16cid:durableId="1356538628">
    <w:abstractNumId w:val="9"/>
  </w:num>
  <w:num w:numId="12" w16cid:durableId="11692962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282805">
    <w:abstractNumId w:val="6"/>
  </w:num>
  <w:num w:numId="14" w16cid:durableId="1846018800">
    <w:abstractNumId w:val="0"/>
  </w:num>
  <w:num w:numId="15" w16cid:durableId="145706637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2240"/>
    <w:rsid w:val="001E485C"/>
    <w:rsid w:val="001F13BA"/>
    <w:rsid w:val="001F2069"/>
    <w:rsid w:val="001F6852"/>
    <w:rsid w:val="00202E4E"/>
    <w:rsid w:val="002039E1"/>
    <w:rsid w:val="002170F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678E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B7B6F"/>
    <w:rsid w:val="002C1071"/>
    <w:rsid w:val="002C2981"/>
    <w:rsid w:val="002C7AE0"/>
    <w:rsid w:val="002E1388"/>
    <w:rsid w:val="002E3B0B"/>
    <w:rsid w:val="002E48E0"/>
    <w:rsid w:val="002F4EDA"/>
    <w:rsid w:val="002F4F30"/>
    <w:rsid w:val="003073CD"/>
    <w:rsid w:val="003122E6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A105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7F76"/>
    <w:rsid w:val="00471554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B0B71"/>
    <w:rsid w:val="005D0FD1"/>
    <w:rsid w:val="005D1964"/>
    <w:rsid w:val="005D1F37"/>
    <w:rsid w:val="005D23AF"/>
    <w:rsid w:val="005D29BD"/>
    <w:rsid w:val="005D319C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17A45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56B08"/>
    <w:rsid w:val="00660EC1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0F9D"/>
    <w:rsid w:val="006B51D8"/>
    <w:rsid w:val="006C3751"/>
    <w:rsid w:val="006C55BE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B7B0B"/>
    <w:rsid w:val="008C0647"/>
    <w:rsid w:val="008D0213"/>
    <w:rsid w:val="008D17FE"/>
    <w:rsid w:val="008D45BA"/>
    <w:rsid w:val="008E5700"/>
    <w:rsid w:val="008F5230"/>
    <w:rsid w:val="008F6BCC"/>
    <w:rsid w:val="00901F83"/>
    <w:rsid w:val="0090329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8177D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2B14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8226E"/>
    <w:rsid w:val="00A92F5B"/>
    <w:rsid w:val="00A9354F"/>
    <w:rsid w:val="00A937E1"/>
    <w:rsid w:val="00AA0B1A"/>
    <w:rsid w:val="00AA378C"/>
    <w:rsid w:val="00AA4B53"/>
    <w:rsid w:val="00AB13EA"/>
    <w:rsid w:val="00AB178A"/>
    <w:rsid w:val="00AB2F46"/>
    <w:rsid w:val="00AB799A"/>
    <w:rsid w:val="00AC06B9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5EEC"/>
    <w:rsid w:val="00BB16E5"/>
    <w:rsid w:val="00BB2CAF"/>
    <w:rsid w:val="00BD06AB"/>
    <w:rsid w:val="00BD0B30"/>
    <w:rsid w:val="00BD121D"/>
    <w:rsid w:val="00BE2371"/>
    <w:rsid w:val="00BF4C5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6C"/>
    <w:rsid w:val="00C65D56"/>
    <w:rsid w:val="00C7138F"/>
    <w:rsid w:val="00C71D12"/>
    <w:rsid w:val="00C73746"/>
    <w:rsid w:val="00C81932"/>
    <w:rsid w:val="00C90967"/>
    <w:rsid w:val="00C970BF"/>
    <w:rsid w:val="00C978A8"/>
    <w:rsid w:val="00CB01C4"/>
    <w:rsid w:val="00CB6A3D"/>
    <w:rsid w:val="00CC0F64"/>
    <w:rsid w:val="00CC12D2"/>
    <w:rsid w:val="00CD4D27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489B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B6947"/>
    <w:rsid w:val="00EB7849"/>
    <w:rsid w:val="00ED3A3E"/>
    <w:rsid w:val="00ED41AA"/>
    <w:rsid w:val="00EE155A"/>
    <w:rsid w:val="00EE477D"/>
    <w:rsid w:val="00EF4125"/>
    <w:rsid w:val="00EF46EE"/>
    <w:rsid w:val="00F01FFB"/>
    <w:rsid w:val="00F043D4"/>
    <w:rsid w:val="00F06B76"/>
    <w:rsid w:val="00F13124"/>
    <w:rsid w:val="00F147F0"/>
    <w:rsid w:val="00F1590C"/>
    <w:rsid w:val="00F17CE6"/>
    <w:rsid w:val="00F213A4"/>
    <w:rsid w:val="00F24FF5"/>
    <w:rsid w:val="00F25BC8"/>
    <w:rsid w:val="00F42D93"/>
    <w:rsid w:val="00F45113"/>
    <w:rsid w:val="00F5269B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FE0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E7A17"/>
    <w:rsid w:val="00FF18EB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3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3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4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5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E03B-EB66-4444-BA32-32B4D2B20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93648-9B83-4D60-8C33-CE2CC3A8917C}">
  <ds:schemaRefs>
    <ds:schemaRef ds:uri="http://schemas.microsoft.com/office/2006/metadata/properties"/>
    <ds:schemaRef ds:uri="http://schemas.microsoft.com/office/infopath/2007/PartnerControls"/>
    <ds:schemaRef ds:uri="f8073be8-ba4e-4991-92ef-8ca69007da56"/>
  </ds:schemaRefs>
</ds:datastoreItem>
</file>

<file path=customXml/itemProps4.xml><?xml version="1.0" encoding="utf-8"?>
<ds:datastoreItem xmlns:ds="http://schemas.openxmlformats.org/officeDocument/2006/customXml" ds:itemID="{CD75D321-2EA5-4380-BB1F-3125856C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4552</Words>
  <Characters>26857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31347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Radek Hrad</dc:creator>
  <dc:description>verze 7-7-2016
KS - zdravotnický prostředek</dc:description>
  <cp:lastModifiedBy>Mičánková Lucie</cp:lastModifiedBy>
  <cp:revision>4</cp:revision>
  <cp:lastPrinted>2022-05-10T08:07:00Z</cp:lastPrinted>
  <dcterms:created xsi:type="dcterms:W3CDTF">2023-11-13T11:02:00Z</dcterms:created>
  <dcterms:modified xsi:type="dcterms:W3CDTF">2024-01-15T11:27:00Z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0x010100584AD3E968EA4F45B8E858E949E752C5</vt:lpwstr>
  </property>
  <property fmtid="{D5CDD505-2E9C-101B-9397-08002B2CF9AE}" pid="3" name="_dlc_DocIdItemGuid">
    <vt:lpwstr>9d45215d-43a3-4936-bfee-03ab0340fa3d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