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66" w:rsidRDefault="00711366" w:rsidP="00E62D7F">
      <w:pPr>
        <w:jc w:val="both"/>
        <w:rPr>
          <w:rFonts w:ascii="Arial" w:hAnsi="Arial" w:cs="Arial"/>
        </w:rPr>
      </w:pPr>
      <w:bookmarkStart w:id="0" w:name="_GoBack"/>
      <w:bookmarkEnd w:id="0"/>
    </w:p>
    <w:p w:rsidR="00711366" w:rsidRPr="00711366" w:rsidRDefault="00711366" w:rsidP="00711366">
      <w:pPr>
        <w:pStyle w:val="Odstavecseseznamem"/>
        <w:jc w:val="center"/>
        <w:rPr>
          <w:b/>
          <w:sz w:val="20"/>
          <w:szCs w:val="20"/>
        </w:rPr>
      </w:pPr>
      <w:r w:rsidRPr="00711366">
        <w:rPr>
          <w:b/>
          <w:sz w:val="20"/>
          <w:szCs w:val="20"/>
        </w:rPr>
        <w:t xml:space="preserve">Zadání pro restaurátorský průzkum oltáře se sv. Václavem a Vítem, </w:t>
      </w:r>
      <w:proofErr w:type="spellStart"/>
      <w:r w:rsidRPr="00711366">
        <w:rPr>
          <w:b/>
          <w:sz w:val="20"/>
          <w:szCs w:val="20"/>
        </w:rPr>
        <w:t>inv</w:t>
      </w:r>
      <w:proofErr w:type="spellEnd"/>
      <w:r w:rsidRPr="00711366">
        <w:rPr>
          <w:b/>
          <w:sz w:val="20"/>
          <w:szCs w:val="20"/>
        </w:rPr>
        <w:t>. č. SV 346</w:t>
      </w:r>
    </w:p>
    <w:p w:rsidR="00711366" w:rsidRPr="00711366" w:rsidRDefault="00711366" w:rsidP="00711366">
      <w:pPr>
        <w:rPr>
          <w:b/>
          <w:sz w:val="20"/>
          <w:szCs w:val="20"/>
        </w:rPr>
      </w:pPr>
    </w:p>
    <w:p w:rsidR="00711366" w:rsidRPr="00711366" w:rsidRDefault="00711366" w:rsidP="00711366">
      <w:pPr>
        <w:rPr>
          <w:sz w:val="20"/>
          <w:szCs w:val="20"/>
        </w:rPr>
      </w:pPr>
      <w:r w:rsidRPr="00711366">
        <w:rPr>
          <w:sz w:val="20"/>
          <w:szCs w:val="20"/>
        </w:rPr>
        <w:t>Oltář se sv. Václavem a Vítem náleží k zajímavé skupině tzv. husitských arch, na jejichž středové desce býval vyříznut otvor pro předpokládaný svatostánek a po jeho stranách stávaly postavy andělů. Na vnitřních křídlech se nachází postavy zemských patronů sv. Václava a Víta, zatímco na vnějších stranách je vymalována scéna Zvěstování (Panna Marie – Archanděl Gabriel). V podobě, v jaké je dnes oltář představen, není možné oltářní křídla zavřít. Nabízí se proto otázka, zda jednotlivé části k sobě náleží nebo k sestavení do podoby triptychu došlo až sekundárně ve 20. století. Neodborná adjustace postav andělů (bezohledné přišroubování kovovými vruty) tuto nejistotu jen zvyšuje. Rovněž provedení plastického zlaceného pozadí na všech třech deskách vzbuzuje určité pochybnosti o provedení ve stejné době. Modravé pozadí ústřední desky je téměř s jistotou možné považovat za novodobé a je otázkou, nakolik je řezbářsky jednodušší architektura svatostánku původní nebo byla-li ve 20. století nově doplněna.</w:t>
      </w:r>
    </w:p>
    <w:p w:rsidR="00711366" w:rsidRPr="00711366" w:rsidRDefault="00711366" w:rsidP="00711366">
      <w:pPr>
        <w:rPr>
          <w:sz w:val="20"/>
          <w:szCs w:val="20"/>
        </w:rPr>
      </w:pPr>
      <w:r w:rsidRPr="00711366">
        <w:rPr>
          <w:sz w:val="20"/>
          <w:szCs w:val="20"/>
        </w:rPr>
        <w:t>S tímto oltářem lze spojit rovněž jednu desku z Národního muzea, na které je vyobrazen další z českých zemských patronů, sv. Zikmund. Bylo by velmi zajímavé a přínosné učinit některé komparační analýzy.</w:t>
      </w:r>
    </w:p>
    <w:p w:rsidR="00711366" w:rsidRPr="00711366" w:rsidRDefault="00711366" w:rsidP="00711366">
      <w:pPr>
        <w:rPr>
          <w:sz w:val="20"/>
          <w:szCs w:val="20"/>
        </w:rPr>
      </w:pPr>
      <w:r w:rsidRPr="00711366">
        <w:rPr>
          <w:sz w:val="20"/>
          <w:szCs w:val="20"/>
        </w:rPr>
        <w:t xml:space="preserve">Oltář měl být restaurován v roce 1951–1952 v atelieru manželů Slánských a následně roku 1982 O. Jeřábkovou a E. Votočkovou. Podle záznamů O. Votočka byl oltář nalezen ve velmi špatném stavu, rozebraný a ztrouchnivělý. </w:t>
      </w:r>
    </w:p>
    <w:p w:rsidR="00711366" w:rsidRPr="00711366" w:rsidRDefault="00711366" w:rsidP="00711366">
      <w:pPr>
        <w:rPr>
          <w:sz w:val="20"/>
          <w:szCs w:val="20"/>
        </w:rPr>
      </w:pPr>
      <w:r w:rsidRPr="00711366">
        <w:rPr>
          <w:sz w:val="20"/>
          <w:szCs w:val="20"/>
        </w:rPr>
        <w:t xml:space="preserve">Dnes je oltář zašedlý, plný nečistot, v průběhu času došlo k barevnému posunutí retušovaných ploch. Na několika místech, především díky nešetrné adjustaci andělů, došlo k drobným prasklinám. </w:t>
      </w:r>
    </w:p>
    <w:p w:rsidR="00711366" w:rsidRPr="00711366" w:rsidRDefault="00711366" w:rsidP="00711366">
      <w:pPr>
        <w:rPr>
          <w:sz w:val="20"/>
          <w:szCs w:val="20"/>
        </w:rPr>
      </w:pPr>
      <w:r w:rsidRPr="00711366">
        <w:rPr>
          <w:sz w:val="20"/>
          <w:szCs w:val="20"/>
        </w:rPr>
        <w:t xml:space="preserve">Vzhledem k tomu, že se počítá s umístěním oltáře v nové stálé expozici, je potřeba oltář restaurovat. Protože se </w:t>
      </w:r>
      <w:proofErr w:type="gramStart"/>
      <w:r w:rsidRPr="00711366">
        <w:rPr>
          <w:sz w:val="20"/>
          <w:szCs w:val="20"/>
        </w:rPr>
        <w:t>jedná</w:t>
      </w:r>
      <w:proofErr w:type="gramEnd"/>
      <w:r w:rsidRPr="00711366">
        <w:rPr>
          <w:sz w:val="20"/>
          <w:szCs w:val="20"/>
        </w:rPr>
        <w:t xml:space="preserve"> o velmi výjimečné dílo v kulturněhistorickém kontextu husitského období </w:t>
      </w:r>
      <w:proofErr w:type="gramStart"/>
      <w:r w:rsidRPr="00711366">
        <w:rPr>
          <w:sz w:val="20"/>
          <w:szCs w:val="20"/>
        </w:rPr>
        <w:t>bylo</w:t>
      </w:r>
      <w:proofErr w:type="gramEnd"/>
      <w:r w:rsidRPr="00711366">
        <w:rPr>
          <w:sz w:val="20"/>
          <w:szCs w:val="20"/>
        </w:rPr>
        <w:t xml:space="preserve"> by nezodpovědné provést restaurování bez nutných analýz a interpretací. Z tohoto důvodu je potřeba před vlastním restaurováním provést nejprve důkladný restaurátorský průzkum.</w:t>
      </w:r>
    </w:p>
    <w:p w:rsidR="00711366" w:rsidRPr="00711366" w:rsidRDefault="00711366" w:rsidP="00711366">
      <w:pPr>
        <w:rPr>
          <w:sz w:val="20"/>
          <w:szCs w:val="20"/>
        </w:rPr>
      </w:pPr>
      <w:r w:rsidRPr="00711366">
        <w:rPr>
          <w:sz w:val="20"/>
          <w:szCs w:val="20"/>
        </w:rPr>
        <w:t>Restaurátorský průzkum bude obsahovat:</w:t>
      </w:r>
    </w:p>
    <w:p w:rsidR="00711366" w:rsidRPr="00711366" w:rsidRDefault="00711366" w:rsidP="00711366">
      <w:pPr>
        <w:rPr>
          <w:sz w:val="20"/>
          <w:szCs w:val="20"/>
        </w:rPr>
      </w:pPr>
      <w:r w:rsidRPr="00711366">
        <w:rPr>
          <w:sz w:val="20"/>
          <w:szCs w:val="20"/>
        </w:rPr>
        <w:t>Průzkum provede restaurátor ve svém atelieru. Pouze pořízení RTG snímku bude provedeno ve specializovaném pracovišti, které disponuje tímto technickým zařízením.</w:t>
      </w:r>
    </w:p>
    <w:p w:rsidR="00711366" w:rsidRPr="00711366" w:rsidRDefault="00711366" w:rsidP="00711366">
      <w:pPr>
        <w:rPr>
          <w:sz w:val="20"/>
          <w:szCs w:val="20"/>
        </w:rPr>
      </w:pPr>
    </w:p>
    <w:p w:rsidR="00711366" w:rsidRPr="00711366" w:rsidRDefault="00711366" w:rsidP="00711366">
      <w:pPr>
        <w:rPr>
          <w:sz w:val="20"/>
          <w:szCs w:val="20"/>
        </w:rPr>
      </w:pPr>
      <w:r w:rsidRPr="00711366">
        <w:rPr>
          <w:sz w:val="20"/>
          <w:szCs w:val="20"/>
        </w:rPr>
        <w:t>a) neinvazivní metody</w:t>
      </w:r>
    </w:p>
    <w:p w:rsidR="00711366" w:rsidRPr="00711366" w:rsidRDefault="00711366" w:rsidP="00711366">
      <w:pPr>
        <w:pStyle w:val="Odstavecseseznamem"/>
        <w:numPr>
          <w:ilvl w:val="0"/>
          <w:numId w:val="7"/>
        </w:numPr>
        <w:spacing w:after="160" w:line="259" w:lineRule="auto"/>
        <w:rPr>
          <w:sz w:val="20"/>
          <w:szCs w:val="20"/>
        </w:rPr>
      </w:pPr>
      <w:r w:rsidRPr="00711366">
        <w:rPr>
          <w:sz w:val="20"/>
          <w:szCs w:val="20"/>
        </w:rPr>
        <w:t xml:space="preserve">Fotografie v </w:t>
      </w:r>
      <w:proofErr w:type="gramStart"/>
      <w:r w:rsidRPr="00711366">
        <w:rPr>
          <w:sz w:val="20"/>
          <w:szCs w:val="20"/>
        </w:rPr>
        <w:t>denní</w:t>
      </w:r>
      <w:proofErr w:type="gramEnd"/>
      <w:r w:rsidRPr="00711366">
        <w:rPr>
          <w:sz w:val="20"/>
          <w:szCs w:val="20"/>
        </w:rPr>
        <w:t xml:space="preserve"> rozptýleném a ostrém v bočním světle. Jedná se o standardní optické metody sloužící k základnímu seznámení s dílem.</w:t>
      </w:r>
    </w:p>
    <w:p w:rsidR="00711366" w:rsidRPr="00711366" w:rsidRDefault="00711366" w:rsidP="00711366">
      <w:pPr>
        <w:pStyle w:val="Odstavecseseznamem"/>
        <w:rPr>
          <w:sz w:val="20"/>
          <w:szCs w:val="20"/>
        </w:rPr>
      </w:pPr>
    </w:p>
    <w:p w:rsidR="00711366" w:rsidRPr="00711366" w:rsidRDefault="00711366" w:rsidP="00711366">
      <w:pPr>
        <w:pStyle w:val="Odstavecseseznamem"/>
        <w:numPr>
          <w:ilvl w:val="0"/>
          <w:numId w:val="7"/>
        </w:numPr>
        <w:spacing w:after="160" w:line="259" w:lineRule="auto"/>
        <w:rPr>
          <w:sz w:val="20"/>
          <w:szCs w:val="20"/>
        </w:rPr>
      </w:pPr>
      <w:r w:rsidRPr="00711366">
        <w:rPr>
          <w:sz w:val="20"/>
          <w:szCs w:val="20"/>
        </w:rPr>
        <w:t>Snímky z USB mikroskopu. Tento typ mikroskopu umožňuje pozorovat detaily povrchu díla při několika hodnotách zvětšení obrazu. Na rozdíl od klasických laboratorních mikroskopů je možné pracovat i v méně dostupných místech jak na deskových obrazech, tak i ve složitém reliéfu plastik.</w:t>
      </w:r>
    </w:p>
    <w:p w:rsidR="00711366" w:rsidRPr="00711366" w:rsidRDefault="00711366" w:rsidP="00711366">
      <w:pPr>
        <w:pStyle w:val="Odstavecseseznamem"/>
        <w:numPr>
          <w:ilvl w:val="0"/>
          <w:numId w:val="7"/>
        </w:numPr>
        <w:spacing w:after="160" w:line="259" w:lineRule="auto"/>
        <w:rPr>
          <w:sz w:val="20"/>
          <w:szCs w:val="20"/>
        </w:rPr>
      </w:pPr>
      <w:r w:rsidRPr="00711366">
        <w:rPr>
          <w:sz w:val="20"/>
          <w:szCs w:val="20"/>
        </w:rPr>
        <w:t xml:space="preserve">UV luminiscence (365 </w:t>
      </w:r>
      <w:proofErr w:type="spellStart"/>
      <w:r w:rsidRPr="00711366">
        <w:rPr>
          <w:sz w:val="20"/>
          <w:szCs w:val="20"/>
        </w:rPr>
        <w:t>nm</w:t>
      </w:r>
      <w:proofErr w:type="spellEnd"/>
      <w:r w:rsidRPr="00711366">
        <w:rPr>
          <w:sz w:val="20"/>
          <w:szCs w:val="20"/>
        </w:rPr>
        <w:t>). Standardní metoda průzkumu mapující svrchní obrazové vrstvy, především stav a degradaci lakových vrstev a druhotných zásahů na lakové vrstvě, nebo těsně pod ní. Ukáže rozsah zejména posledních provedených oprav na oltáři.</w:t>
      </w:r>
    </w:p>
    <w:p w:rsidR="00711366" w:rsidRPr="00711366" w:rsidRDefault="00711366" w:rsidP="00711366">
      <w:pPr>
        <w:pStyle w:val="Odstavecseseznamem"/>
        <w:rPr>
          <w:sz w:val="20"/>
          <w:szCs w:val="20"/>
        </w:rPr>
      </w:pPr>
    </w:p>
    <w:p w:rsidR="00711366" w:rsidRPr="00711366" w:rsidRDefault="00711366" w:rsidP="00711366">
      <w:pPr>
        <w:pStyle w:val="Odstavecseseznamem"/>
        <w:numPr>
          <w:ilvl w:val="0"/>
          <w:numId w:val="7"/>
        </w:numPr>
        <w:spacing w:after="160" w:line="259" w:lineRule="auto"/>
        <w:rPr>
          <w:sz w:val="20"/>
          <w:szCs w:val="20"/>
        </w:rPr>
      </w:pPr>
      <w:r w:rsidRPr="00711366">
        <w:rPr>
          <w:sz w:val="20"/>
          <w:szCs w:val="20"/>
        </w:rPr>
        <w:t>XRF plošná analýza prvků (rentgenově fluorescenční metoda pomocí spektrometru). Pomocí přenosného zařízení lze pořídit orientační zmapování celé plochy díla v krátkém časovém úseku. Přístroj určí distribuci určitých prvků v ploše. Zařazení naměřených prvků do kontextu s chemickým složením barev ukáže předběžné složení barevné i podkladové vrstvy. Zcela přesné složení včetně dalších aditiv nebo síly vrstev musí následně upřesnit další navržené metody průzkumu. Ty mohou být díky  výsledkům této analýzy přesněji zacíleny.</w:t>
      </w:r>
    </w:p>
    <w:p w:rsidR="00711366" w:rsidRPr="00711366" w:rsidRDefault="00711366" w:rsidP="00711366">
      <w:pPr>
        <w:pStyle w:val="Odstavecseseznamem"/>
        <w:rPr>
          <w:sz w:val="20"/>
          <w:szCs w:val="20"/>
        </w:rPr>
      </w:pPr>
    </w:p>
    <w:p w:rsidR="00711366" w:rsidRPr="00711366" w:rsidRDefault="00711366" w:rsidP="00711366">
      <w:pPr>
        <w:pStyle w:val="Odstavecseseznamem"/>
        <w:numPr>
          <w:ilvl w:val="0"/>
          <w:numId w:val="7"/>
        </w:numPr>
        <w:spacing w:after="160" w:line="259" w:lineRule="auto"/>
        <w:rPr>
          <w:sz w:val="20"/>
          <w:szCs w:val="20"/>
        </w:rPr>
      </w:pPr>
      <w:r w:rsidRPr="00711366">
        <w:rPr>
          <w:sz w:val="20"/>
          <w:szCs w:val="20"/>
        </w:rPr>
        <w:t xml:space="preserve">IRR (infračervená </w:t>
      </w:r>
      <w:proofErr w:type="gramStart"/>
      <w:r w:rsidRPr="00711366">
        <w:rPr>
          <w:sz w:val="20"/>
          <w:szCs w:val="20"/>
        </w:rPr>
        <w:t>reflektografie) . Na</w:t>
      </w:r>
      <w:proofErr w:type="gramEnd"/>
      <w:r w:rsidRPr="00711366">
        <w:rPr>
          <w:sz w:val="20"/>
          <w:szCs w:val="20"/>
        </w:rPr>
        <w:t xml:space="preserve"> snímku pořízeném pomocí IRR kamery dojde ke zprůhlednění větší části barevné vrstvy. Černobílý záznam ukáže podkladovou vrstvu s </w:t>
      </w:r>
      <w:proofErr w:type="spellStart"/>
      <w:r w:rsidRPr="00711366">
        <w:rPr>
          <w:sz w:val="20"/>
          <w:szCs w:val="20"/>
        </w:rPr>
        <w:t>podkresbou</w:t>
      </w:r>
      <w:proofErr w:type="spellEnd"/>
      <w:r w:rsidRPr="00711366">
        <w:rPr>
          <w:sz w:val="20"/>
          <w:szCs w:val="20"/>
        </w:rPr>
        <w:t xml:space="preserve">. </w:t>
      </w:r>
      <w:proofErr w:type="spellStart"/>
      <w:r w:rsidRPr="00711366">
        <w:rPr>
          <w:sz w:val="20"/>
          <w:szCs w:val="20"/>
        </w:rPr>
        <w:t>Podkresba</w:t>
      </w:r>
      <w:proofErr w:type="spellEnd"/>
      <w:r w:rsidRPr="00711366">
        <w:rPr>
          <w:sz w:val="20"/>
          <w:szCs w:val="20"/>
        </w:rPr>
        <w:t xml:space="preserve"> se neprojeví pouze v případě použití červené hlinky nebo duběnkového inkoustu. V případě použití černého kresebného média (nejběžnější středověká praxe), lze studovat jednotlivé autorské nebo dílenské praktiky práce s </w:t>
      </w:r>
      <w:proofErr w:type="spellStart"/>
      <w:r w:rsidRPr="00711366">
        <w:rPr>
          <w:sz w:val="20"/>
          <w:szCs w:val="20"/>
        </w:rPr>
        <w:t>podkresbou</w:t>
      </w:r>
      <w:proofErr w:type="spellEnd"/>
      <w:r w:rsidRPr="00711366">
        <w:rPr>
          <w:sz w:val="20"/>
          <w:szCs w:val="20"/>
        </w:rPr>
        <w:t xml:space="preserve">. Možnost porovnání </w:t>
      </w:r>
      <w:proofErr w:type="spellStart"/>
      <w:r w:rsidRPr="00711366">
        <w:rPr>
          <w:sz w:val="20"/>
          <w:szCs w:val="20"/>
        </w:rPr>
        <w:t>podkreseb</w:t>
      </w:r>
      <w:proofErr w:type="spellEnd"/>
      <w:r w:rsidRPr="00711366">
        <w:rPr>
          <w:sz w:val="20"/>
          <w:szCs w:val="20"/>
        </w:rPr>
        <w:t xml:space="preserve"> jednotlivých, autorů, dílen, okruhů i časových period umožňuje významně zpřesňovat </w:t>
      </w:r>
      <w:proofErr w:type="spellStart"/>
      <w:r w:rsidRPr="00711366">
        <w:rPr>
          <w:sz w:val="20"/>
          <w:szCs w:val="20"/>
        </w:rPr>
        <w:t>atribuci</w:t>
      </w:r>
      <w:proofErr w:type="spellEnd"/>
      <w:r w:rsidRPr="00711366">
        <w:rPr>
          <w:sz w:val="20"/>
          <w:szCs w:val="20"/>
        </w:rPr>
        <w:t xml:space="preserve"> děl. </w:t>
      </w:r>
    </w:p>
    <w:p w:rsidR="00711366" w:rsidRPr="00711366" w:rsidRDefault="00711366" w:rsidP="00711366">
      <w:pPr>
        <w:pStyle w:val="Odstavecseseznamem"/>
        <w:rPr>
          <w:sz w:val="20"/>
          <w:szCs w:val="20"/>
        </w:rPr>
      </w:pPr>
    </w:p>
    <w:p w:rsidR="00711366" w:rsidRPr="00711366" w:rsidRDefault="00711366" w:rsidP="00711366">
      <w:pPr>
        <w:pStyle w:val="Odstavecseseznamem"/>
        <w:numPr>
          <w:ilvl w:val="0"/>
          <w:numId w:val="7"/>
        </w:numPr>
        <w:spacing w:after="160" w:line="259" w:lineRule="auto"/>
        <w:rPr>
          <w:sz w:val="20"/>
          <w:szCs w:val="20"/>
        </w:rPr>
      </w:pPr>
      <w:r w:rsidRPr="00711366">
        <w:rPr>
          <w:sz w:val="20"/>
          <w:szCs w:val="20"/>
        </w:rPr>
        <w:t>RTG. RTG snímek ve vysokém rozlišení zobrazí na černobílém snímku všechny obrazové vrstvy do jedné plochy. Lze sledovat stav dřevěné podložky, počet dílů, ze kterých je sestavena, spojovací materiály v podložce, výskyt dřevokazného hmyzu atd.</w:t>
      </w:r>
    </w:p>
    <w:p w:rsidR="00711366" w:rsidRPr="00711366" w:rsidRDefault="00711366" w:rsidP="00711366">
      <w:pPr>
        <w:pStyle w:val="Odstavecseseznamem"/>
        <w:rPr>
          <w:sz w:val="20"/>
          <w:szCs w:val="20"/>
        </w:rPr>
      </w:pPr>
      <w:r w:rsidRPr="00711366">
        <w:rPr>
          <w:sz w:val="20"/>
          <w:szCs w:val="20"/>
        </w:rPr>
        <w:t>Zobrazí se i plátěný potah podložky nebo plátěné záplaty kryjící její defekty.</w:t>
      </w:r>
    </w:p>
    <w:p w:rsidR="00711366" w:rsidRPr="00711366" w:rsidRDefault="00711366" w:rsidP="00711366">
      <w:pPr>
        <w:pStyle w:val="Odstavecseseznamem"/>
        <w:rPr>
          <w:sz w:val="20"/>
          <w:szCs w:val="20"/>
        </w:rPr>
      </w:pPr>
      <w:r w:rsidRPr="00711366">
        <w:rPr>
          <w:sz w:val="20"/>
          <w:szCs w:val="20"/>
        </w:rPr>
        <w:t xml:space="preserve">Křídové podklady na středověkých deskových malbách se opticky příliš neprojeví, o to více je pak patrná distribuce pigmentů barevné vrstvy obsahující těžké kovy, jako je olovnatá běloba, </w:t>
      </w:r>
      <w:proofErr w:type="spellStart"/>
      <w:r w:rsidRPr="00711366">
        <w:rPr>
          <w:sz w:val="20"/>
          <w:szCs w:val="20"/>
        </w:rPr>
        <w:t>olovnatocíničitá</w:t>
      </w:r>
      <w:proofErr w:type="spellEnd"/>
      <w:r w:rsidRPr="00711366">
        <w:rPr>
          <w:sz w:val="20"/>
          <w:szCs w:val="20"/>
        </w:rPr>
        <w:t xml:space="preserve"> žluť nebo rumělka. Vidíme tak štětcovou práci malíře zejména v inkarnátech - jednotlivé tahy nástroje, sílu vrstvy barvy ale i místa, kde došlo k </w:t>
      </w:r>
      <w:r w:rsidRPr="00711366">
        <w:rPr>
          <w:sz w:val="20"/>
          <w:szCs w:val="20"/>
        </w:rPr>
        <w:lastRenderedPageBreak/>
        <w:t>přemalování spodní vrstvy buď samotným autorem, nebo z nějakého důvodu v pozdější době. Bohužel u oboustranně malovaných obrazů je čitelnost snímku zhoršena promítnutím obou maleb do jedné plochy snímku.</w:t>
      </w:r>
    </w:p>
    <w:p w:rsidR="00711366" w:rsidRPr="00711366" w:rsidRDefault="00711366" w:rsidP="00711366">
      <w:pPr>
        <w:rPr>
          <w:sz w:val="20"/>
          <w:szCs w:val="20"/>
        </w:rPr>
      </w:pPr>
    </w:p>
    <w:p w:rsidR="00711366" w:rsidRPr="00711366" w:rsidRDefault="00711366" w:rsidP="00711366">
      <w:pPr>
        <w:rPr>
          <w:sz w:val="20"/>
          <w:szCs w:val="20"/>
        </w:rPr>
      </w:pPr>
      <w:r w:rsidRPr="00711366">
        <w:rPr>
          <w:sz w:val="20"/>
          <w:szCs w:val="20"/>
        </w:rPr>
        <w:t>b) invazivní metody</w:t>
      </w:r>
    </w:p>
    <w:p w:rsidR="00711366" w:rsidRPr="00711366" w:rsidRDefault="00711366" w:rsidP="00711366">
      <w:pPr>
        <w:pStyle w:val="Odstavecseseznamem"/>
        <w:numPr>
          <w:ilvl w:val="0"/>
          <w:numId w:val="8"/>
        </w:numPr>
        <w:spacing w:after="160" w:line="259" w:lineRule="auto"/>
        <w:rPr>
          <w:sz w:val="20"/>
          <w:szCs w:val="20"/>
        </w:rPr>
      </w:pPr>
      <w:r w:rsidRPr="00711366">
        <w:rPr>
          <w:sz w:val="20"/>
          <w:szCs w:val="20"/>
        </w:rPr>
        <w:t>odběr min. 11 vzorků ze všech částí oltáře; pokud by se nám podařilo získat svolení, pak i na desce se sv. Zikmundem z NM.</w:t>
      </w:r>
    </w:p>
    <w:p w:rsidR="00711366" w:rsidRPr="00711366" w:rsidRDefault="00711366" w:rsidP="00711366">
      <w:pPr>
        <w:pStyle w:val="Odstavecseseznamem"/>
        <w:rPr>
          <w:sz w:val="20"/>
          <w:szCs w:val="20"/>
        </w:rPr>
      </w:pPr>
      <w:r w:rsidRPr="00711366">
        <w:rPr>
          <w:sz w:val="20"/>
          <w:szCs w:val="20"/>
        </w:rPr>
        <w:t>Vzorky budou odebrány restaurátorem, následně bude ve specializované odborné laboratoři provedena stratigrafie s přesným popisem jednotlivých vrstev a analýza použitých pigmentů a pojiv. Vzorky budou odebrány citlivě v co nejmenším možném množství odebraného materiálu a na místech, která jsou pohledově nevýznamná (okraje obrazu atd.). Počet vzorků zohledňuje zastoupení všech jednotlivých částí oltáře (centrální deska s malbou včetně modré přemalby pozadí, centrální deska pozlacené plochy, jednotlivá křídla vždy přední i zadní strany včetně pozlacených ploch, obě sochy včetně pozlacených ploch a srovnávací vzorek z křídla se sv. Zikmundem z NM).</w:t>
      </w:r>
    </w:p>
    <w:p w:rsidR="00711366" w:rsidRPr="00711366" w:rsidRDefault="00711366" w:rsidP="00711366">
      <w:pPr>
        <w:pStyle w:val="Odstavecseseznamem"/>
        <w:rPr>
          <w:sz w:val="20"/>
          <w:szCs w:val="20"/>
        </w:rPr>
      </w:pPr>
      <w:r w:rsidRPr="00711366">
        <w:rPr>
          <w:sz w:val="20"/>
          <w:szCs w:val="20"/>
        </w:rPr>
        <w:t>Bez použití této průzkumné metody, není možné přesně určit výstavbu (podklady, vrstvení, sílu a složení vrstev atd.) u jednotlivých částí oltáře.</w:t>
      </w:r>
    </w:p>
    <w:p w:rsidR="00711366" w:rsidRPr="00711366" w:rsidRDefault="00711366" w:rsidP="00711366">
      <w:pPr>
        <w:pStyle w:val="Odstavecseseznamem"/>
        <w:rPr>
          <w:sz w:val="20"/>
          <w:szCs w:val="20"/>
        </w:rPr>
      </w:pPr>
    </w:p>
    <w:p w:rsidR="00711366" w:rsidRPr="00711366" w:rsidRDefault="00711366" w:rsidP="00711366">
      <w:pPr>
        <w:pStyle w:val="Odstavecseseznamem"/>
        <w:numPr>
          <w:ilvl w:val="0"/>
          <w:numId w:val="8"/>
        </w:numPr>
        <w:spacing w:after="160" w:line="259" w:lineRule="auto"/>
        <w:rPr>
          <w:sz w:val="20"/>
          <w:szCs w:val="20"/>
        </w:rPr>
      </w:pPr>
      <w:r w:rsidRPr="00711366">
        <w:rPr>
          <w:sz w:val="20"/>
          <w:szCs w:val="20"/>
        </w:rPr>
        <w:t xml:space="preserve"> FTIR (infračervená spektroskopie), vzhledem k rozměrům díla (pod FTIR mikroskop se dají umístit pouze velmi drobné předměty, </w:t>
      </w:r>
      <w:proofErr w:type="spellStart"/>
      <w:r w:rsidRPr="00711366">
        <w:rPr>
          <w:sz w:val="20"/>
          <w:szCs w:val="20"/>
        </w:rPr>
        <w:t>např</w:t>
      </w:r>
      <w:proofErr w:type="spellEnd"/>
      <w:r w:rsidRPr="00711366">
        <w:rPr>
          <w:sz w:val="20"/>
          <w:szCs w:val="20"/>
        </w:rPr>
        <w:t xml:space="preserve"> miniatury) musí být odebrány miniaturní vzorky pro určení použitých organických látek na oltáři. Jde o důležité určení pojiv podkladů, podmaleb, barevné vrstvy, lazur ale i podkladů pod pozlacenými plochami. Identifikované materiály budou určující pro posouzení stáří jednotlivých dílů (určení novějších doplňků) a napomohou ke správné interpretaci sounáležitosti jednotlivých dílů oltáře.</w:t>
      </w:r>
    </w:p>
    <w:p w:rsidR="00711366" w:rsidRPr="00711366" w:rsidRDefault="00711366" w:rsidP="00711366">
      <w:pPr>
        <w:pStyle w:val="Odstavecseseznamem"/>
        <w:rPr>
          <w:sz w:val="20"/>
          <w:szCs w:val="20"/>
        </w:rPr>
      </w:pPr>
      <w:r w:rsidRPr="00711366">
        <w:rPr>
          <w:sz w:val="20"/>
          <w:szCs w:val="20"/>
        </w:rPr>
        <w:t>Vzhledem k cenové náročnosti laboratorního průzkumu vzorků, je doplnění o FTIR analýzu možností zmapovat podstatně více vytipovaných míst na oltáři, než je navržených 11 vzorků.</w:t>
      </w:r>
    </w:p>
    <w:p w:rsidR="00711366" w:rsidRPr="00711366" w:rsidRDefault="00711366" w:rsidP="00711366">
      <w:pPr>
        <w:pStyle w:val="Odstavecseseznamem"/>
        <w:rPr>
          <w:sz w:val="20"/>
          <w:szCs w:val="20"/>
        </w:rPr>
      </w:pPr>
    </w:p>
    <w:p w:rsidR="00711366" w:rsidRPr="00711366" w:rsidRDefault="00711366" w:rsidP="00711366">
      <w:pPr>
        <w:pStyle w:val="Odstavecseseznamem"/>
        <w:rPr>
          <w:sz w:val="20"/>
          <w:szCs w:val="20"/>
        </w:rPr>
      </w:pPr>
      <w:r w:rsidRPr="00711366">
        <w:rPr>
          <w:sz w:val="20"/>
          <w:szCs w:val="20"/>
        </w:rPr>
        <w:t xml:space="preserve">Výše uvedené metody průzkumu umožní určit genezi tohoto oltáře, zejména stav jeho nynější podoby. Vzhledem k takřka nulové </w:t>
      </w:r>
      <w:proofErr w:type="spellStart"/>
      <w:r w:rsidRPr="00711366">
        <w:rPr>
          <w:sz w:val="20"/>
          <w:szCs w:val="20"/>
        </w:rPr>
        <w:t>probádanosti</w:t>
      </w:r>
      <w:proofErr w:type="spellEnd"/>
      <w:r w:rsidRPr="00711366">
        <w:rPr>
          <w:sz w:val="20"/>
          <w:szCs w:val="20"/>
        </w:rPr>
        <w:t xml:space="preserve"> tohoto díla přinese první přesnější poznatky o materiálovém složení, stylu a kvalitativní úrovni jeho jednotlivých částí.</w:t>
      </w:r>
    </w:p>
    <w:p w:rsidR="00711366" w:rsidRPr="00711366" w:rsidRDefault="00711366" w:rsidP="00711366">
      <w:pPr>
        <w:pStyle w:val="Odstavecseseznamem"/>
        <w:rPr>
          <w:sz w:val="20"/>
          <w:szCs w:val="20"/>
        </w:rPr>
      </w:pPr>
      <w:r w:rsidRPr="00711366">
        <w:rPr>
          <w:sz w:val="20"/>
          <w:szCs w:val="20"/>
        </w:rPr>
        <w:t>Přesně vymezí  druhotné zásahy, popřípadě nepůvodní součásti.</w:t>
      </w:r>
    </w:p>
    <w:p w:rsidR="00711366" w:rsidRPr="00711366" w:rsidRDefault="00711366" w:rsidP="00711366">
      <w:pPr>
        <w:pStyle w:val="Odstavecseseznamem"/>
        <w:rPr>
          <w:sz w:val="20"/>
          <w:szCs w:val="20"/>
        </w:rPr>
      </w:pPr>
      <w:r w:rsidRPr="00711366">
        <w:rPr>
          <w:sz w:val="20"/>
          <w:szCs w:val="20"/>
        </w:rPr>
        <w:t xml:space="preserve">Je velikým badatelským dluhem, že památka tohoto významu ještě podobným druhem výzkumu neprošla. </w:t>
      </w:r>
    </w:p>
    <w:p w:rsidR="00711366" w:rsidRDefault="00711366" w:rsidP="00711366">
      <w:pPr>
        <w:pStyle w:val="Odstavecseseznamem"/>
        <w:rPr>
          <w:szCs w:val="24"/>
        </w:rPr>
      </w:pPr>
      <w:r w:rsidRPr="00711366">
        <w:rPr>
          <w:sz w:val="20"/>
          <w:szCs w:val="20"/>
        </w:rPr>
        <w:t>Navíc bez ozřejmění některých souvislostí je prakticky nemožné provést</w:t>
      </w:r>
      <w:r>
        <w:rPr>
          <w:szCs w:val="24"/>
        </w:rPr>
        <w:t xml:space="preserve"> vysoce odborné restaurování díla.</w:t>
      </w:r>
    </w:p>
    <w:p w:rsidR="00AF2644" w:rsidRDefault="00AF2644" w:rsidP="00AF2644">
      <w:pPr>
        <w:pStyle w:val="Zkladntext"/>
        <w:sectPr w:rsidR="00AF2644" w:rsidSect="006E41B9">
          <w:footerReference w:type="default" r:id="rId7"/>
          <w:pgSz w:w="11910" w:h="16840"/>
          <w:pgMar w:top="1060" w:right="660" w:bottom="720" w:left="1000" w:header="708" w:footer="522" w:gutter="0"/>
          <w:cols w:space="708"/>
        </w:sectPr>
      </w:pPr>
    </w:p>
    <w:p w:rsidR="00E62D7F" w:rsidRPr="00432620" w:rsidRDefault="00E62D7F" w:rsidP="00E62D7F">
      <w:pPr>
        <w:jc w:val="both"/>
        <w:rPr>
          <w:rFonts w:ascii="Arial" w:hAnsi="Arial" w:cs="Arial"/>
          <w:i/>
        </w:rPr>
      </w:pPr>
    </w:p>
    <w:sectPr w:rsidR="00E62D7F" w:rsidRPr="00432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13" w:rsidRDefault="00C40E13">
      <w:r>
        <w:separator/>
      </w:r>
    </w:p>
  </w:endnote>
  <w:endnote w:type="continuationSeparator" w:id="0">
    <w:p w:rsidR="00C40E13" w:rsidRDefault="00C4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45" w:rsidRDefault="00064B05">
    <w:pPr>
      <w:pStyle w:val="Zkladntext"/>
      <w:spacing w:line="14" w:lineRule="auto"/>
    </w:pPr>
    <w:r>
      <w:rPr>
        <w:noProof/>
        <w:sz w:val="24"/>
        <w:lang w:val="cs-CZ" w:eastAsia="cs-CZ"/>
      </w:rPr>
      <mc:AlternateContent>
        <mc:Choice Requires="wps">
          <w:drawing>
            <wp:anchor distT="0" distB="0" distL="114300" distR="114300" simplePos="0" relativeHeight="251657728" behindDoc="1" locked="0" layoutInCell="1" allowOverlap="1">
              <wp:simplePos x="0" y="0"/>
              <wp:positionH relativeFrom="page">
                <wp:posOffset>707390</wp:posOffset>
              </wp:positionH>
              <wp:positionV relativeFrom="page">
                <wp:posOffset>10234930</wp:posOffset>
              </wp:positionV>
              <wp:extent cx="6156960" cy="0"/>
              <wp:effectExtent l="12065" t="5080" r="12700" b="1397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C0ABA" id="Přímá spojnic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pt,805.9pt" to="540.5pt,8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13" w:rsidRDefault="00C40E13">
      <w:r>
        <w:separator/>
      </w:r>
    </w:p>
  </w:footnote>
  <w:footnote w:type="continuationSeparator" w:id="0">
    <w:p w:rsidR="00C40E13" w:rsidRDefault="00C40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1250"/>
    <w:multiLevelType w:val="hybridMultilevel"/>
    <w:tmpl w:val="2034E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AF4E6C"/>
    <w:multiLevelType w:val="hybridMultilevel"/>
    <w:tmpl w:val="9B1C1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BF13CC"/>
    <w:multiLevelType w:val="hybridMultilevel"/>
    <w:tmpl w:val="5FB659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8F31015"/>
    <w:multiLevelType w:val="hybridMultilevel"/>
    <w:tmpl w:val="79EA67D8"/>
    <w:lvl w:ilvl="0" w:tplc="3DAC7E5E">
      <w:start w:val="2"/>
      <w:numFmt w:val="bullet"/>
      <w:lvlText w:val="-"/>
      <w:lvlJc w:val="left"/>
      <w:pPr>
        <w:ind w:left="1080" w:hanging="360"/>
      </w:pPr>
      <w:rPr>
        <w:rFonts w:ascii="Arial" w:eastAsia="Calibri" w:hAnsi="Arial"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2EF5119"/>
    <w:multiLevelType w:val="hybridMultilevel"/>
    <w:tmpl w:val="8D5A44C8"/>
    <w:lvl w:ilvl="0" w:tplc="2DF45FC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923D77"/>
    <w:multiLevelType w:val="hybridMultilevel"/>
    <w:tmpl w:val="2160EB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749F5468"/>
    <w:multiLevelType w:val="hybridMultilevel"/>
    <w:tmpl w:val="ED14A4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0471AB"/>
    <w:multiLevelType w:val="hybridMultilevel"/>
    <w:tmpl w:val="E5CEC556"/>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B4"/>
    <w:rsid w:val="00005D4E"/>
    <w:rsid w:val="00064B05"/>
    <w:rsid w:val="00121B6C"/>
    <w:rsid w:val="00176598"/>
    <w:rsid w:val="001B007B"/>
    <w:rsid w:val="001B6B3E"/>
    <w:rsid w:val="001F57FD"/>
    <w:rsid w:val="00221A81"/>
    <w:rsid w:val="00260172"/>
    <w:rsid w:val="002A72EA"/>
    <w:rsid w:val="002F3AB4"/>
    <w:rsid w:val="00320DBB"/>
    <w:rsid w:val="00331338"/>
    <w:rsid w:val="003F7EBE"/>
    <w:rsid w:val="00432620"/>
    <w:rsid w:val="00467A86"/>
    <w:rsid w:val="00496AEE"/>
    <w:rsid w:val="004C68D5"/>
    <w:rsid w:val="004D33F0"/>
    <w:rsid w:val="004E27F9"/>
    <w:rsid w:val="005116D1"/>
    <w:rsid w:val="00564499"/>
    <w:rsid w:val="005A576D"/>
    <w:rsid w:val="005B6A80"/>
    <w:rsid w:val="005F17C4"/>
    <w:rsid w:val="00665C62"/>
    <w:rsid w:val="006C5D0D"/>
    <w:rsid w:val="006E41B9"/>
    <w:rsid w:val="00711366"/>
    <w:rsid w:val="00712B6B"/>
    <w:rsid w:val="00720721"/>
    <w:rsid w:val="0078065C"/>
    <w:rsid w:val="008078B5"/>
    <w:rsid w:val="00856B22"/>
    <w:rsid w:val="00864FA9"/>
    <w:rsid w:val="00867C42"/>
    <w:rsid w:val="008A5480"/>
    <w:rsid w:val="0090140E"/>
    <w:rsid w:val="00906F6F"/>
    <w:rsid w:val="0092445B"/>
    <w:rsid w:val="00934A82"/>
    <w:rsid w:val="00941573"/>
    <w:rsid w:val="00990A7C"/>
    <w:rsid w:val="009E4442"/>
    <w:rsid w:val="009E6E2A"/>
    <w:rsid w:val="00A458CD"/>
    <w:rsid w:val="00AD5CDF"/>
    <w:rsid w:val="00AF2644"/>
    <w:rsid w:val="00B205CF"/>
    <w:rsid w:val="00B305B4"/>
    <w:rsid w:val="00B438AB"/>
    <w:rsid w:val="00B46778"/>
    <w:rsid w:val="00B523C3"/>
    <w:rsid w:val="00B54921"/>
    <w:rsid w:val="00B8299B"/>
    <w:rsid w:val="00BB6E28"/>
    <w:rsid w:val="00BC2CB4"/>
    <w:rsid w:val="00C06EAB"/>
    <w:rsid w:val="00C175CC"/>
    <w:rsid w:val="00C325DB"/>
    <w:rsid w:val="00C40E13"/>
    <w:rsid w:val="00C814F9"/>
    <w:rsid w:val="00C92F9E"/>
    <w:rsid w:val="00C972DA"/>
    <w:rsid w:val="00CD4706"/>
    <w:rsid w:val="00D268F4"/>
    <w:rsid w:val="00D6775C"/>
    <w:rsid w:val="00DB3BE5"/>
    <w:rsid w:val="00E62D7F"/>
    <w:rsid w:val="00E8199C"/>
    <w:rsid w:val="00ED0E0D"/>
    <w:rsid w:val="00F03A10"/>
    <w:rsid w:val="00F17DDB"/>
    <w:rsid w:val="00F92151"/>
    <w:rsid w:val="00F93F8D"/>
    <w:rsid w:val="00FE6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BCBD83-E529-40C7-9DD8-3E05FECC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05B4"/>
    <w:pPr>
      <w:spacing w:after="0" w:line="240" w:lineRule="auto"/>
    </w:pPr>
    <w:rPr>
      <w:rFonts w:ascii="Calibri" w:hAnsi="Calibri" w:cs="Calibri"/>
    </w:rPr>
  </w:style>
  <w:style w:type="paragraph" w:styleId="Nadpis1">
    <w:name w:val="heading 1"/>
    <w:basedOn w:val="Normln"/>
    <w:link w:val="Nadpis1Char"/>
    <w:uiPriority w:val="1"/>
    <w:qFormat/>
    <w:rsid w:val="00B438AB"/>
    <w:pPr>
      <w:widowControl w:val="0"/>
      <w:autoSpaceDE w:val="0"/>
      <w:autoSpaceDN w:val="0"/>
      <w:spacing w:before="1"/>
      <w:ind w:left="160"/>
      <w:jc w:val="both"/>
      <w:outlineLvl w:val="0"/>
    </w:pPr>
    <w:rPr>
      <w:rFonts w:ascii="Arial" w:eastAsia="Arial" w:hAnsi="Arial" w:cs="Arial"/>
      <w:b/>
      <w:bCs/>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305B4"/>
    <w:rPr>
      <w:color w:val="0563C1"/>
      <w:u w:val="single"/>
    </w:rPr>
  </w:style>
  <w:style w:type="paragraph" w:styleId="Prosttext">
    <w:name w:val="Plain Text"/>
    <w:basedOn w:val="Normln"/>
    <w:link w:val="ProsttextChar"/>
    <w:uiPriority w:val="99"/>
    <w:semiHidden/>
    <w:unhideWhenUsed/>
    <w:rsid w:val="00B305B4"/>
  </w:style>
  <w:style w:type="character" w:customStyle="1" w:styleId="ProsttextChar">
    <w:name w:val="Prostý text Char"/>
    <w:basedOn w:val="Standardnpsmoodstavce"/>
    <w:link w:val="Prosttext"/>
    <w:uiPriority w:val="99"/>
    <w:semiHidden/>
    <w:rsid w:val="00B305B4"/>
    <w:rPr>
      <w:rFonts w:ascii="Calibri" w:hAnsi="Calibri" w:cs="Calibri"/>
    </w:rPr>
  </w:style>
  <w:style w:type="character" w:styleId="Siln">
    <w:name w:val="Strong"/>
    <w:basedOn w:val="Standardnpsmoodstavce"/>
    <w:uiPriority w:val="22"/>
    <w:qFormat/>
    <w:rsid w:val="00B305B4"/>
    <w:rPr>
      <w:b/>
      <w:bCs/>
    </w:rPr>
  </w:style>
  <w:style w:type="paragraph" w:styleId="Normlnweb">
    <w:name w:val="Normal (Web)"/>
    <w:basedOn w:val="Normln"/>
    <w:uiPriority w:val="99"/>
    <w:unhideWhenUsed/>
    <w:rsid w:val="00B305B4"/>
    <w:pPr>
      <w:spacing w:before="100" w:beforeAutospacing="1" w:after="100" w:afterAutospacing="1"/>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305B4"/>
    <w:pPr>
      <w:spacing w:after="200" w:line="276" w:lineRule="auto"/>
      <w:ind w:left="720"/>
      <w:contextualSpacing/>
    </w:pPr>
    <w:rPr>
      <w:rFonts w:eastAsia="Calibri" w:cs="Times New Roman"/>
    </w:rPr>
  </w:style>
  <w:style w:type="character" w:customStyle="1" w:styleId="Nadpis1Char">
    <w:name w:val="Nadpis 1 Char"/>
    <w:basedOn w:val="Standardnpsmoodstavce"/>
    <w:link w:val="Nadpis1"/>
    <w:uiPriority w:val="1"/>
    <w:rsid w:val="00B438AB"/>
    <w:rPr>
      <w:rFonts w:ascii="Arial" w:eastAsia="Arial" w:hAnsi="Arial" w:cs="Arial"/>
      <w:b/>
      <w:bCs/>
      <w:sz w:val="20"/>
      <w:szCs w:val="20"/>
      <w:lang w:val="en-US"/>
    </w:rPr>
  </w:style>
  <w:style w:type="paragraph" w:styleId="Zkladntext">
    <w:name w:val="Body Text"/>
    <w:basedOn w:val="Normln"/>
    <w:link w:val="ZkladntextChar"/>
    <w:uiPriority w:val="1"/>
    <w:qFormat/>
    <w:rsid w:val="00B438AB"/>
    <w:pPr>
      <w:widowControl w:val="0"/>
      <w:autoSpaceDE w:val="0"/>
      <w:autoSpaceDN w:val="0"/>
    </w:pPr>
    <w:rPr>
      <w:rFonts w:ascii="Arial" w:eastAsia="Arial" w:hAnsi="Arial" w:cs="Arial"/>
      <w:sz w:val="20"/>
      <w:szCs w:val="20"/>
      <w:lang w:val="en-US"/>
    </w:rPr>
  </w:style>
  <w:style w:type="character" w:customStyle="1" w:styleId="ZkladntextChar">
    <w:name w:val="Základní text Char"/>
    <w:basedOn w:val="Standardnpsmoodstavce"/>
    <w:link w:val="Zkladntext"/>
    <w:uiPriority w:val="1"/>
    <w:rsid w:val="00B438AB"/>
    <w:rPr>
      <w:rFonts w:ascii="Arial" w:eastAsia="Arial" w:hAnsi="Arial" w:cs="Arial"/>
      <w:sz w:val="20"/>
      <w:szCs w:val="20"/>
      <w:lang w:val="en-US"/>
    </w:rPr>
  </w:style>
  <w:style w:type="paragraph" w:styleId="Textpoznpodarou">
    <w:name w:val="footnote text"/>
    <w:basedOn w:val="Normln"/>
    <w:link w:val="TextpoznpodarouChar"/>
    <w:uiPriority w:val="99"/>
    <w:semiHidden/>
    <w:unhideWhenUsed/>
    <w:rsid w:val="001B6B3E"/>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1B6B3E"/>
    <w:rPr>
      <w:sz w:val="20"/>
      <w:szCs w:val="20"/>
    </w:rPr>
  </w:style>
  <w:style w:type="character" w:styleId="Znakapoznpodarou">
    <w:name w:val="footnote reference"/>
    <w:basedOn w:val="Standardnpsmoodstavce"/>
    <w:uiPriority w:val="99"/>
    <w:semiHidden/>
    <w:unhideWhenUsed/>
    <w:rsid w:val="001B6B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4705">
      <w:bodyDiv w:val="1"/>
      <w:marLeft w:val="0"/>
      <w:marRight w:val="0"/>
      <w:marTop w:val="0"/>
      <w:marBottom w:val="0"/>
      <w:divBdr>
        <w:top w:val="none" w:sz="0" w:space="0" w:color="auto"/>
        <w:left w:val="none" w:sz="0" w:space="0" w:color="auto"/>
        <w:bottom w:val="none" w:sz="0" w:space="0" w:color="auto"/>
        <w:right w:val="none" w:sz="0" w:space="0" w:color="auto"/>
      </w:divBdr>
    </w:div>
    <w:div w:id="18368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6061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3</cp:revision>
  <dcterms:created xsi:type="dcterms:W3CDTF">2024-01-15T07:48:00Z</dcterms:created>
  <dcterms:modified xsi:type="dcterms:W3CDTF">2024-01-15T07:49:00Z</dcterms:modified>
</cp:coreProperties>
</file>