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E1BD" w14:textId="77777777" w:rsidR="00365C60" w:rsidRPr="00365C60" w:rsidRDefault="00365C60" w:rsidP="00365C60">
      <w:pPr>
        <w:pStyle w:val="Normlnweb"/>
        <w:spacing w:before="0" w:beforeAutospacing="0" w:after="240" w:afterAutospacing="0"/>
        <w:jc w:val="center"/>
        <w:rPr>
          <w:rFonts w:ascii="Garamond" w:hAnsi="Garamond"/>
          <w:b/>
          <w:iCs/>
          <w:sz w:val="32"/>
          <w:szCs w:val="32"/>
        </w:rPr>
      </w:pPr>
    </w:p>
    <w:p w14:paraId="7748749B" w14:textId="20A29690" w:rsidR="00365C60" w:rsidRPr="00365C60" w:rsidRDefault="00365C60" w:rsidP="00365C60">
      <w:pPr>
        <w:pStyle w:val="Normlnweb"/>
        <w:spacing w:before="0" w:beforeAutospacing="0" w:after="240" w:afterAutospacing="0"/>
        <w:jc w:val="center"/>
        <w:rPr>
          <w:rFonts w:ascii="Garamond" w:hAnsi="Garamond"/>
          <w:b/>
          <w:iCs/>
          <w:sz w:val="32"/>
          <w:szCs w:val="32"/>
        </w:rPr>
      </w:pPr>
      <w:r w:rsidRPr="00365C60">
        <w:rPr>
          <w:rFonts w:ascii="Garamond" w:hAnsi="Garamond"/>
          <w:b/>
          <w:iCs/>
          <w:sz w:val="32"/>
          <w:szCs w:val="32"/>
        </w:rPr>
        <w:t>Příkazní smlouva</w:t>
      </w:r>
    </w:p>
    <w:p w14:paraId="31AE5E10" w14:textId="77777777" w:rsidR="00365C60" w:rsidRPr="00365C60" w:rsidRDefault="00365C60" w:rsidP="00365C60">
      <w:pPr>
        <w:pStyle w:val="Normlnweb"/>
        <w:spacing w:before="0" w:beforeAutospacing="0" w:after="120" w:afterAutospacing="0"/>
        <w:rPr>
          <w:rFonts w:ascii="Garamond" w:hAnsi="Garamond"/>
          <w:iCs/>
        </w:rPr>
      </w:pPr>
      <w:r w:rsidRPr="00365C60">
        <w:rPr>
          <w:rFonts w:ascii="Garamond" w:hAnsi="Garamond"/>
          <w:iCs/>
        </w:rPr>
        <w:t>Smluvní strany</w:t>
      </w:r>
    </w:p>
    <w:p w14:paraId="61AA63E0" w14:textId="77777777" w:rsidR="008240E3" w:rsidRPr="008240E3" w:rsidRDefault="008240E3" w:rsidP="008240E3">
      <w:pPr>
        <w:pStyle w:val="Default"/>
        <w:rPr>
          <w:rFonts w:ascii="Garamond" w:hAnsi="Garamond"/>
          <w:b/>
          <w:bCs/>
          <w:color w:val="auto"/>
          <w:shd w:val="clear" w:color="auto" w:fill="FFFFFF"/>
        </w:rPr>
      </w:pPr>
      <w:r w:rsidRPr="008240E3">
        <w:rPr>
          <w:rFonts w:ascii="Garamond" w:hAnsi="Garamond"/>
          <w:b/>
          <w:bCs/>
          <w:color w:val="auto"/>
          <w:shd w:val="clear" w:color="auto" w:fill="FFFFFF"/>
        </w:rPr>
        <w:t>Základní umělecká škola Dobříš, příspěvková organizace</w:t>
      </w:r>
    </w:p>
    <w:p w14:paraId="109CDD42" w14:textId="3DEABF3A" w:rsidR="00365C60" w:rsidRPr="008240E3" w:rsidRDefault="00365C60" w:rsidP="00365C60">
      <w:pPr>
        <w:pStyle w:val="Normlnweb"/>
        <w:spacing w:before="0" w:beforeAutospacing="0" w:after="0" w:afterAutospacing="0"/>
        <w:rPr>
          <w:rFonts w:ascii="Garamond" w:hAnsi="Garamond"/>
          <w:shd w:val="clear" w:color="auto" w:fill="FFFFFF"/>
        </w:rPr>
      </w:pPr>
      <w:r w:rsidRPr="008240E3">
        <w:rPr>
          <w:rFonts w:ascii="Garamond" w:hAnsi="Garamond"/>
          <w:shd w:val="clear" w:color="auto" w:fill="FFFFFF"/>
        </w:rPr>
        <w:t xml:space="preserve">se sídlem </w:t>
      </w:r>
      <w:r w:rsidR="008240E3" w:rsidRPr="008240E3">
        <w:rPr>
          <w:rFonts w:ascii="Garamond" w:hAnsi="Garamond"/>
          <w:shd w:val="clear" w:color="auto" w:fill="FFFFFF"/>
        </w:rPr>
        <w:t>Mírové náměstí 69, 263 01 Dobříš</w:t>
      </w:r>
    </w:p>
    <w:p w14:paraId="6CE0F4D5" w14:textId="0DC240D9" w:rsidR="00365C60" w:rsidRPr="00365C60" w:rsidRDefault="00365C60" w:rsidP="00365C60">
      <w:pPr>
        <w:rPr>
          <w:rFonts w:ascii="Garamond" w:hAnsi="Garamond"/>
          <w:sz w:val="24"/>
          <w:szCs w:val="24"/>
          <w:shd w:val="clear" w:color="auto" w:fill="FFFFFF"/>
        </w:rPr>
      </w:pPr>
      <w:r w:rsidRPr="008240E3">
        <w:rPr>
          <w:rFonts w:ascii="Garamond" w:hAnsi="Garamond"/>
          <w:iCs/>
          <w:sz w:val="24"/>
          <w:szCs w:val="24"/>
        </w:rPr>
        <w:t>IČO:</w:t>
      </w:r>
      <w:r w:rsidRPr="00365C60">
        <w:rPr>
          <w:rFonts w:ascii="Garamond" w:hAnsi="Garamond"/>
          <w:iCs/>
          <w:sz w:val="24"/>
          <w:szCs w:val="24"/>
        </w:rPr>
        <w:t xml:space="preserve"> </w:t>
      </w:r>
      <w:r w:rsidR="008240E3" w:rsidRPr="008240E3">
        <w:rPr>
          <w:rFonts w:ascii="Garamond" w:hAnsi="Garamond"/>
          <w:iCs/>
          <w:sz w:val="24"/>
          <w:szCs w:val="24"/>
        </w:rPr>
        <w:t>64762939</w:t>
      </w:r>
    </w:p>
    <w:p w14:paraId="0D1D70A4" w14:textId="33E91005" w:rsidR="00365C60" w:rsidRPr="00365C60" w:rsidRDefault="00365C60" w:rsidP="00365C60">
      <w:pPr>
        <w:rPr>
          <w:rFonts w:ascii="Garamond" w:hAnsi="Garamond"/>
          <w:iCs/>
          <w:sz w:val="24"/>
          <w:szCs w:val="24"/>
        </w:rPr>
      </w:pPr>
      <w:r w:rsidRPr="00365C60">
        <w:rPr>
          <w:rFonts w:ascii="Garamond" w:hAnsi="Garamond"/>
          <w:iCs/>
          <w:sz w:val="24"/>
          <w:szCs w:val="24"/>
        </w:rPr>
        <w:t xml:space="preserve">zastoupená </w:t>
      </w:r>
      <w:r w:rsidR="008240E3">
        <w:rPr>
          <w:rFonts w:ascii="Garamond" w:hAnsi="Garamond"/>
          <w:iCs/>
          <w:sz w:val="24"/>
          <w:szCs w:val="24"/>
        </w:rPr>
        <w:t xml:space="preserve">ředitelem Janem </w:t>
      </w:r>
      <w:proofErr w:type="spellStart"/>
      <w:r w:rsidR="008240E3">
        <w:rPr>
          <w:rFonts w:ascii="Garamond" w:hAnsi="Garamond"/>
          <w:iCs/>
          <w:sz w:val="24"/>
          <w:szCs w:val="24"/>
        </w:rPr>
        <w:t>Voděrou</w:t>
      </w:r>
      <w:proofErr w:type="spellEnd"/>
      <w:r w:rsidRPr="00365C60">
        <w:rPr>
          <w:rFonts w:ascii="Garamond" w:hAnsi="Garamond"/>
          <w:iCs/>
          <w:sz w:val="24"/>
          <w:szCs w:val="24"/>
        </w:rPr>
        <w:t xml:space="preserve"> </w:t>
      </w:r>
    </w:p>
    <w:p w14:paraId="3D76EE5D" w14:textId="77777777" w:rsidR="00365C60" w:rsidRPr="00365C60" w:rsidRDefault="00365C60" w:rsidP="00365C60">
      <w:pPr>
        <w:pStyle w:val="Normlnweb"/>
        <w:spacing w:before="0" w:beforeAutospacing="0" w:after="120" w:afterAutospacing="0"/>
        <w:rPr>
          <w:rFonts w:ascii="Garamond" w:hAnsi="Garamond"/>
          <w:iCs/>
        </w:rPr>
      </w:pPr>
      <w:r w:rsidRPr="00365C60">
        <w:rPr>
          <w:rFonts w:ascii="Garamond" w:hAnsi="Garamond"/>
          <w:iCs/>
        </w:rPr>
        <w:t>(dále jen</w:t>
      </w:r>
      <w:bookmarkStart w:id="0" w:name="highlightHit_32"/>
      <w:bookmarkEnd w:id="0"/>
      <w:r w:rsidRPr="00365C60">
        <w:rPr>
          <w:rFonts w:ascii="Garamond" w:hAnsi="Garamond"/>
          <w:iCs/>
        </w:rPr>
        <w:t xml:space="preserve"> „</w:t>
      </w:r>
      <w:r w:rsidRPr="00365C60">
        <w:rPr>
          <w:rFonts w:ascii="Garamond" w:hAnsi="Garamond"/>
          <w:b/>
          <w:iCs/>
        </w:rPr>
        <w:t>příkazce</w:t>
      </w:r>
      <w:r w:rsidRPr="00365C60">
        <w:rPr>
          <w:rFonts w:ascii="Garamond" w:hAnsi="Garamond"/>
          <w:iCs/>
        </w:rPr>
        <w:t>“)</w:t>
      </w:r>
    </w:p>
    <w:p w14:paraId="16A334C3" w14:textId="77777777" w:rsidR="00365C60" w:rsidRPr="00365C60" w:rsidRDefault="00365C60" w:rsidP="00365C60">
      <w:pPr>
        <w:pStyle w:val="Normlnweb"/>
        <w:spacing w:before="0" w:beforeAutospacing="0" w:after="120" w:afterAutospacing="0"/>
        <w:jc w:val="center"/>
        <w:rPr>
          <w:rFonts w:ascii="Garamond" w:hAnsi="Garamond"/>
          <w:iCs/>
        </w:rPr>
      </w:pPr>
      <w:r w:rsidRPr="00365C60">
        <w:rPr>
          <w:rFonts w:ascii="Garamond" w:hAnsi="Garamond"/>
          <w:iCs/>
        </w:rPr>
        <w:t>a</w:t>
      </w:r>
    </w:p>
    <w:p w14:paraId="0E2BE18D" w14:textId="77777777" w:rsidR="00365C60" w:rsidRPr="00365C60" w:rsidRDefault="00365C60" w:rsidP="00365C60">
      <w:pPr>
        <w:pStyle w:val="Default"/>
        <w:rPr>
          <w:rFonts w:ascii="Garamond" w:hAnsi="Garamond"/>
          <w:b/>
          <w:bCs/>
          <w:color w:val="auto"/>
          <w:shd w:val="clear" w:color="auto" w:fill="FFFFFF"/>
        </w:rPr>
      </w:pPr>
      <w:proofErr w:type="spellStart"/>
      <w:r w:rsidRPr="00365C60">
        <w:rPr>
          <w:rFonts w:ascii="Garamond" w:hAnsi="Garamond"/>
          <w:b/>
          <w:bCs/>
          <w:color w:val="auto"/>
          <w:shd w:val="clear" w:color="auto" w:fill="FFFFFF"/>
        </w:rPr>
        <w:t>Erudit</w:t>
      </w:r>
      <w:proofErr w:type="spellEnd"/>
      <w:r w:rsidRPr="00365C60">
        <w:rPr>
          <w:rFonts w:ascii="Garamond" w:hAnsi="Garamond"/>
          <w:b/>
          <w:bCs/>
          <w:color w:val="auto"/>
          <w:shd w:val="clear" w:color="auto" w:fill="FFFFFF"/>
        </w:rPr>
        <w:t xml:space="preserve"> </w:t>
      </w:r>
      <w:proofErr w:type="spellStart"/>
      <w:r w:rsidRPr="00365C60">
        <w:rPr>
          <w:rFonts w:ascii="Garamond" w:hAnsi="Garamond"/>
          <w:b/>
          <w:bCs/>
          <w:color w:val="auto"/>
          <w:shd w:val="clear" w:color="auto" w:fill="FFFFFF"/>
        </w:rPr>
        <w:t>compliance</w:t>
      </w:r>
      <w:proofErr w:type="spellEnd"/>
      <w:r w:rsidRPr="00365C60">
        <w:rPr>
          <w:rFonts w:ascii="Garamond" w:hAnsi="Garamond"/>
          <w:b/>
          <w:bCs/>
          <w:color w:val="auto"/>
          <w:shd w:val="clear" w:color="auto" w:fill="FFFFFF"/>
        </w:rPr>
        <w:t xml:space="preserve"> </w:t>
      </w:r>
      <w:proofErr w:type="spellStart"/>
      <w:r w:rsidRPr="00365C60">
        <w:rPr>
          <w:rFonts w:ascii="Garamond" w:hAnsi="Garamond"/>
          <w:b/>
          <w:bCs/>
          <w:color w:val="auto"/>
          <w:shd w:val="clear" w:color="auto" w:fill="FFFFFF"/>
        </w:rPr>
        <w:t>services</w:t>
      </w:r>
      <w:proofErr w:type="spellEnd"/>
      <w:r w:rsidRPr="00365C60">
        <w:rPr>
          <w:rFonts w:ascii="Garamond" w:hAnsi="Garamond"/>
          <w:b/>
          <w:bCs/>
          <w:color w:val="auto"/>
          <w:shd w:val="clear" w:color="auto" w:fill="FFFFFF"/>
        </w:rPr>
        <w:t>, s.r.o.</w:t>
      </w:r>
    </w:p>
    <w:p w14:paraId="4478A75A" w14:textId="40CB2B40" w:rsidR="00365C60" w:rsidRPr="00365C60" w:rsidRDefault="00365C60" w:rsidP="00365C60">
      <w:pPr>
        <w:pStyle w:val="Default"/>
        <w:rPr>
          <w:rFonts w:ascii="Garamond" w:hAnsi="Garamond"/>
          <w:color w:val="auto"/>
        </w:rPr>
      </w:pPr>
      <w:r w:rsidRPr="00365C60">
        <w:rPr>
          <w:rFonts w:ascii="Garamond" w:hAnsi="Garamond"/>
          <w:color w:val="auto"/>
        </w:rPr>
        <w:t>se sídlem</w:t>
      </w:r>
      <w:r w:rsidRPr="00365C60">
        <w:rPr>
          <w:rStyle w:val="platne1"/>
          <w:rFonts w:ascii="Garamond" w:hAnsi="Garamond"/>
          <w:color w:val="auto"/>
        </w:rPr>
        <w:t xml:space="preserve"> </w:t>
      </w:r>
      <w:r w:rsidRPr="00365C60">
        <w:rPr>
          <w:rFonts w:ascii="Garamond" w:hAnsi="Garamond"/>
          <w:color w:val="auto"/>
          <w:shd w:val="clear" w:color="auto" w:fill="FFFFFF"/>
        </w:rPr>
        <w:t>Korunní 2569/108, Vinohrady, 101 00 Praha 10</w:t>
      </w:r>
      <w:r w:rsidRPr="00365C60">
        <w:rPr>
          <w:rFonts w:ascii="Garamond" w:hAnsi="Garamond"/>
          <w:color w:val="auto"/>
        </w:rPr>
        <w:t xml:space="preserve">        </w:t>
      </w:r>
    </w:p>
    <w:p w14:paraId="63B90C52" w14:textId="4E091623" w:rsidR="00365C60" w:rsidRPr="00365C60" w:rsidRDefault="00365C60" w:rsidP="00365C60">
      <w:pPr>
        <w:pStyle w:val="Default"/>
        <w:rPr>
          <w:rFonts w:ascii="Garamond" w:hAnsi="Garamond"/>
          <w:color w:val="auto"/>
        </w:rPr>
      </w:pPr>
      <w:r w:rsidRPr="00365C60">
        <w:rPr>
          <w:rFonts w:ascii="Garamond" w:hAnsi="Garamond"/>
          <w:color w:val="auto"/>
        </w:rPr>
        <w:t xml:space="preserve">IČO: </w:t>
      </w:r>
      <w:r w:rsidRPr="00365C60">
        <w:rPr>
          <w:rFonts w:ascii="Garamond" w:hAnsi="Garamond"/>
          <w:color w:val="auto"/>
          <w:shd w:val="clear" w:color="auto" w:fill="FFFFFF"/>
        </w:rPr>
        <w:t>08291748</w:t>
      </w:r>
      <w:r w:rsidRPr="00365C60">
        <w:rPr>
          <w:rFonts w:ascii="Garamond" w:hAnsi="Garamond"/>
          <w:color w:val="auto"/>
        </w:rPr>
        <w:t xml:space="preserve">,          </w:t>
      </w:r>
    </w:p>
    <w:p w14:paraId="4D1AA3D1" w14:textId="1E3ACD28" w:rsidR="00365C60" w:rsidRPr="00365C60" w:rsidRDefault="00365C60" w:rsidP="00365C60">
      <w:pPr>
        <w:pStyle w:val="Default"/>
        <w:rPr>
          <w:rFonts w:ascii="Garamond" w:hAnsi="Garamond"/>
          <w:color w:val="auto"/>
        </w:rPr>
      </w:pPr>
      <w:r w:rsidRPr="00365C60">
        <w:rPr>
          <w:rFonts w:ascii="Garamond" w:hAnsi="Garamond"/>
          <w:color w:val="auto"/>
        </w:rPr>
        <w:t xml:space="preserve">zastoupená jednatelem </w:t>
      </w:r>
      <w:r w:rsidRPr="00365C60">
        <w:rPr>
          <w:rStyle w:val="platne1"/>
          <w:rFonts w:ascii="Garamond" w:hAnsi="Garamond"/>
          <w:color w:val="auto"/>
        </w:rPr>
        <w:t>Mgr. Hynkem Růžičkou, LL.M.,</w:t>
      </w:r>
      <w:r w:rsidRPr="00365C60">
        <w:rPr>
          <w:rFonts w:ascii="Garamond" w:hAnsi="Garamond"/>
          <w:color w:val="auto"/>
        </w:rPr>
        <w:t xml:space="preserve">       </w:t>
      </w:r>
    </w:p>
    <w:p w14:paraId="120B76B3" w14:textId="77777777" w:rsidR="00365C60" w:rsidRPr="00365C60" w:rsidRDefault="00365C60" w:rsidP="00365C60">
      <w:pPr>
        <w:pStyle w:val="Default"/>
        <w:rPr>
          <w:rFonts w:ascii="Garamond" w:hAnsi="Garamond"/>
          <w:color w:val="auto"/>
        </w:rPr>
      </w:pPr>
      <w:r w:rsidRPr="00365C60">
        <w:rPr>
          <w:rFonts w:ascii="Garamond" w:hAnsi="Garamond"/>
          <w:color w:val="auto"/>
        </w:rPr>
        <w:t xml:space="preserve">zapsaný v obchodním rejstříku vedeném </w:t>
      </w:r>
      <w:bookmarkStart w:id="1" w:name="_Hlk514109261"/>
      <w:r w:rsidRPr="00365C60">
        <w:rPr>
          <w:rFonts w:ascii="Garamond" w:hAnsi="Garamond"/>
          <w:color w:val="auto"/>
        </w:rPr>
        <w:t xml:space="preserve">Městským soudem v </w:t>
      </w:r>
      <w:bookmarkEnd w:id="1"/>
      <w:r w:rsidRPr="00365C60">
        <w:rPr>
          <w:rFonts w:ascii="Garamond" w:hAnsi="Garamond"/>
          <w:color w:val="auto"/>
        </w:rPr>
        <w:t>Praze</w:t>
      </w:r>
      <w:r w:rsidRPr="00365C60">
        <w:rPr>
          <w:rStyle w:val="platne1"/>
          <w:rFonts w:ascii="Garamond" w:hAnsi="Garamond"/>
          <w:color w:val="auto"/>
        </w:rPr>
        <w:t>,</w:t>
      </w:r>
      <w:r w:rsidRPr="00365C60">
        <w:rPr>
          <w:rFonts w:ascii="Garamond" w:hAnsi="Garamond"/>
          <w:color w:val="auto"/>
        </w:rPr>
        <w:t xml:space="preserve"> oddíl C</w:t>
      </w:r>
      <w:r w:rsidRPr="00365C60">
        <w:rPr>
          <w:rStyle w:val="platne1"/>
          <w:rFonts w:ascii="Garamond" w:hAnsi="Garamond"/>
          <w:color w:val="auto"/>
        </w:rPr>
        <w:t>,</w:t>
      </w:r>
      <w:r w:rsidRPr="00365C60">
        <w:rPr>
          <w:rFonts w:ascii="Garamond" w:hAnsi="Garamond"/>
          <w:color w:val="auto"/>
        </w:rPr>
        <w:t xml:space="preserve"> vložka</w:t>
      </w:r>
      <w:r w:rsidRPr="00365C60">
        <w:rPr>
          <w:rStyle w:val="platne1"/>
          <w:rFonts w:ascii="Garamond" w:hAnsi="Garamond"/>
          <w:color w:val="auto"/>
        </w:rPr>
        <w:t xml:space="preserve"> </w:t>
      </w:r>
      <w:r w:rsidRPr="00365C60">
        <w:rPr>
          <w:rFonts w:ascii="Garamond" w:hAnsi="Garamond"/>
          <w:color w:val="auto"/>
          <w:shd w:val="clear" w:color="auto" w:fill="FFFFFF"/>
        </w:rPr>
        <w:t>316428</w:t>
      </w:r>
      <w:r w:rsidRPr="00365C60">
        <w:rPr>
          <w:rFonts w:ascii="Garamond" w:hAnsi="Garamond"/>
          <w:color w:val="auto"/>
        </w:rPr>
        <w:t xml:space="preserve">,        </w:t>
      </w:r>
    </w:p>
    <w:p w14:paraId="5CD56879" w14:textId="77777777" w:rsidR="00365C60" w:rsidRPr="00365C60" w:rsidRDefault="00365C60" w:rsidP="00365C60">
      <w:pPr>
        <w:pStyle w:val="Normlnweb"/>
        <w:spacing w:before="0" w:beforeAutospacing="0" w:after="240" w:afterAutospacing="0"/>
        <w:rPr>
          <w:rFonts w:ascii="Garamond" w:hAnsi="Garamond"/>
          <w:iCs/>
        </w:rPr>
      </w:pPr>
      <w:r w:rsidRPr="00365C60">
        <w:rPr>
          <w:rFonts w:ascii="Garamond" w:hAnsi="Garamond"/>
          <w:iCs/>
        </w:rPr>
        <w:t>(dále jen</w:t>
      </w:r>
      <w:r w:rsidRPr="00365C60">
        <w:rPr>
          <w:rFonts w:ascii="Garamond" w:hAnsi="Garamond"/>
          <w:b/>
          <w:iCs/>
        </w:rPr>
        <w:t xml:space="preserve"> </w:t>
      </w:r>
      <w:r w:rsidRPr="00365C60">
        <w:rPr>
          <w:rFonts w:ascii="Garamond" w:hAnsi="Garamond"/>
          <w:iCs/>
        </w:rPr>
        <w:t>„</w:t>
      </w:r>
      <w:r w:rsidRPr="00365C60">
        <w:rPr>
          <w:rFonts w:ascii="Garamond" w:hAnsi="Garamond"/>
          <w:b/>
          <w:iCs/>
        </w:rPr>
        <w:t>příkazník</w:t>
      </w:r>
      <w:r w:rsidRPr="00365C60">
        <w:rPr>
          <w:rFonts w:ascii="Garamond" w:hAnsi="Garamond"/>
          <w:iCs/>
        </w:rPr>
        <w:t>“)</w:t>
      </w:r>
    </w:p>
    <w:p w14:paraId="0215D3AF" w14:textId="77777777" w:rsidR="00365C60" w:rsidRPr="00365C60" w:rsidRDefault="00365C60" w:rsidP="00365C60">
      <w:pPr>
        <w:pStyle w:val="Normlnweb"/>
        <w:spacing w:before="0" w:beforeAutospacing="0" w:after="480" w:afterAutospacing="0"/>
        <w:jc w:val="both"/>
        <w:rPr>
          <w:rFonts w:ascii="Garamond" w:hAnsi="Garamond"/>
          <w:iCs/>
        </w:rPr>
      </w:pPr>
      <w:r w:rsidRPr="00365C60">
        <w:rPr>
          <w:rFonts w:ascii="Garamond" w:hAnsi="Garamond"/>
          <w:iCs/>
        </w:rPr>
        <w:t xml:space="preserve">uzavírají níže uvedeného dne podle § 2430 a násl. zákona č. 89/2012 Sb., občanský zákoník, </w:t>
      </w:r>
      <w:r w:rsidRPr="00365C60">
        <w:rPr>
          <w:rFonts w:ascii="Garamond" w:hAnsi="Garamond"/>
        </w:rPr>
        <w:t xml:space="preserve">ve znění pozdějších předpisů, </w:t>
      </w:r>
      <w:r w:rsidRPr="00365C60">
        <w:rPr>
          <w:rFonts w:ascii="Garamond" w:hAnsi="Garamond"/>
          <w:iCs/>
        </w:rPr>
        <w:t>(dále jen „občanský zákoník“) tuto</w:t>
      </w:r>
      <w:bookmarkStart w:id="2" w:name="highlightHit_33"/>
      <w:bookmarkEnd w:id="2"/>
      <w:r w:rsidRPr="00365C60">
        <w:rPr>
          <w:rFonts w:ascii="Garamond" w:hAnsi="Garamond"/>
          <w:iCs/>
        </w:rPr>
        <w:t xml:space="preserve"> příkazní s</w:t>
      </w:r>
      <w:r w:rsidRPr="00365C60">
        <w:rPr>
          <w:rFonts w:ascii="Garamond" w:hAnsi="Garamond"/>
        </w:rPr>
        <w:t>mlouvu:</w:t>
      </w:r>
    </w:p>
    <w:p w14:paraId="1A669F5E" w14:textId="77777777" w:rsidR="00365C60" w:rsidRPr="00365C60" w:rsidRDefault="00365C60" w:rsidP="00365C60">
      <w:pPr>
        <w:pStyle w:val="01lneksmlouvy"/>
      </w:pPr>
      <w:r w:rsidRPr="00365C60">
        <w:t>Čl. 1</w:t>
      </w:r>
    </w:p>
    <w:p w14:paraId="6DFC94DE" w14:textId="77777777" w:rsidR="00365C60" w:rsidRPr="00365C60" w:rsidRDefault="00365C60" w:rsidP="00365C60">
      <w:pPr>
        <w:spacing w:after="120"/>
        <w:jc w:val="center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Úvodní ustanovení</w:t>
      </w:r>
    </w:p>
    <w:p w14:paraId="0DE7F094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Dne 25. 5. 2018 nabylo účinnosti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„Nařízení“), které stanoví pravidla týkající se ochrany fyzických osob v souvislosti se zpracováním osobních údajů a pravidla týkající se volného pohybu osobních údajů.</w:t>
      </w:r>
    </w:p>
    <w:p w14:paraId="16050ED9" w14:textId="11DB9C71" w:rsidR="00365C60" w:rsidRPr="00365C60" w:rsidRDefault="00365C60" w:rsidP="00365C60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 xml:space="preserve">Příkazce je příspěvkovou organizací zřízenou </w:t>
      </w:r>
      <w:r w:rsidR="00D36D45">
        <w:rPr>
          <w:rFonts w:ascii="Garamond" w:hAnsi="Garamond"/>
          <w:sz w:val="24"/>
          <w:szCs w:val="24"/>
        </w:rPr>
        <w:t>městem Dobříš</w:t>
      </w:r>
      <w:r w:rsidRPr="00365C60">
        <w:rPr>
          <w:rFonts w:ascii="Garamond" w:hAnsi="Garamond"/>
          <w:sz w:val="24"/>
          <w:szCs w:val="24"/>
        </w:rPr>
        <w:t>, vykonávající činnost školy podle zákona č. 561/2004 Sb., o předškolním, základním, středním, vyšším odborném a jiném vzdělávání (školský zákon), ve znění pozdějších předpisů, a je tudíž správcem podle čl. 4 odst. 7 Nařízení a podle čl. 37 Nařízení je povinen jmenovat pověřence pro ochranu osobních údajů.</w:t>
      </w:r>
    </w:p>
    <w:p w14:paraId="5B174D55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Příkazník prohlašuje, že splňuje veškeré podmínky a požadavky podle této smlouvy, je dostatečně odborně způsobilý k plnění jejího předmětu, tj. je odborníkem ve smyslu § 2950 občanského zákoníku, pokud jde o předmět smlouvy, a je oprávněn ji uzavřít a řádně plnit závazky v ní obsažené a k okamžiku uzavření této smlouvy nebyl na jeho majetek prohlášen konkurs, nedošlo k jeho zamítnutí pro nedostatek majetku ani k zamítnutí insolvenčního návrhu proto, že jeho majetek nepostačoval k úhradě nákladů insolvenčního řízení, není v likvidaci a nemá daňové nedoplatky na území České republiky ani v zemi sídla nebo místa podnikání či bydliště.</w:t>
      </w:r>
    </w:p>
    <w:p w14:paraId="27FEA00E" w14:textId="293E936F" w:rsidR="00365C60" w:rsidRPr="00365C60" w:rsidRDefault="00365C60" w:rsidP="00365C60">
      <w:pPr>
        <w:pStyle w:val="01lneksmlouvy"/>
      </w:pPr>
      <w:r w:rsidRPr="00365C60">
        <w:lastRenderedPageBreak/>
        <w:t>Čl. 2</w:t>
      </w:r>
    </w:p>
    <w:p w14:paraId="6E4EFB52" w14:textId="77777777" w:rsidR="00365C60" w:rsidRPr="00365C60" w:rsidRDefault="00365C60" w:rsidP="00365C60">
      <w:pPr>
        <w:keepNext/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Předmět smlouvy</w:t>
      </w:r>
    </w:p>
    <w:p w14:paraId="670C6881" w14:textId="77777777" w:rsidR="00365C60" w:rsidRPr="00365C60" w:rsidRDefault="00365C60" w:rsidP="00365C60">
      <w:pPr>
        <w:pStyle w:val="Odstavecseseznamem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Předmětem této smlouvy je úplatný výkon funkce pověřence pro ochranu osobních údajů podle Nařízení a v souladu s dalšími souvisejícími právními předpisy.</w:t>
      </w:r>
    </w:p>
    <w:p w14:paraId="62121678" w14:textId="77777777" w:rsidR="00365C60" w:rsidRPr="00365C60" w:rsidRDefault="00365C60" w:rsidP="00365C60">
      <w:pPr>
        <w:pStyle w:val="Odstavecseseznamem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Příkazce se zavazuje platit příkazníkovi za řádně vykonanou činnosti podle předchozího odstavce odměnu podle čl. 5 této smlouvy a poskytovat mu potřebnou součinnost k plnění smlouvy.</w:t>
      </w:r>
    </w:p>
    <w:p w14:paraId="6AF4F23A" w14:textId="77777777" w:rsidR="00365C60" w:rsidRPr="00365C60" w:rsidRDefault="00365C60" w:rsidP="00365C60">
      <w:pPr>
        <w:pStyle w:val="01lneksmlouvy"/>
      </w:pPr>
      <w:r w:rsidRPr="00365C60">
        <w:t>Čl. 3</w:t>
      </w:r>
    </w:p>
    <w:p w14:paraId="51FD85D8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Rozsah a obsah předmětu plnění</w:t>
      </w:r>
    </w:p>
    <w:p w14:paraId="0604832B" w14:textId="77777777" w:rsidR="00365C60" w:rsidRPr="00365C60" w:rsidRDefault="00365C60" w:rsidP="00365C60">
      <w:pPr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Příkazník se zavazuje v rámci obstarání činností podle čl. 2 odst. 2.1 této smlouvy plnit zejména tyto úkoly, vyplývající z čl. 39 Nařízení:</w:t>
      </w:r>
    </w:p>
    <w:p w14:paraId="7628B7F9" w14:textId="77777777" w:rsidR="00365C60" w:rsidRPr="00365C60" w:rsidRDefault="00365C60" w:rsidP="00365C6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poskytování informací a poradenství příkazci a jeho zaměstnancům, kteří provádějí zpracování osobních údajů, o jejich povinnostech podle Nařízení a dalších předpisů v oblasti ochrany údajů;</w:t>
      </w:r>
    </w:p>
    <w:p w14:paraId="1326C3DF" w14:textId="77777777" w:rsidR="00365C60" w:rsidRPr="00365C60" w:rsidRDefault="00365C60" w:rsidP="00365C6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monitorování souladu s Nařízením, dalšími předpisy v oblasti ochrany údajů a s koncepcemi příkazce v oblasti ochrany osobních údajů, včetně rozdělení odpovědnosti, zvyšování povědomí a odborné přípravy zaměstnanců příkazce zapojených do operací zpracování a souvisejících auditů;</w:t>
      </w:r>
    </w:p>
    <w:p w14:paraId="5134F197" w14:textId="77777777" w:rsidR="00365C60" w:rsidRPr="00365C60" w:rsidRDefault="00365C60" w:rsidP="00365C6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poskytování poradenství příkazci na požádání, pokud jde o posouzení vlivu na ochranu osobních údajů, a monitorování jeho uplatňování podle článku 35 Nařízení;</w:t>
      </w:r>
    </w:p>
    <w:p w14:paraId="772514CE" w14:textId="77777777" w:rsidR="00365C60" w:rsidRPr="00365C60" w:rsidRDefault="00365C60" w:rsidP="00365C6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spolupráce s dozorovým úřadem;</w:t>
      </w:r>
    </w:p>
    <w:p w14:paraId="649C12B4" w14:textId="77777777" w:rsidR="00365C60" w:rsidRPr="00365C60" w:rsidRDefault="00365C60" w:rsidP="00365C6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působení jako kontaktní místo (osoba) pro dozorový úřad v záležitostech týkajících se zpracování, včetně předchozí konzultace podle článku 36 Nařízení, a případně vedení konzultací v jakékoli jiné věci a</w:t>
      </w:r>
    </w:p>
    <w:p w14:paraId="52866492" w14:textId="77777777" w:rsidR="00365C60" w:rsidRPr="00365C60" w:rsidRDefault="00365C60" w:rsidP="00365C60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působení jako kontaktní místo (osoba) pro subjekty údajů. Subjekty údajů se mohou obracet na pověřence pro ochranu osobních údajů ve všech záležitostech souvisejících se zpracováním jejich osobních údajů a výkonem jejich práv podle Nařízení.</w:t>
      </w:r>
    </w:p>
    <w:p w14:paraId="08CD256F" w14:textId="77777777" w:rsidR="00365C60" w:rsidRPr="00365C60" w:rsidRDefault="00365C60" w:rsidP="00365C60">
      <w:pPr>
        <w:pStyle w:val="01lneksmlouvy"/>
      </w:pPr>
      <w:r w:rsidRPr="00365C60">
        <w:t>Čl. 4</w:t>
      </w:r>
    </w:p>
    <w:p w14:paraId="4121D87C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Povinnosti příkazníka a příkazce</w:t>
      </w:r>
    </w:p>
    <w:p w14:paraId="4A7AD9A0" w14:textId="77777777" w:rsidR="00365C60" w:rsidRPr="00365C60" w:rsidRDefault="00365C60" w:rsidP="00365C60">
      <w:pPr>
        <w:pStyle w:val="Odstavecseseznamem"/>
        <w:numPr>
          <w:ilvl w:val="1"/>
          <w:numId w:val="5"/>
        </w:numPr>
        <w:spacing w:after="0" w:line="240" w:lineRule="auto"/>
        <w:ind w:left="357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Příkazník je při plnění této smlouvy povinen</w:t>
      </w:r>
    </w:p>
    <w:p w14:paraId="65FB9B06" w14:textId="77777777" w:rsidR="00365C60" w:rsidRPr="00365C60" w:rsidRDefault="00365C60" w:rsidP="00365C6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řídit se pokyny příkazce a postupovat v úzké součinnosti s ním,</w:t>
      </w:r>
    </w:p>
    <w:p w14:paraId="00773576" w14:textId="77777777" w:rsidR="00365C60" w:rsidRPr="00365C60" w:rsidRDefault="00365C60" w:rsidP="00365C6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postupovat s náležitou odbornou péčí a v souladu s příslušnými právními předpisy, touto smlouvou, dobrými mravy a zájmy příkazce, které zná nebo musí znát,</w:t>
      </w:r>
    </w:p>
    <w:p w14:paraId="784AA224" w14:textId="77777777" w:rsidR="00365C60" w:rsidRPr="00365C60" w:rsidRDefault="00365C60" w:rsidP="00365C6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oznámit příkazci všechny okolnosti, které zjistí při plnění příkazu nebo i mimo něj a jež mohou mít vliv na změnu pokynů příkazce v rámci plnění předmětu smlouvy,</w:t>
      </w:r>
    </w:p>
    <w:p w14:paraId="623B3AB6" w14:textId="77777777" w:rsidR="00365C60" w:rsidRPr="00365C60" w:rsidRDefault="00365C60" w:rsidP="00365C6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předat bez zbytečného odkladu příkazci podklady a věci, které za příkazce převzal při plnění příkazu podle této smlouvy,</w:t>
      </w:r>
    </w:p>
    <w:p w14:paraId="15483242" w14:textId="77777777" w:rsidR="00365C60" w:rsidRPr="00365C60" w:rsidRDefault="00365C60" w:rsidP="00365C6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průběžně, nejméně však dvakrát měsíčně, písemně informovat příkazce o plnění příkazu podle této smlouvy. Tím není dotčeno právo příkazce žádat po příkazníkovi poskytnutí písemných informací kdykoli v době trvání této smlouvy,</w:t>
      </w:r>
    </w:p>
    <w:p w14:paraId="0DBCD529" w14:textId="77777777" w:rsidR="00365C60" w:rsidRPr="00365C60" w:rsidRDefault="00365C60" w:rsidP="00365C60">
      <w:pPr>
        <w:pStyle w:val="Odstavecseseznamem"/>
        <w:numPr>
          <w:ilvl w:val="0"/>
          <w:numId w:val="7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umožnit příkazci nahlédnutí do veškerých dokladů týkajících se předmětu smlouvy za účelem kontroly plnění této smlouvy.</w:t>
      </w:r>
    </w:p>
    <w:p w14:paraId="204A4ECD" w14:textId="77777777" w:rsidR="00365C60" w:rsidRPr="00365C60" w:rsidRDefault="00365C60" w:rsidP="00365C60">
      <w:pPr>
        <w:pStyle w:val="Odstavecseseznamem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 xml:space="preserve">Příkazce se zavazuje </w:t>
      </w:r>
    </w:p>
    <w:p w14:paraId="5DBDDE32" w14:textId="77777777" w:rsidR="00365C60" w:rsidRPr="00365C60" w:rsidRDefault="00365C60" w:rsidP="00365C60">
      <w:pPr>
        <w:pStyle w:val="Odstavecseseznamem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umožnit příkazníkovi vstup do objektu svého sídla a nahlížet do svých dokumentů, dokladů atp., to vše v potřebném rozsahu pro řádné plnění příkazu,</w:t>
      </w:r>
    </w:p>
    <w:p w14:paraId="58020831" w14:textId="77777777" w:rsidR="00365C60" w:rsidRPr="00365C60" w:rsidRDefault="00365C60" w:rsidP="00365C60">
      <w:pPr>
        <w:pStyle w:val="Odstavecseseznamem"/>
        <w:numPr>
          <w:ilvl w:val="0"/>
          <w:numId w:val="6"/>
        </w:numPr>
        <w:spacing w:after="6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přizvat příkazníka ke všem rozhodujícím jednáním týkajícím se plnění předmětu této smlouvy, popř. jej bezodkladně informovat o obsahu takových jednání.</w:t>
      </w:r>
    </w:p>
    <w:p w14:paraId="61012C72" w14:textId="77777777" w:rsidR="00365C60" w:rsidRPr="00365C60" w:rsidRDefault="00365C60" w:rsidP="00365C60">
      <w:pPr>
        <w:pStyle w:val="Odstavecseseznamem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V případě, že dozorový úřad podle čl. 37 odst. 7 Nařízení uloží příkazci na základě pochybení příkazníka nápravné opatření, provede jej příkazník vlastním nákladem v souladu se zájmy příkazce.</w:t>
      </w:r>
    </w:p>
    <w:p w14:paraId="0512F9CB" w14:textId="77777777" w:rsidR="00365C60" w:rsidRPr="00365C60" w:rsidRDefault="00365C60" w:rsidP="00365C60">
      <w:pPr>
        <w:pStyle w:val="Odstavecseseznamem"/>
        <w:numPr>
          <w:ilvl w:val="1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lastRenderedPageBreak/>
        <w:t>Příkazník i příkazce se zavazují poskytovat si při plnění této smlouvy potřebnou součinnost.</w:t>
      </w:r>
    </w:p>
    <w:p w14:paraId="44059532" w14:textId="77777777" w:rsidR="00365C60" w:rsidRPr="00365C60" w:rsidRDefault="00365C60" w:rsidP="00365C60">
      <w:pPr>
        <w:pStyle w:val="Odstavecseseznamem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Bude-li pro plnění některých povinností příkazníka podle této smlouvy potřeba, aby příkazce udělil příkazníkovi plnou moc, sdělí to příkazník příkazci písemně s uvedením důvodů a návrhem znění takové plné moci. Příkazce bez zbytečného odkladu plnou moc příkazníkovi udělí, nebo mu sdělí důvody, proč není možné plnou moc udělit.</w:t>
      </w:r>
    </w:p>
    <w:p w14:paraId="25397EB3" w14:textId="77777777" w:rsidR="00365C60" w:rsidRPr="00365C60" w:rsidRDefault="00365C60" w:rsidP="00365C60">
      <w:pPr>
        <w:pStyle w:val="01lneksmlouvy"/>
      </w:pPr>
      <w:r w:rsidRPr="00365C60">
        <w:t>Čl. 5</w:t>
      </w:r>
    </w:p>
    <w:p w14:paraId="29BE6335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Odměna</w:t>
      </w:r>
    </w:p>
    <w:p w14:paraId="39503008" w14:textId="0957BC81" w:rsidR="00365C60" w:rsidRPr="00365C60" w:rsidRDefault="009D1F37" w:rsidP="00365C60">
      <w:pPr>
        <w:pStyle w:val="Odstavecseseznamem"/>
        <w:numPr>
          <w:ilvl w:val="1"/>
          <w:numId w:val="9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D1F37">
        <w:rPr>
          <w:rFonts w:ascii="Garamond" w:hAnsi="Garamond"/>
          <w:sz w:val="24"/>
          <w:szCs w:val="24"/>
        </w:rPr>
        <w:t xml:space="preserve">Smluvní strany sjednaly, že odměna za činnost pověřence je stanovena hodinová sazba pokrývající veškeré činnosti ve výši 500,00 Kč za hodinu bez DPH. Odměna bude vyplácena na základě skutečně vykázaných a Příkazcem potvrzených činností, která bude přílohou faktury. Předpoklad je 8 hodin činností za měsíc. Bude-li Příkazník vykonávat více než 8 hodin měsíčně, je povinen před provedením činnosti získat souhlas odpovědného zástupce Příkazce. </w:t>
      </w:r>
      <w:r w:rsidR="00365C60" w:rsidRPr="00365C60">
        <w:rPr>
          <w:rFonts w:ascii="Garamond" w:hAnsi="Garamond"/>
          <w:sz w:val="24"/>
          <w:szCs w:val="24"/>
        </w:rPr>
        <w:t>Odměna bude příkazníkovi hrazena měsíčně pozadu na základě jím vystaveného řádného daňového dokladu (faktury) se splatností 30 dnů od jeho doručení příkazci. Povinnost příkazce plnit řádně a včas je splněna okamžikem odepsání příslušné částky z jeho účtu ve prospěch účtu příkazníka.</w:t>
      </w:r>
    </w:p>
    <w:p w14:paraId="544F6F8F" w14:textId="77777777" w:rsidR="00365C60" w:rsidRPr="00365C60" w:rsidRDefault="00365C60" w:rsidP="00365C60">
      <w:pPr>
        <w:pStyle w:val="Odstavecseseznamem"/>
        <w:numPr>
          <w:ilvl w:val="1"/>
          <w:numId w:val="9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Faktura musí obsahovat veškeré náležitosti řádného daňového dokladu. Nebude-li faktura obsahovat náležitosti podle příslušného právního předpisu, popř. bude vystavena předčasně, je příkazce oprávněn vrátit ji ve lhůtě 15 dnů od jejího obdržení příkazníkovi s uvedením chybějících náležitostí anebo nesprávných údajů. Doručením doplněného či opraveného daňového dokladu začne běžet nová lhůta splatnosti.</w:t>
      </w:r>
    </w:p>
    <w:p w14:paraId="346EB515" w14:textId="0A1A3595" w:rsidR="00365C60" w:rsidRDefault="00A90ADE" w:rsidP="00365C60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90ADE">
        <w:rPr>
          <w:rFonts w:ascii="Garamond" w:hAnsi="Garamond"/>
          <w:sz w:val="24"/>
          <w:szCs w:val="24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7D4B8C17" w14:textId="78DC3903" w:rsidR="00E1154D" w:rsidRDefault="00E1154D" w:rsidP="00365C60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1154D">
        <w:rPr>
          <w:rFonts w:ascii="Garamond" w:hAnsi="Garamond"/>
          <w:sz w:val="24"/>
          <w:szCs w:val="24"/>
        </w:rPr>
        <w:t xml:space="preserve">Odměna zahrnuje všechny nutně a účelně vynaložené náklady vč. cestovného. Cestovní náhrady je Příkazník oprávněn vyúčtovat pouze v případě, že by byl povinen cestovat do jiných míst (např. z důvodu povinnosti komunikace pověřence s dozorovým úřadem, který je v </w:t>
      </w:r>
      <w:proofErr w:type="gramStart"/>
      <w:r w:rsidRPr="00E1154D">
        <w:rPr>
          <w:rFonts w:ascii="Garamond" w:hAnsi="Garamond"/>
          <w:sz w:val="24"/>
          <w:szCs w:val="24"/>
        </w:rPr>
        <w:t>Praze,</w:t>
      </w:r>
      <w:proofErr w:type="gramEnd"/>
      <w:r w:rsidRPr="00E1154D">
        <w:rPr>
          <w:rFonts w:ascii="Garamond" w:hAnsi="Garamond"/>
          <w:sz w:val="24"/>
          <w:szCs w:val="24"/>
        </w:rPr>
        <w:t xml:space="preserve"> apod.), nicméně takovéto náklady pověřenec nepředpokládá.</w:t>
      </w:r>
    </w:p>
    <w:p w14:paraId="5A158DA3" w14:textId="204DA5F3" w:rsidR="00BF2C3A" w:rsidRPr="00365C60" w:rsidRDefault="00BF2C3A" w:rsidP="00365C60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BF2C3A">
        <w:rPr>
          <w:rFonts w:ascii="Garamond" w:hAnsi="Garamond"/>
          <w:sz w:val="24"/>
          <w:szCs w:val="24"/>
        </w:rPr>
        <w:t>Příkazník je oprávněn vyúčtovat odměnu za činnost pověřence vždy zpětně za kalendářní rok, tj. vždy k 31. prosinci příslušného kalendářního roku, případně dle dohody smluvních stran</w:t>
      </w:r>
    </w:p>
    <w:p w14:paraId="1625BFA6" w14:textId="77777777" w:rsidR="00365C60" w:rsidRPr="00365C60" w:rsidRDefault="00365C60" w:rsidP="00365C60">
      <w:pPr>
        <w:pStyle w:val="01lneksmlouvy"/>
      </w:pPr>
      <w:r w:rsidRPr="00365C60">
        <w:t>Čl. 6</w:t>
      </w:r>
    </w:p>
    <w:p w14:paraId="4135EEB0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Doba trvání příkazu</w:t>
      </w:r>
    </w:p>
    <w:p w14:paraId="4D12B64B" w14:textId="77777777" w:rsidR="00365C60" w:rsidRPr="00365C60" w:rsidRDefault="00365C60" w:rsidP="00365C60">
      <w:pPr>
        <w:pStyle w:val="Odstavecseseznamem"/>
        <w:numPr>
          <w:ilvl w:val="1"/>
          <w:numId w:val="10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Příkazník zahájí svoji činnost podle této smlouvy ihned po nabytí její účinnosti.</w:t>
      </w:r>
    </w:p>
    <w:p w14:paraId="61E84BB6" w14:textId="77777777" w:rsidR="00365C60" w:rsidRPr="00365C60" w:rsidRDefault="00365C60" w:rsidP="00365C60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Závazek zřízený touto smlouvou se sjednává na dobu neurčitou, přičemž každá smluvní strana má možnost tuto smlouvu písemně vypovědět bez udání důvodu s jednoměsíční výpovědní dobou, která začíná běžet prvním dnem kalendářního měsíce následujícího po měsíci, ve kterém byla výpověď doručena druhé smluvní straně.</w:t>
      </w:r>
    </w:p>
    <w:p w14:paraId="27AD779C" w14:textId="77777777" w:rsidR="00365C60" w:rsidRPr="00365C60" w:rsidRDefault="00365C60" w:rsidP="00365C60">
      <w:pPr>
        <w:pStyle w:val="01lneksmlouvy"/>
      </w:pPr>
      <w:r w:rsidRPr="00365C60">
        <w:t>Čl. 7</w:t>
      </w:r>
    </w:p>
    <w:p w14:paraId="44D26421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Odpovědnost za škodu</w:t>
      </w:r>
    </w:p>
    <w:p w14:paraId="56581244" w14:textId="77777777" w:rsidR="00365C60" w:rsidRPr="00365C60" w:rsidRDefault="00365C60" w:rsidP="00365C60">
      <w:pPr>
        <w:pStyle w:val="Odstavecseseznamem"/>
        <w:numPr>
          <w:ilvl w:val="1"/>
          <w:numId w:val="11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Odpovědnost za škodu se řídí příslušnými ustanoveními občanského zákoníku, nestanoví-li smlouva jinak.</w:t>
      </w:r>
    </w:p>
    <w:p w14:paraId="0BC19119" w14:textId="77777777" w:rsidR="00365C60" w:rsidRPr="00365C60" w:rsidRDefault="00365C60" w:rsidP="00365C60">
      <w:pPr>
        <w:pStyle w:val="Odstavecseseznamem"/>
        <w:numPr>
          <w:ilvl w:val="1"/>
          <w:numId w:val="11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Příkazník odpovídá za škodu, která příkazci vznikne v důsledku vadného plnění, a to v plném rozsahu. Za škodu se považuje i újma, která příkazci vznikla tím, že musel vynaložit náklady v důsledku porušení povinností příkazníka.</w:t>
      </w:r>
    </w:p>
    <w:p w14:paraId="1BE8301F" w14:textId="77777777" w:rsidR="00365C60" w:rsidRPr="00365C60" w:rsidRDefault="00365C60" w:rsidP="00365C60">
      <w:pPr>
        <w:pStyle w:val="Odstavecseseznamem"/>
        <w:numPr>
          <w:ilvl w:val="1"/>
          <w:numId w:val="11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 xml:space="preserve">V případě udělení majetkové sankce dozorovým úřadem podle čl. 51 Nařízení příkazci jde tato sankce v plné výši k tíži příkazníka, pokud k udělení sankce došlo v přímé souvislosti s porušením </w:t>
      </w:r>
      <w:r w:rsidRPr="00365C60">
        <w:rPr>
          <w:rFonts w:ascii="Garamond" w:hAnsi="Garamond"/>
          <w:sz w:val="24"/>
          <w:szCs w:val="24"/>
        </w:rPr>
        <w:lastRenderedPageBreak/>
        <w:t>povinnosti příkazníka stanovené touto smlouvou nebo obecně závaznými právními předpisy. Totéž platí i v případě udělení sankce jiným orgánem veřejné moci či soudem.</w:t>
      </w:r>
    </w:p>
    <w:p w14:paraId="358AC60A" w14:textId="77777777" w:rsidR="00365C60" w:rsidRPr="00365C60" w:rsidRDefault="00365C60" w:rsidP="00365C60">
      <w:pPr>
        <w:pStyle w:val="01lneksmlouvy"/>
      </w:pPr>
      <w:r w:rsidRPr="00365C60">
        <w:t>Čl. 8</w:t>
      </w:r>
    </w:p>
    <w:p w14:paraId="27DC50FD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Povinnost mlčenlivosti</w:t>
      </w:r>
    </w:p>
    <w:p w14:paraId="4A1BCE34" w14:textId="77777777" w:rsidR="00365C60" w:rsidRPr="00365C60" w:rsidRDefault="00365C60" w:rsidP="00365C60">
      <w:pPr>
        <w:pStyle w:val="Odstavecseseznamem"/>
        <w:numPr>
          <w:ilvl w:val="1"/>
          <w:numId w:val="12"/>
        </w:numPr>
        <w:spacing w:after="6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 xml:space="preserve">Příkazník se zavazuje zachovávat mlčenlivost o informacích, osobních údajích a bezpečnostních opatřeních, které se dozví v souvislosti s plněním předmětu smlouvy nebo které jsou obsahem předmětu smlouvy. Povinnost mlčenlivosti trvá i po skončení účinnosti této smlouvy, jakož i poté, co dojde k odstoupení od ní. </w:t>
      </w:r>
    </w:p>
    <w:p w14:paraId="27C287FE" w14:textId="77777777" w:rsidR="00365C60" w:rsidRPr="00365C60" w:rsidRDefault="00365C60" w:rsidP="00365C60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V případě porušení povinnosti mlčenlivosti je příkazník povinen zaplatit příkazci smluvní pokutu ve výši 50 000 Kč za každé jednotlivé porušení povinnosti; čl. 9 odst. 9.3 až 9.7 se v tomto případě použijí obdobně.</w:t>
      </w:r>
    </w:p>
    <w:p w14:paraId="6CE7F2B6" w14:textId="77777777" w:rsidR="00365C60" w:rsidRPr="00365C60" w:rsidRDefault="00365C60" w:rsidP="00365C60">
      <w:pPr>
        <w:pStyle w:val="01lneksmlouvy"/>
      </w:pPr>
      <w:r w:rsidRPr="00365C60">
        <w:t>Čl. 9</w:t>
      </w:r>
    </w:p>
    <w:p w14:paraId="19572F59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Licenční a autorská ujednání</w:t>
      </w:r>
    </w:p>
    <w:p w14:paraId="40C02D4B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>Pokud příkazník v rámci plnění této smlouvy vytvoří dílo, které bude dílem podléhajícím ochraně podle zákona č. 121/2000 Sb., o právu autorském, o právech souvisejících s právem autorským a o změně některých zákonů (autorský zákon), ve znění pozdějších předpisů, a občanského zákoníku, uděluje příkazník příkazci výhradní oprávnění k výkonu práva dílo užít (licenci), a to za podmínek uvedených dále.</w:t>
      </w:r>
    </w:p>
    <w:p w14:paraId="2796666C" w14:textId="7C2CB16A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>Licence se poskytuje jako (a) výhradní, (b) ke všem v současnosti známým způsobům užití díla, (c) na dobu trvání majetkových autorských práv k dílu, (d) pro území celého světa, (e) bez množstevního omezení rozsah</w:t>
      </w:r>
      <w:r w:rsidR="00767EF6">
        <w:rPr>
          <w:rFonts w:ascii="Garamond" w:hAnsi="Garamond"/>
          <w:szCs w:val="24"/>
        </w:rPr>
        <w:t>u</w:t>
      </w:r>
      <w:r w:rsidRPr="00365C60">
        <w:rPr>
          <w:rFonts w:ascii="Garamond" w:hAnsi="Garamond"/>
          <w:szCs w:val="24"/>
        </w:rPr>
        <w:t xml:space="preserve"> licence, (f) neodvolatelná.  </w:t>
      </w:r>
    </w:p>
    <w:p w14:paraId="4FE3FE59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>Příkazce je oprávněn poskytnout veškerá práva k vytvořenému dílu třetí osobě i bez souhlasu příkazníka s tím, že příkazník s tímto poskytnutím práv souhlasí. Příkazce je dále oprávněn licenci podle tohoto článku postoupit třetí osobě zcela nebo zčásti, k čemuž příkazník uděluje příkazci souhlas; smluvní strany se dohodly, že příkazce není v případě postoupení licence či její části podle tohoto odstavce ve smyslu § 2364 odst. 2 občanského zákoníku povinen příkazníkovi sdělovat, že licenci postoupil.</w:t>
      </w:r>
    </w:p>
    <w:p w14:paraId="78A17040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 xml:space="preserve">Příkazce není povinen licenci využít. </w:t>
      </w:r>
    </w:p>
    <w:p w14:paraId="645C31DF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>Práva a povinnosti příkazce podle této smlouvy přecházejí na jeho právního nástupce.</w:t>
      </w:r>
    </w:p>
    <w:p w14:paraId="3FF22422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>Na poskytnutí licence se nebude aplikovat ustanovení § 2378 občanského zákoníku.</w:t>
      </w:r>
    </w:p>
    <w:p w14:paraId="47610A50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6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 xml:space="preserve">Příkazník tímto uděluje příkazci neomezený souhlas se zveřejněním díla, s jakýmikoli úpravami a změnami díla, jakožto i s jakýmkoliv jeho tvůrčím zpracováním, s jeho spojením s jinými díly, jeho užitím k vytvoření jiného díla a jeho zařazením do díla souborného, a to vše i třetí osobou. </w:t>
      </w:r>
    </w:p>
    <w:p w14:paraId="70D5705B" w14:textId="77777777" w:rsidR="00365C60" w:rsidRPr="00365C60" w:rsidRDefault="00365C60" w:rsidP="00365C60">
      <w:pPr>
        <w:pStyle w:val="Bezmezer"/>
        <w:numPr>
          <w:ilvl w:val="1"/>
          <w:numId w:val="13"/>
        </w:numPr>
        <w:spacing w:after="120"/>
        <w:jc w:val="both"/>
        <w:rPr>
          <w:rFonts w:ascii="Garamond" w:hAnsi="Garamond"/>
          <w:szCs w:val="24"/>
        </w:rPr>
      </w:pPr>
      <w:r w:rsidRPr="00365C60">
        <w:rPr>
          <w:rFonts w:ascii="Garamond" w:hAnsi="Garamond"/>
          <w:szCs w:val="24"/>
        </w:rPr>
        <w:t>Odměna za poskytnutí a užití licence podle tohoto článku je v plném rozsahu zahrnuta v ceně podle čl. 5 této smlouvy.</w:t>
      </w:r>
    </w:p>
    <w:p w14:paraId="47445655" w14:textId="77777777" w:rsidR="00365C60" w:rsidRPr="00365C60" w:rsidRDefault="00365C60" w:rsidP="00365C60">
      <w:pPr>
        <w:pStyle w:val="01lneksmlouvy"/>
      </w:pPr>
      <w:r w:rsidRPr="00365C60">
        <w:t>Čl. 10</w:t>
      </w:r>
    </w:p>
    <w:p w14:paraId="23B0DDB6" w14:textId="77777777" w:rsidR="00365C60" w:rsidRPr="00365C60" w:rsidRDefault="00365C60" w:rsidP="00365C60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65C60">
        <w:rPr>
          <w:rFonts w:ascii="Garamond" w:hAnsi="Garamond"/>
          <w:b/>
          <w:sz w:val="24"/>
          <w:szCs w:val="24"/>
        </w:rPr>
        <w:t>Závěrečná ustanovení</w:t>
      </w:r>
    </w:p>
    <w:p w14:paraId="533658FF" w14:textId="77777777" w:rsidR="00365C60" w:rsidRPr="00365C60" w:rsidRDefault="00365C60" w:rsidP="00365C60">
      <w:pPr>
        <w:pStyle w:val="Zkladntext"/>
        <w:numPr>
          <w:ilvl w:val="1"/>
          <w:numId w:val="14"/>
        </w:numPr>
        <w:spacing w:after="60"/>
        <w:ind w:left="426"/>
        <w:jc w:val="both"/>
        <w:rPr>
          <w:rFonts w:ascii="Garamond" w:hAnsi="Garamond"/>
        </w:rPr>
      </w:pPr>
      <w:r w:rsidRPr="00365C60">
        <w:rPr>
          <w:rFonts w:ascii="Garamond" w:hAnsi="Garamond"/>
        </w:rPr>
        <w:t>Tato smlouva nabývá platnosti dnem podpisu oprávněnými zástupci obou smluvních stran a účinnosti dnem jejího uveřejnění prostřednictvím registru smluv podle zákona č. 340/2015 Sb., o zvláštních podmínkách účinnosti některých smluv, uveřejňování těchto smluv a o registru smluv (zákon o registru smluv), ve znění pozdějších předpisů. Smluvní strany se dohodly, že smlouvu uveřejní podle předchozí věty příkazce bez zbytečného odkladu, nejpozději do 15 dnů od uzavření smlouvy.</w:t>
      </w:r>
    </w:p>
    <w:p w14:paraId="67010C38" w14:textId="77777777" w:rsidR="00365C60" w:rsidRPr="00365C60" w:rsidRDefault="00365C60" w:rsidP="00365C60">
      <w:pPr>
        <w:pStyle w:val="Zkladntext"/>
        <w:keepLines/>
        <w:numPr>
          <w:ilvl w:val="1"/>
          <w:numId w:val="14"/>
        </w:numPr>
        <w:spacing w:after="60"/>
        <w:ind w:left="426"/>
        <w:jc w:val="both"/>
        <w:rPr>
          <w:rFonts w:ascii="Garamond" w:hAnsi="Garamond"/>
        </w:rPr>
      </w:pPr>
      <w:r w:rsidRPr="00365C60">
        <w:rPr>
          <w:rFonts w:ascii="Garamond" w:hAnsi="Garamond"/>
        </w:rPr>
        <w:t>Příkazník prohlašuje, že veškeré údaje a skutečnosti obsažené v této smlouvě nepovažuje za obchodní tajemství podle § 504 občanského zákoníku a uděluje svůj souhlas k jejich užití a zveřejnění bez jakýchkoliv omezení.</w:t>
      </w:r>
    </w:p>
    <w:p w14:paraId="2E3EBB87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lastRenderedPageBreak/>
        <w:t>Příkazník dále prohlašuje, že se seznámil se všemi podklady k Veřejné zakázce, s rozsahem a povahou předmětu plnění podle této smlouvy, že mu jsou známy veškeré technické, kvalitativní a jiné podmínky nezbytné pro realizaci předmětu této smlouvy, že disponuje takovými kapacitami a odbornými znalostmi, aby předmět plnění podle této smlouvy provedl řádně, za dohodnutou a za podmínek sjednaných v této smlouvě.</w:t>
      </w:r>
    </w:p>
    <w:p w14:paraId="37ACF532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t xml:space="preserve">Příkazník bere na vědomí, že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plněním této smlouvy. </w:t>
      </w:r>
    </w:p>
    <w:p w14:paraId="01476020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t>V případě neplatnosti některého ustanovení této smlouvy, nebo v případě, že se některé ustanovení této smlouvy stane neplatným později, nemá tato skutečnost vliv na platnost této smlouvy a smluvní strany se zavazují, že budou jednat o změně takového ustanovení formou dodatku ke smlouvě tak, aby znění této smlouvy bylo v souladu s platnými právními předpisy.</w:t>
      </w:r>
    </w:p>
    <w:p w14:paraId="2A3F60C0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t>Právní vztahy smluvních stran se řídí právními předpisy platnými na území České republiky, zejména občanským zákoníkem.</w:t>
      </w:r>
    </w:p>
    <w:p w14:paraId="5C6F7746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t xml:space="preserve">Tato smlouva může být měněna a doplňována pouze formou písemných dodatků podepsaných oběma smluvními stranami. </w:t>
      </w:r>
    </w:p>
    <w:p w14:paraId="3B3F8F62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t>Tato smlouva je vyhotovena ve dvou stejnopisech s platností originálu, z nichž každá ze smluvních stran obdrží po jednom.</w:t>
      </w:r>
    </w:p>
    <w:p w14:paraId="106C87C2" w14:textId="77777777" w:rsidR="00365C60" w:rsidRPr="00365C60" w:rsidRDefault="00365C60" w:rsidP="00365C60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ind w:left="42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65C60">
        <w:rPr>
          <w:rFonts w:ascii="Garamond" w:hAnsi="Garamond"/>
          <w:bCs/>
          <w:sz w:val="24"/>
          <w:szCs w:val="24"/>
        </w:rPr>
        <w:t>Smluvní strany po přečtení této smlouvy prohlašují, že souhlasí s jejím obsahem, že byla sepsána vážně, určitě, srozumitelně a na základě jejich pravé a svobodné vůle, na důkaz čehož připojují své podpisy.</w:t>
      </w:r>
    </w:p>
    <w:p w14:paraId="2EA0D932" w14:textId="77777777" w:rsidR="00365C60" w:rsidRPr="00365C60" w:rsidRDefault="00365C60" w:rsidP="00365C60">
      <w:pPr>
        <w:pStyle w:val="muj"/>
        <w:overflowPunct/>
        <w:autoSpaceDE/>
        <w:spacing w:after="240"/>
        <w:ind w:left="420"/>
        <w:textAlignment w:val="auto"/>
        <w:rPr>
          <w:rFonts w:ascii="Garamond" w:hAnsi="Garamond"/>
          <w:bCs/>
          <w:szCs w:val="24"/>
        </w:rPr>
      </w:pPr>
    </w:p>
    <w:p w14:paraId="6BB92416" w14:textId="77777777" w:rsidR="00365C60" w:rsidRPr="00365C60" w:rsidRDefault="00365C60" w:rsidP="00365C60">
      <w:pPr>
        <w:tabs>
          <w:tab w:val="left" w:pos="2145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Za příkazce:</w:t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  <w:t>Za příkazníka:</w:t>
      </w:r>
    </w:p>
    <w:p w14:paraId="767666BE" w14:textId="4B129A6E" w:rsidR="00365C60" w:rsidRPr="00365C60" w:rsidRDefault="00365C60" w:rsidP="00365C60">
      <w:pPr>
        <w:tabs>
          <w:tab w:val="left" w:pos="2145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V </w:t>
      </w:r>
      <w:r>
        <w:rPr>
          <w:rFonts w:ascii="Garamond" w:hAnsi="Garamond"/>
          <w:sz w:val="24"/>
          <w:szCs w:val="24"/>
        </w:rPr>
        <w:t>Dobříši</w:t>
      </w:r>
      <w:r w:rsidRPr="00365C60">
        <w:rPr>
          <w:rFonts w:ascii="Garamond" w:hAnsi="Garamond"/>
          <w:sz w:val="24"/>
          <w:szCs w:val="24"/>
        </w:rPr>
        <w:t xml:space="preserve"> dne</w:t>
      </w:r>
      <w:r w:rsidR="00451D29">
        <w:rPr>
          <w:rFonts w:ascii="Garamond" w:hAnsi="Garamond"/>
          <w:sz w:val="24"/>
          <w:szCs w:val="24"/>
        </w:rPr>
        <w:t xml:space="preserve"> 1.1.2024</w:t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  <w:t xml:space="preserve">V Brně </w:t>
      </w:r>
      <w:proofErr w:type="gramStart"/>
      <w:r w:rsidRPr="00365C60">
        <w:rPr>
          <w:rFonts w:ascii="Garamond" w:hAnsi="Garamond"/>
          <w:sz w:val="24"/>
          <w:szCs w:val="24"/>
        </w:rPr>
        <w:t>dne</w:t>
      </w:r>
      <w:r w:rsidR="00451D29">
        <w:rPr>
          <w:rFonts w:ascii="Garamond" w:hAnsi="Garamond"/>
          <w:sz w:val="24"/>
          <w:szCs w:val="24"/>
        </w:rPr>
        <w:t xml:space="preserve">  5.1.2024</w:t>
      </w:r>
      <w:proofErr w:type="gramEnd"/>
    </w:p>
    <w:p w14:paraId="37507C5D" w14:textId="77777777" w:rsidR="00365C60" w:rsidRPr="00365C60" w:rsidRDefault="00365C60" w:rsidP="00365C60">
      <w:pPr>
        <w:tabs>
          <w:tab w:val="left" w:pos="2145"/>
        </w:tabs>
        <w:spacing w:after="120"/>
        <w:jc w:val="both"/>
        <w:rPr>
          <w:rFonts w:ascii="Garamond" w:hAnsi="Garamond"/>
          <w:sz w:val="24"/>
          <w:szCs w:val="24"/>
        </w:rPr>
      </w:pPr>
    </w:p>
    <w:p w14:paraId="25BFC0A5" w14:textId="77777777" w:rsidR="00365C60" w:rsidRPr="00365C60" w:rsidRDefault="00365C60" w:rsidP="00365C60">
      <w:pPr>
        <w:tabs>
          <w:tab w:val="left" w:pos="2145"/>
        </w:tabs>
        <w:spacing w:after="120"/>
        <w:jc w:val="both"/>
        <w:rPr>
          <w:rFonts w:ascii="Garamond" w:hAnsi="Garamond"/>
          <w:sz w:val="24"/>
          <w:szCs w:val="24"/>
        </w:rPr>
      </w:pPr>
    </w:p>
    <w:p w14:paraId="484E5102" w14:textId="77777777" w:rsidR="00365C60" w:rsidRPr="00365C60" w:rsidRDefault="00365C60" w:rsidP="00365C60">
      <w:pPr>
        <w:tabs>
          <w:tab w:val="left" w:pos="2145"/>
        </w:tabs>
        <w:spacing w:after="120"/>
        <w:jc w:val="both"/>
        <w:rPr>
          <w:rFonts w:ascii="Garamond" w:hAnsi="Garamond"/>
          <w:sz w:val="24"/>
          <w:szCs w:val="24"/>
        </w:rPr>
      </w:pPr>
      <w:r w:rsidRPr="00365C60">
        <w:rPr>
          <w:rFonts w:ascii="Garamond" w:hAnsi="Garamond"/>
          <w:sz w:val="24"/>
          <w:szCs w:val="24"/>
        </w:rPr>
        <w:t>…………………………….</w:t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</w:r>
      <w:r w:rsidRPr="00365C60">
        <w:rPr>
          <w:rFonts w:ascii="Garamond" w:hAnsi="Garamond"/>
          <w:sz w:val="24"/>
          <w:szCs w:val="24"/>
        </w:rPr>
        <w:tab/>
        <w:t>…………………………………</w:t>
      </w:r>
    </w:p>
    <w:p w14:paraId="7F86961C" w14:textId="7E255E4A" w:rsidR="00365C60" w:rsidRPr="00365C60" w:rsidRDefault="003459CF" w:rsidP="00365C60">
      <w:pPr>
        <w:tabs>
          <w:tab w:val="left" w:pos="2145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 Voděra</w:t>
      </w:r>
      <w:r w:rsidR="00365C60" w:rsidRPr="00365C60">
        <w:rPr>
          <w:rFonts w:ascii="Garamond" w:hAnsi="Garamond"/>
          <w:sz w:val="24"/>
          <w:szCs w:val="24"/>
        </w:rPr>
        <w:tab/>
      </w:r>
      <w:r w:rsidR="00365C60" w:rsidRPr="00365C60">
        <w:rPr>
          <w:rFonts w:ascii="Garamond" w:hAnsi="Garamond"/>
          <w:sz w:val="24"/>
          <w:szCs w:val="24"/>
        </w:rPr>
        <w:tab/>
      </w:r>
      <w:r w:rsidR="00365C60" w:rsidRPr="00365C60">
        <w:rPr>
          <w:rFonts w:ascii="Garamond" w:hAnsi="Garamond"/>
          <w:sz w:val="24"/>
          <w:szCs w:val="24"/>
        </w:rPr>
        <w:tab/>
      </w:r>
      <w:r w:rsidR="00365C60" w:rsidRPr="00365C60">
        <w:rPr>
          <w:rFonts w:ascii="Garamond" w:hAnsi="Garamond"/>
          <w:sz w:val="24"/>
          <w:szCs w:val="24"/>
        </w:rPr>
        <w:tab/>
        <w:t xml:space="preserve">              </w:t>
      </w:r>
      <w:bookmarkStart w:id="3" w:name="_Hlk514107314"/>
      <w:bookmarkStart w:id="4" w:name="_Hlk514109443"/>
      <w:r w:rsidR="00365C60" w:rsidRPr="00365C60">
        <w:rPr>
          <w:rStyle w:val="platne1"/>
          <w:rFonts w:ascii="Garamond" w:hAnsi="Garamond"/>
          <w:sz w:val="24"/>
          <w:szCs w:val="24"/>
        </w:rPr>
        <w:t>Mgr. Hynek Růžička, LL.M.</w:t>
      </w:r>
      <w:bookmarkEnd w:id="3"/>
      <w:r w:rsidR="00365C60" w:rsidRPr="00365C60">
        <w:rPr>
          <w:rStyle w:val="platne1"/>
          <w:rFonts w:ascii="Garamond" w:hAnsi="Garamond"/>
          <w:sz w:val="24"/>
          <w:szCs w:val="24"/>
        </w:rPr>
        <w:t xml:space="preserve"> </w:t>
      </w:r>
      <w:bookmarkEnd w:id="4"/>
    </w:p>
    <w:p w14:paraId="6939AEF3" w14:textId="77777777" w:rsidR="00365C60" w:rsidRPr="00365C60" w:rsidRDefault="00365C60" w:rsidP="00365C60">
      <w:pPr>
        <w:rPr>
          <w:rFonts w:ascii="Garamond" w:hAnsi="Garamond"/>
        </w:rPr>
      </w:pPr>
    </w:p>
    <w:p w14:paraId="0604BCC4" w14:textId="29FD8FA6" w:rsidR="00A3515F" w:rsidRPr="00365C60" w:rsidRDefault="00A3515F" w:rsidP="00A3515F">
      <w:pPr>
        <w:rPr>
          <w:rFonts w:ascii="Garamond" w:hAnsi="Garamond"/>
        </w:rPr>
      </w:pPr>
    </w:p>
    <w:p w14:paraId="7F7C92EA" w14:textId="691D2360" w:rsidR="003766C4" w:rsidRPr="00365C60" w:rsidRDefault="003766C4" w:rsidP="00A3515F">
      <w:pPr>
        <w:rPr>
          <w:rFonts w:ascii="Garamond" w:hAnsi="Garamond"/>
        </w:rPr>
      </w:pPr>
    </w:p>
    <w:p w14:paraId="1DE30A32" w14:textId="2A0ADE5B" w:rsidR="003766C4" w:rsidRPr="00365C60" w:rsidRDefault="003766C4" w:rsidP="00A3515F">
      <w:pPr>
        <w:rPr>
          <w:rFonts w:ascii="Garamond" w:hAnsi="Garamond"/>
        </w:rPr>
      </w:pPr>
    </w:p>
    <w:p w14:paraId="7E0119C1" w14:textId="0B45F302" w:rsidR="003766C4" w:rsidRPr="00365C60" w:rsidRDefault="003766C4" w:rsidP="00A3515F">
      <w:pPr>
        <w:rPr>
          <w:rFonts w:ascii="Garamond" w:hAnsi="Garamond"/>
        </w:rPr>
      </w:pPr>
    </w:p>
    <w:p w14:paraId="15884ACD" w14:textId="28AA615B" w:rsidR="003766C4" w:rsidRPr="00365C60" w:rsidRDefault="003766C4" w:rsidP="00A3515F">
      <w:pPr>
        <w:rPr>
          <w:rFonts w:ascii="Garamond" w:hAnsi="Garamond"/>
        </w:rPr>
      </w:pPr>
    </w:p>
    <w:p w14:paraId="2B65B375" w14:textId="77A24958" w:rsidR="003766C4" w:rsidRPr="00365C60" w:rsidRDefault="003766C4" w:rsidP="00A3515F">
      <w:pPr>
        <w:rPr>
          <w:rFonts w:ascii="Garamond" w:hAnsi="Garamond"/>
        </w:rPr>
      </w:pPr>
    </w:p>
    <w:p w14:paraId="27E4BDDD" w14:textId="0D549BBC" w:rsidR="003766C4" w:rsidRPr="00365C60" w:rsidRDefault="003766C4" w:rsidP="00A3515F">
      <w:pPr>
        <w:rPr>
          <w:rFonts w:ascii="Garamond" w:hAnsi="Garamond"/>
        </w:rPr>
      </w:pPr>
    </w:p>
    <w:p w14:paraId="01E7239D" w14:textId="1B4DE6E0" w:rsidR="003766C4" w:rsidRPr="00365C60" w:rsidRDefault="003766C4" w:rsidP="00A3515F">
      <w:pPr>
        <w:rPr>
          <w:rFonts w:ascii="Garamond" w:hAnsi="Garamond"/>
        </w:rPr>
      </w:pPr>
    </w:p>
    <w:p w14:paraId="169ED2A2" w14:textId="66033E42" w:rsidR="003766C4" w:rsidRPr="00365C60" w:rsidRDefault="003766C4" w:rsidP="00A3515F">
      <w:pPr>
        <w:rPr>
          <w:rFonts w:ascii="Garamond" w:hAnsi="Garamond"/>
        </w:rPr>
      </w:pPr>
    </w:p>
    <w:p w14:paraId="257846AA" w14:textId="123BB5B0" w:rsidR="003766C4" w:rsidRPr="00365C60" w:rsidRDefault="003766C4" w:rsidP="00A3515F">
      <w:pPr>
        <w:rPr>
          <w:rFonts w:ascii="Garamond" w:hAnsi="Garamond"/>
        </w:rPr>
      </w:pPr>
    </w:p>
    <w:p w14:paraId="17B5D0D2" w14:textId="3518BE63" w:rsidR="003766C4" w:rsidRPr="00365C60" w:rsidRDefault="003766C4" w:rsidP="00A3515F">
      <w:pPr>
        <w:rPr>
          <w:rFonts w:ascii="Garamond" w:hAnsi="Garamond"/>
        </w:rPr>
      </w:pPr>
    </w:p>
    <w:p w14:paraId="114CBB5A" w14:textId="47BC27F0" w:rsidR="003766C4" w:rsidRPr="00365C60" w:rsidRDefault="003766C4" w:rsidP="00A3515F">
      <w:pPr>
        <w:rPr>
          <w:rFonts w:ascii="Garamond" w:hAnsi="Garamond"/>
        </w:rPr>
      </w:pPr>
    </w:p>
    <w:p w14:paraId="1854FD87" w14:textId="0F8EE7A2" w:rsidR="003766C4" w:rsidRPr="00365C60" w:rsidRDefault="003766C4" w:rsidP="00A3515F">
      <w:pPr>
        <w:rPr>
          <w:rFonts w:ascii="Garamond" w:hAnsi="Garamond"/>
        </w:rPr>
      </w:pPr>
    </w:p>
    <w:p w14:paraId="7858DF2E" w14:textId="0476E3CC" w:rsidR="003766C4" w:rsidRPr="00365C60" w:rsidRDefault="003766C4" w:rsidP="00A3515F">
      <w:pPr>
        <w:rPr>
          <w:rFonts w:ascii="Garamond" w:hAnsi="Garamond"/>
        </w:rPr>
      </w:pPr>
    </w:p>
    <w:p w14:paraId="600DB4CA" w14:textId="08DDA59E" w:rsidR="003766C4" w:rsidRPr="00365C60" w:rsidRDefault="003766C4" w:rsidP="00A3515F">
      <w:pPr>
        <w:rPr>
          <w:rFonts w:ascii="Garamond" w:hAnsi="Garamond"/>
        </w:rPr>
      </w:pPr>
    </w:p>
    <w:p w14:paraId="3A275805" w14:textId="12688572" w:rsidR="003766C4" w:rsidRPr="00365C60" w:rsidRDefault="003766C4" w:rsidP="00A3515F">
      <w:pPr>
        <w:rPr>
          <w:rFonts w:ascii="Garamond" w:hAnsi="Garamond"/>
        </w:rPr>
      </w:pPr>
    </w:p>
    <w:p w14:paraId="4ED420C8" w14:textId="3AFA859A" w:rsidR="003766C4" w:rsidRPr="00365C60" w:rsidRDefault="003766C4" w:rsidP="00A3515F">
      <w:pPr>
        <w:rPr>
          <w:rFonts w:ascii="Garamond" w:hAnsi="Garamond"/>
        </w:rPr>
      </w:pPr>
    </w:p>
    <w:p w14:paraId="37E442D5" w14:textId="4AE4AFB5" w:rsidR="003766C4" w:rsidRPr="00365C60" w:rsidRDefault="003766C4" w:rsidP="00A3515F">
      <w:pPr>
        <w:rPr>
          <w:rFonts w:ascii="Garamond" w:hAnsi="Garamond"/>
        </w:rPr>
      </w:pPr>
    </w:p>
    <w:p w14:paraId="423593C9" w14:textId="1C73687A" w:rsidR="003766C4" w:rsidRPr="00365C60" w:rsidRDefault="003766C4" w:rsidP="00A3515F">
      <w:pPr>
        <w:rPr>
          <w:rFonts w:ascii="Garamond" w:hAnsi="Garamond"/>
        </w:rPr>
      </w:pPr>
    </w:p>
    <w:p w14:paraId="127BDDB9" w14:textId="34F5CE09" w:rsidR="003766C4" w:rsidRPr="00365C60" w:rsidRDefault="003766C4" w:rsidP="00A3515F">
      <w:pPr>
        <w:rPr>
          <w:rFonts w:ascii="Garamond" w:hAnsi="Garamond"/>
        </w:rPr>
      </w:pPr>
    </w:p>
    <w:p w14:paraId="54EE0237" w14:textId="49D7D4BE" w:rsidR="003766C4" w:rsidRPr="00365C60" w:rsidRDefault="003766C4" w:rsidP="00A3515F">
      <w:pPr>
        <w:rPr>
          <w:rFonts w:ascii="Garamond" w:hAnsi="Garamond"/>
        </w:rPr>
      </w:pPr>
    </w:p>
    <w:p w14:paraId="780951EA" w14:textId="1898767F" w:rsidR="003766C4" w:rsidRPr="00365C60" w:rsidRDefault="003766C4" w:rsidP="00A3515F">
      <w:pPr>
        <w:rPr>
          <w:rFonts w:ascii="Garamond" w:hAnsi="Garamond"/>
        </w:rPr>
      </w:pPr>
    </w:p>
    <w:p w14:paraId="2C069C9C" w14:textId="14B2E889" w:rsidR="003766C4" w:rsidRPr="00365C60" w:rsidRDefault="003766C4" w:rsidP="00A3515F">
      <w:pPr>
        <w:rPr>
          <w:rFonts w:ascii="Garamond" w:hAnsi="Garamond"/>
        </w:rPr>
      </w:pPr>
    </w:p>
    <w:p w14:paraId="2E8F9DC5" w14:textId="56A46BC7" w:rsidR="003766C4" w:rsidRPr="00365C60" w:rsidRDefault="003766C4" w:rsidP="00A3515F">
      <w:pPr>
        <w:rPr>
          <w:rFonts w:ascii="Garamond" w:hAnsi="Garamond"/>
        </w:rPr>
      </w:pPr>
    </w:p>
    <w:p w14:paraId="7CC789A1" w14:textId="0DF7EB9D" w:rsidR="003766C4" w:rsidRPr="00365C60" w:rsidRDefault="003766C4" w:rsidP="00A3515F">
      <w:pPr>
        <w:rPr>
          <w:rFonts w:ascii="Garamond" w:hAnsi="Garamond"/>
        </w:rPr>
      </w:pPr>
    </w:p>
    <w:p w14:paraId="7B169EE7" w14:textId="2DDAFEF4" w:rsidR="003766C4" w:rsidRPr="00365C60" w:rsidRDefault="003766C4" w:rsidP="00A3515F">
      <w:pPr>
        <w:rPr>
          <w:rFonts w:ascii="Garamond" w:hAnsi="Garamond"/>
        </w:rPr>
      </w:pPr>
    </w:p>
    <w:p w14:paraId="45739402" w14:textId="7E01E17F" w:rsidR="003766C4" w:rsidRPr="00365C60" w:rsidRDefault="003766C4" w:rsidP="00A3515F">
      <w:pPr>
        <w:rPr>
          <w:rFonts w:ascii="Garamond" w:hAnsi="Garamond"/>
        </w:rPr>
      </w:pPr>
    </w:p>
    <w:p w14:paraId="2934BDFF" w14:textId="6769B906" w:rsidR="003766C4" w:rsidRPr="00365C60" w:rsidRDefault="003766C4" w:rsidP="00A3515F">
      <w:pPr>
        <w:rPr>
          <w:rFonts w:ascii="Garamond" w:hAnsi="Garamond"/>
        </w:rPr>
      </w:pPr>
    </w:p>
    <w:p w14:paraId="5DEC0FC4" w14:textId="4425C452" w:rsidR="003766C4" w:rsidRPr="00365C60" w:rsidRDefault="003766C4" w:rsidP="00A3515F">
      <w:pPr>
        <w:rPr>
          <w:rFonts w:ascii="Garamond" w:hAnsi="Garamond"/>
        </w:rPr>
      </w:pPr>
    </w:p>
    <w:p w14:paraId="77E949C3" w14:textId="4BBFC516" w:rsidR="003766C4" w:rsidRPr="00365C60" w:rsidRDefault="003766C4" w:rsidP="00A3515F">
      <w:pPr>
        <w:rPr>
          <w:rFonts w:ascii="Garamond" w:hAnsi="Garamond"/>
        </w:rPr>
      </w:pPr>
    </w:p>
    <w:p w14:paraId="16F8B197" w14:textId="5DC1A41A" w:rsidR="003766C4" w:rsidRPr="00365C60" w:rsidRDefault="003766C4" w:rsidP="00A3515F">
      <w:pPr>
        <w:rPr>
          <w:rFonts w:ascii="Garamond" w:hAnsi="Garamond"/>
        </w:rPr>
      </w:pPr>
    </w:p>
    <w:p w14:paraId="68C166C3" w14:textId="5E904791" w:rsidR="003766C4" w:rsidRPr="00365C60" w:rsidRDefault="003766C4" w:rsidP="00A3515F">
      <w:pPr>
        <w:rPr>
          <w:rFonts w:ascii="Garamond" w:hAnsi="Garamond"/>
        </w:rPr>
      </w:pPr>
    </w:p>
    <w:p w14:paraId="601661C3" w14:textId="55B158BF" w:rsidR="003766C4" w:rsidRPr="00365C60" w:rsidRDefault="003766C4" w:rsidP="00A3515F">
      <w:pPr>
        <w:rPr>
          <w:rFonts w:ascii="Garamond" w:hAnsi="Garamond"/>
        </w:rPr>
      </w:pPr>
    </w:p>
    <w:p w14:paraId="0FA6683D" w14:textId="7DF99F42" w:rsidR="003766C4" w:rsidRPr="00365C60" w:rsidRDefault="003766C4" w:rsidP="00A3515F">
      <w:pPr>
        <w:rPr>
          <w:rFonts w:ascii="Garamond" w:hAnsi="Garamond"/>
        </w:rPr>
      </w:pPr>
    </w:p>
    <w:p w14:paraId="6C5FA288" w14:textId="2BEB297A" w:rsidR="003766C4" w:rsidRPr="00365C60" w:rsidRDefault="003766C4" w:rsidP="00A3515F">
      <w:pPr>
        <w:rPr>
          <w:rFonts w:ascii="Garamond" w:hAnsi="Garamond"/>
        </w:rPr>
      </w:pPr>
    </w:p>
    <w:p w14:paraId="77A300B6" w14:textId="435F4CB0" w:rsidR="003766C4" w:rsidRPr="00365C60" w:rsidRDefault="003766C4" w:rsidP="00A3515F">
      <w:pPr>
        <w:rPr>
          <w:rFonts w:ascii="Garamond" w:hAnsi="Garamond"/>
        </w:rPr>
      </w:pPr>
    </w:p>
    <w:p w14:paraId="3A0DDE78" w14:textId="411C75F7" w:rsidR="003766C4" w:rsidRPr="00365C60" w:rsidRDefault="003766C4" w:rsidP="00A3515F">
      <w:pPr>
        <w:rPr>
          <w:rFonts w:ascii="Garamond" w:hAnsi="Garamond"/>
        </w:rPr>
      </w:pPr>
    </w:p>
    <w:p w14:paraId="7BE64C6F" w14:textId="4D0F3802" w:rsidR="003766C4" w:rsidRPr="00365C60" w:rsidRDefault="003766C4" w:rsidP="00A3515F">
      <w:pPr>
        <w:rPr>
          <w:rFonts w:ascii="Garamond" w:hAnsi="Garamond"/>
        </w:rPr>
      </w:pPr>
    </w:p>
    <w:p w14:paraId="5BE47DF7" w14:textId="67C15361" w:rsidR="003766C4" w:rsidRPr="00365C60" w:rsidRDefault="003766C4" w:rsidP="00A3515F">
      <w:pPr>
        <w:rPr>
          <w:rFonts w:ascii="Garamond" w:hAnsi="Garamond"/>
        </w:rPr>
      </w:pPr>
    </w:p>
    <w:p w14:paraId="7EA8AA98" w14:textId="27A57AD0" w:rsidR="003766C4" w:rsidRPr="00365C60" w:rsidRDefault="003766C4" w:rsidP="00A3515F">
      <w:pPr>
        <w:rPr>
          <w:rFonts w:ascii="Garamond" w:hAnsi="Garamond"/>
        </w:rPr>
      </w:pPr>
    </w:p>
    <w:p w14:paraId="12653F21" w14:textId="513385FE" w:rsidR="003766C4" w:rsidRPr="00365C60" w:rsidRDefault="003766C4" w:rsidP="00A3515F">
      <w:pPr>
        <w:rPr>
          <w:rFonts w:ascii="Garamond" w:hAnsi="Garamond"/>
        </w:rPr>
      </w:pPr>
    </w:p>
    <w:p w14:paraId="40A8332C" w14:textId="0FBFE6EB" w:rsidR="003766C4" w:rsidRPr="00365C60" w:rsidRDefault="003766C4" w:rsidP="00A3515F">
      <w:pPr>
        <w:rPr>
          <w:rFonts w:ascii="Garamond" w:hAnsi="Garamond"/>
        </w:rPr>
      </w:pPr>
    </w:p>
    <w:p w14:paraId="500A873B" w14:textId="3EF2D5AC" w:rsidR="003766C4" w:rsidRPr="00365C60" w:rsidRDefault="003766C4" w:rsidP="00A3515F">
      <w:pPr>
        <w:rPr>
          <w:rFonts w:ascii="Garamond" w:hAnsi="Garamond"/>
        </w:rPr>
      </w:pPr>
    </w:p>
    <w:p w14:paraId="04FC0F44" w14:textId="54E246C5" w:rsidR="003766C4" w:rsidRPr="00365C60" w:rsidRDefault="003766C4" w:rsidP="00A3515F">
      <w:pPr>
        <w:rPr>
          <w:rFonts w:ascii="Garamond" w:hAnsi="Garamond"/>
        </w:rPr>
      </w:pPr>
    </w:p>
    <w:p w14:paraId="07C1CDB5" w14:textId="30FD5FF0" w:rsidR="003766C4" w:rsidRPr="00365C60" w:rsidRDefault="003766C4" w:rsidP="00A3515F">
      <w:pPr>
        <w:rPr>
          <w:rFonts w:ascii="Garamond" w:hAnsi="Garamond"/>
        </w:rPr>
      </w:pPr>
    </w:p>
    <w:p w14:paraId="03564319" w14:textId="1F58BF72" w:rsidR="003766C4" w:rsidRPr="00365C60" w:rsidRDefault="003766C4" w:rsidP="00A3515F">
      <w:pPr>
        <w:rPr>
          <w:rFonts w:ascii="Garamond" w:hAnsi="Garamond"/>
        </w:rPr>
      </w:pPr>
    </w:p>
    <w:p w14:paraId="2AB53615" w14:textId="04E889EA" w:rsidR="003766C4" w:rsidRPr="00365C60" w:rsidRDefault="003766C4" w:rsidP="00A3515F">
      <w:pPr>
        <w:rPr>
          <w:rFonts w:ascii="Garamond" w:hAnsi="Garamond"/>
        </w:rPr>
      </w:pPr>
    </w:p>
    <w:p w14:paraId="420F2598" w14:textId="77777777" w:rsidR="003766C4" w:rsidRPr="00365C60" w:rsidRDefault="003766C4" w:rsidP="00A3515F">
      <w:pPr>
        <w:rPr>
          <w:rFonts w:ascii="Garamond" w:hAnsi="Garamond"/>
        </w:rPr>
      </w:pPr>
    </w:p>
    <w:sectPr w:rsidR="003766C4" w:rsidRPr="00365C60" w:rsidSect="00286418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FFB7" w14:textId="77777777" w:rsidR="00286418" w:rsidRDefault="00286418">
      <w:pPr>
        <w:spacing w:after="0" w:line="240" w:lineRule="auto"/>
      </w:pPr>
      <w:r>
        <w:separator/>
      </w:r>
    </w:p>
  </w:endnote>
  <w:endnote w:type="continuationSeparator" w:id="0">
    <w:p w14:paraId="5A43FC86" w14:textId="77777777" w:rsidR="00286418" w:rsidRDefault="0028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CDF4" w14:textId="77777777" w:rsidR="003459CF" w:rsidRPr="00282196" w:rsidRDefault="00861EFE" w:rsidP="00282196">
    <w:pPr>
      <w:pStyle w:val="Zpat"/>
      <w:rPr>
        <w:rFonts w:ascii="Garamond" w:hAnsi="Garamond"/>
      </w:rPr>
    </w:pPr>
    <w:r w:rsidRPr="00F40207">
      <w:rPr>
        <w:rFonts w:ascii="Garamond" w:hAnsi="Garamond"/>
        <w:noProof/>
      </w:rPr>
      <w:drawing>
        <wp:anchor distT="0" distB="0" distL="114300" distR="114300" simplePos="0" relativeHeight="251662336" behindDoc="1" locked="0" layoutInCell="1" allowOverlap="1" wp14:anchorId="0AD1586B" wp14:editId="1C39B6BF">
          <wp:simplePos x="0" y="0"/>
          <wp:positionH relativeFrom="column">
            <wp:posOffset>5741158</wp:posOffset>
          </wp:positionH>
          <wp:positionV relativeFrom="paragraph">
            <wp:posOffset>68485</wp:posOffset>
          </wp:positionV>
          <wp:extent cx="227965" cy="184150"/>
          <wp:effectExtent l="0" t="0" r="635" b="6350"/>
          <wp:wrapTight wrapText="bothSides">
            <wp:wrapPolygon edited="0">
              <wp:start x="0" y="0"/>
              <wp:lineTo x="0" y="20110"/>
              <wp:lineTo x="19855" y="20110"/>
              <wp:lineTo x="19855" y="0"/>
              <wp:lineTo x="0" y="0"/>
            </wp:wrapPolygon>
          </wp:wrapTight>
          <wp:docPr id="12" name="Obrázek 6">
            <a:extLst xmlns:a="http://schemas.openxmlformats.org/drawingml/2006/main">
              <a:ext uri="{FF2B5EF4-FFF2-40B4-BE49-F238E27FC236}">
                <a16:creationId xmlns:a16="http://schemas.microsoft.com/office/drawing/2014/main" id="{CA75446D-55EB-4408-A0E4-C1BB7D874D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" name="Obrázek 6">
                    <a:extLst>
                      <a:ext uri="{FF2B5EF4-FFF2-40B4-BE49-F238E27FC236}">
                        <a16:creationId xmlns:a16="http://schemas.microsoft.com/office/drawing/2014/main" id="{CA75446D-55EB-4408-A0E4-C1BB7D874D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207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487DD" wp14:editId="2D7D1841">
              <wp:simplePos x="0" y="0"/>
              <wp:positionH relativeFrom="rightMargin">
                <wp:posOffset>-551180</wp:posOffset>
              </wp:positionH>
              <wp:positionV relativeFrom="bottomMargin">
                <wp:posOffset>282987</wp:posOffset>
              </wp:positionV>
              <wp:extent cx="565785" cy="191770"/>
              <wp:effectExtent l="0" t="0" r="0" b="0"/>
              <wp:wrapNone/>
              <wp:docPr id="46" name="Obdélník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9E49D" w14:textId="77777777" w:rsidR="003459CF" w:rsidRPr="00070305" w:rsidRDefault="00861EFE" w:rsidP="0028219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="Garamond" w:hAnsi="Garamond"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070305">
                            <w:rPr>
                              <w:rFonts w:ascii="Garamond" w:hAnsi="Garamond"/>
                              <w:b/>
                              <w:bCs/>
                              <w:color w:val="CC493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70305">
                            <w:rPr>
                              <w:rFonts w:ascii="Garamond" w:hAnsi="Garamond"/>
                              <w:b/>
                              <w:bCs/>
                              <w:color w:val="CC4937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70305">
                            <w:rPr>
                              <w:rFonts w:ascii="Garamond" w:hAnsi="Garamond"/>
                              <w:b/>
                              <w:bCs/>
                              <w:color w:val="CC4937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70305">
                            <w:rPr>
                              <w:rFonts w:ascii="Garamond" w:hAnsi="Garamond"/>
                              <w:b/>
                              <w:bCs/>
                              <w:color w:val="CC4937"/>
                              <w:sz w:val="20"/>
                              <w:szCs w:val="20"/>
                            </w:rPr>
                            <w:t>2</w:t>
                          </w:r>
                          <w:r w:rsidRPr="00070305">
                            <w:rPr>
                              <w:rFonts w:ascii="Garamond" w:hAnsi="Garamond"/>
                              <w:b/>
                              <w:bCs/>
                              <w:color w:val="CC4937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70305">
                            <w:rPr>
                              <w:rFonts w:ascii="Garamond" w:hAnsi="Garamond"/>
                              <w:color w:val="BFBFBF" w:themeColor="background1" w:themeShade="BF"/>
                              <w:sz w:val="20"/>
                              <w:szCs w:val="20"/>
                            </w:rPr>
                            <w:t>/</w:t>
                          </w:r>
                          <w:r w:rsidRPr="00070305">
                            <w:rPr>
                              <w:rFonts w:ascii="Garamond" w:hAnsi="Garamond"/>
                              <w:color w:val="8C241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70305">
                            <w:rPr>
                              <w:rFonts w:ascii="Garamond" w:hAnsi="Garamond"/>
                              <w:color w:val="8C2417"/>
                              <w:sz w:val="20"/>
                              <w:szCs w:val="20"/>
                            </w:rPr>
                            <w:instrText>NUMPAGES</w:instrText>
                          </w:r>
                          <w:r w:rsidRPr="00070305">
                            <w:rPr>
                              <w:rFonts w:ascii="Garamond" w:hAnsi="Garamond"/>
                              <w:color w:val="8C2417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70305">
                            <w:rPr>
                              <w:rFonts w:ascii="Garamond" w:hAnsi="Garamond"/>
                              <w:color w:val="8C2417"/>
                              <w:sz w:val="20"/>
                              <w:szCs w:val="20"/>
                            </w:rPr>
                            <w:t>2</w:t>
                          </w:r>
                          <w:r w:rsidRPr="00070305">
                            <w:rPr>
                              <w:rFonts w:ascii="Garamond" w:hAnsi="Garamond"/>
                              <w:color w:val="8C241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D2487DD" id="Obdélník 46" o:spid="_x0000_s1026" style="position:absolute;margin-left:-43.4pt;margin-top:22.3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AJy5CPeAAAABwEAAA8AAAAAAAAAAAAAAAAAPwQAAGRycy9kb3ducmV2Lnht&#10;bFBLBQYAAAAABAAEAPMAAABKBQAAAAA=&#10;" filled="f" fillcolor="#c0504d" stroked="f" strokecolor="#5c83b4" strokeweight="2.25pt">
              <v:textbox inset=",0,,0">
                <w:txbxContent>
                  <w:p w14:paraId="4F69E49D" w14:textId="77777777" w:rsidR="003459CF" w:rsidRPr="00070305" w:rsidRDefault="00861EFE" w:rsidP="0028219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Garamond" w:hAnsi="Garamond"/>
                        <w:color w:val="ED7D31" w:themeColor="accent2"/>
                        <w:sz w:val="20"/>
                        <w:szCs w:val="20"/>
                      </w:rPr>
                    </w:pPr>
                    <w:r w:rsidRPr="00070305">
                      <w:rPr>
                        <w:rFonts w:ascii="Garamond" w:hAnsi="Garamond"/>
                        <w:b/>
                        <w:bCs/>
                        <w:color w:val="CC4937"/>
                        <w:sz w:val="20"/>
                        <w:szCs w:val="20"/>
                      </w:rPr>
                      <w:fldChar w:fldCharType="begin"/>
                    </w:r>
                    <w:r w:rsidRPr="00070305">
                      <w:rPr>
                        <w:rFonts w:ascii="Garamond" w:hAnsi="Garamond"/>
                        <w:b/>
                        <w:bCs/>
                        <w:color w:val="CC4937"/>
                        <w:sz w:val="20"/>
                        <w:szCs w:val="20"/>
                      </w:rPr>
                      <w:instrText>PAGE   \* MERGEFORMAT</w:instrText>
                    </w:r>
                    <w:r w:rsidRPr="00070305">
                      <w:rPr>
                        <w:rFonts w:ascii="Garamond" w:hAnsi="Garamond"/>
                        <w:b/>
                        <w:bCs/>
                        <w:color w:val="CC4937"/>
                        <w:sz w:val="20"/>
                        <w:szCs w:val="20"/>
                      </w:rPr>
                      <w:fldChar w:fldCharType="separate"/>
                    </w:r>
                    <w:r w:rsidRPr="00070305">
                      <w:rPr>
                        <w:rFonts w:ascii="Garamond" w:hAnsi="Garamond"/>
                        <w:b/>
                        <w:bCs/>
                        <w:color w:val="CC4937"/>
                        <w:sz w:val="20"/>
                        <w:szCs w:val="20"/>
                      </w:rPr>
                      <w:t>2</w:t>
                    </w:r>
                    <w:r w:rsidRPr="00070305">
                      <w:rPr>
                        <w:rFonts w:ascii="Garamond" w:hAnsi="Garamond"/>
                        <w:b/>
                        <w:bCs/>
                        <w:color w:val="CC4937"/>
                        <w:sz w:val="20"/>
                        <w:szCs w:val="20"/>
                      </w:rPr>
                      <w:fldChar w:fldCharType="end"/>
                    </w:r>
                    <w:r w:rsidRPr="00070305">
                      <w:rPr>
                        <w:rFonts w:ascii="Garamond" w:hAnsi="Garamond"/>
                        <w:color w:val="BFBFBF" w:themeColor="background1" w:themeShade="BF"/>
                        <w:sz w:val="20"/>
                        <w:szCs w:val="20"/>
                      </w:rPr>
                      <w:t>/</w:t>
                    </w:r>
                    <w:r w:rsidRPr="00070305">
                      <w:rPr>
                        <w:rFonts w:ascii="Garamond" w:hAnsi="Garamond"/>
                        <w:color w:val="8C2417"/>
                        <w:sz w:val="20"/>
                        <w:szCs w:val="20"/>
                      </w:rPr>
                      <w:fldChar w:fldCharType="begin"/>
                    </w:r>
                    <w:r w:rsidRPr="00070305">
                      <w:rPr>
                        <w:rFonts w:ascii="Garamond" w:hAnsi="Garamond"/>
                        <w:color w:val="8C2417"/>
                        <w:sz w:val="20"/>
                        <w:szCs w:val="20"/>
                      </w:rPr>
                      <w:instrText>NUMPAGES</w:instrText>
                    </w:r>
                    <w:r w:rsidRPr="00070305">
                      <w:rPr>
                        <w:rFonts w:ascii="Garamond" w:hAnsi="Garamond"/>
                        <w:color w:val="8C2417"/>
                        <w:sz w:val="20"/>
                        <w:szCs w:val="20"/>
                      </w:rPr>
                      <w:fldChar w:fldCharType="separate"/>
                    </w:r>
                    <w:r w:rsidRPr="00070305">
                      <w:rPr>
                        <w:rFonts w:ascii="Garamond" w:hAnsi="Garamond"/>
                        <w:color w:val="8C2417"/>
                        <w:sz w:val="20"/>
                        <w:szCs w:val="20"/>
                      </w:rPr>
                      <w:t>2</w:t>
                    </w:r>
                    <w:r w:rsidRPr="00070305">
                      <w:rPr>
                        <w:rFonts w:ascii="Garamond" w:hAnsi="Garamond"/>
                        <w:color w:val="8C241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9521" w14:textId="18096ABD" w:rsidR="003459CF" w:rsidRPr="00C86143" w:rsidRDefault="00E4748A" w:rsidP="00C4137D">
    <w:pPr>
      <w:pStyle w:val="Zpat"/>
      <w:spacing w:before="720"/>
    </w:pPr>
    <w:r>
      <w:rPr>
        <w:rFonts w:ascii="Calibri Light" w:eastAsia="Times New Roman" w:hAnsi="Calibri Light"/>
        <w:noProof/>
        <w:color w:val="AEAAAA" w:themeColor="background2" w:themeShade="BF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63360" behindDoc="1" locked="0" layoutInCell="1" allowOverlap="1" wp14:anchorId="6DC50E62" wp14:editId="7E96C335">
          <wp:simplePos x="0" y="0"/>
          <wp:positionH relativeFrom="column">
            <wp:posOffset>-704187</wp:posOffset>
          </wp:positionH>
          <wp:positionV relativeFrom="paragraph">
            <wp:posOffset>110487</wp:posOffset>
          </wp:positionV>
          <wp:extent cx="7531200" cy="1076962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200" cy="107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F0B1" w14:textId="77777777" w:rsidR="00286418" w:rsidRDefault="00286418">
      <w:pPr>
        <w:spacing w:after="0" w:line="240" w:lineRule="auto"/>
      </w:pPr>
      <w:r>
        <w:separator/>
      </w:r>
    </w:p>
  </w:footnote>
  <w:footnote w:type="continuationSeparator" w:id="0">
    <w:p w14:paraId="0B0438FD" w14:textId="77777777" w:rsidR="00286418" w:rsidRDefault="0028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A1D0" w14:textId="77777777" w:rsidR="003459CF" w:rsidRDefault="00861E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184FE7" wp14:editId="46BE2609">
          <wp:simplePos x="0" y="0"/>
          <wp:positionH relativeFrom="column">
            <wp:posOffset>3810</wp:posOffset>
          </wp:positionH>
          <wp:positionV relativeFrom="paragraph">
            <wp:posOffset>-340574</wp:posOffset>
          </wp:positionV>
          <wp:extent cx="1771650" cy="494030"/>
          <wp:effectExtent l="0" t="0" r="0" b="1270"/>
          <wp:wrapThrough wrapText="bothSides">
            <wp:wrapPolygon edited="0">
              <wp:start x="0" y="0"/>
              <wp:lineTo x="0" y="20823"/>
              <wp:lineTo x="21368" y="20823"/>
              <wp:lineTo x="21368" y="0"/>
              <wp:lineTo x="0" y="0"/>
            </wp:wrapPolygon>
          </wp:wrapThrough>
          <wp:docPr id="378" name="Obrázek 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final_tmavsi B 1 rad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813"/>
    <w:multiLevelType w:val="multilevel"/>
    <w:tmpl w:val="CD8ABC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B72FD6"/>
    <w:multiLevelType w:val="hybridMultilevel"/>
    <w:tmpl w:val="A126B7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355EB"/>
    <w:multiLevelType w:val="multilevel"/>
    <w:tmpl w:val="C55C0366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22210E7B"/>
    <w:multiLevelType w:val="multilevel"/>
    <w:tmpl w:val="60564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485B8B"/>
    <w:multiLevelType w:val="multilevel"/>
    <w:tmpl w:val="72580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0D445B"/>
    <w:multiLevelType w:val="multilevel"/>
    <w:tmpl w:val="A53679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3207D1"/>
    <w:multiLevelType w:val="hybridMultilevel"/>
    <w:tmpl w:val="934C7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44877"/>
    <w:multiLevelType w:val="hybridMultilevel"/>
    <w:tmpl w:val="143EDD3E"/>
    <w:lvl w:ilvl="0" w:tplc="A4C831C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6E46AA7"/>
    <w:multiLevelType w:val="multilevel"/>
    <w:tmpl w:val="D2D60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9BB3DF5"/>
    <w:multiLevelType w:val="hybridMultilevel"/>
    <w:tmpl w:val="99143182"/>
    <w:lvl w:ilvl="0" w:tplc="29F88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4162F"/>
    <w:multiLevelType w:val="multilevel"/>
    <w:tmpl w:val="EB72F4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02Podlnek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211E59"/>
    <w:multiLevelType w:val="multilevel"/>
    <w:tmpl w:val="AD60E7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7C54657"/>
    <w:multiLevelType w:val="multilevel"/>
    <w:tmpl w:val="5246C7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B8A2533"/>
    <w:multiLevelType w:val="multilevel"/>
    <w:tmpl w:val="8A80B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92141060">
    <w:abstractNumId w:val="9"/>
  </w:num>
  <w:num w:numId="2" w16cid:durableId="97258372">
    <w:abstractNumId w:val="10"/>
  </w:num>
  <w:num w:numId="3" w16cid:durableId="37826509">
    <w:abstractNumId w:val="1"/>
  </w:num>
  <w:num w:numId="4" w16cid:durableId="213931882">
    <w:abstractNumId w:val="13"/>
  </w:num>
  <w:num w:numId="5" w16cid:durableId="1403139075">
    <w:abstractNumId w:val="3"/>
  </w:num>
  <w:num w:numId="6" w16cid:durableId="376323115">
    <w:abstractNumId w:val="6"/>
  </w:num>
  <w:num w:numId="7" w16cid:durableId="1876768071">
    <w:abstractNumId w:val="7"/>
  </w:num>
  <w:num w:numId="8" w16cid:durableId="342712568">
    <w:abstractNumId w:val="4"/>
  </w:num>
  <w:num w:numId="9" w16cid:durableId="1169831661">
    <w:abstractNumId w:val="8"/>
  </w:num>
  <w:num w:numId="10" w16cid:durableId="1918786755">
    <w:abstractNumId w:val="11"/>
  </w:num>
  <w:num w:numId="11" w16cid:durableId="20322078">
    <w:abstractNumId w:val="12"/>
  </w:num>
  <w:num w:numId="12" w16cid:durableId="254755512">
    <w:abstractNumId w:val="0"/>
  </w:num>
  <w:num w:numId="13" w16cid:durableId="1474908244">
    <w:abstractNumId w:val="5"/>
  </w:num>
  <w:num w:numId="14" w16cid:durableId="212831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E"/>
    <w:rsid w:val="000130BD"/>
    <w:rsid w:val="00181267"/>
    <w:rsid w:val="00286418"/>
    <w:rsid w:val="003459CF"/>
    <w:rsid w:val="00365C60"/>
    <w:rsid w:val="003766C4"/>
    <w:rsid w:val="003E5995"/>
    <w:rsid w:val="00451D29"/>
    <w:rsid w:val="00461C21"/>
    <w:rsid w:val="004741EB"/>
    <w:rsid w:val="004C271B"/>
    <w:rsid w:val="00767EF6"/>
    <w:rsid w:val="008240E3"/>
    <w:rsid w:val="00831C21"/>
    <w:rsid w:val="00861EFE"/>
    <w:rsid w:val="008B21D2"/>
    <w:rsid w:val="009D1F37"/>
    <w:rsid w:val="00A3515F"/>
    <w:rsid w:val="00A90ADE"/>
    <w:rsid w:val="00AD7BEF"/>
    <w:rsid w:val="00B7602B"/>
    <w:rsid w:val="00BF2C3A"/>
    <w:rsid w:val="00D36D45"/>
    <w:rsid w:val="00E1154D"/>
    <w:rsid w:val="00E4748A"/>
    <w:rsid w:val="00EC4BD4"/>
    <w:rsid w:val="00F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61305"/>
  <w15:chartTrackingRefBased/>
  <w15:docId w15:val="{BA3EBDE0-5CD6-4D83-8EEE-470EE08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E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EF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EFE"/>
    <w:rPr>
      <w:rFonts w:ascii="Calibri" w:eastAsia="Calibri" w:hAnsi="Calibri" w:cs="Times New Roman"/>
    </w:rPr>
  </w:style>
  <w:style w:type="paragraph" w:customStyle="1" w:styleId="01lneksmlouvy">
    <w:name w:val="01_Článek smlouvy"/>
    <w:basedOn w:val="Normln"/>
    <w:qFormat/>
    <w:rsid w:val="00365C60"/>
    <w:pPr>
      <w:keepNext/>
      <w:spacing w:before="240" w:after="0"/>
      <w:jc w:val="center"/>
    </w:pPr>
    <w:rPr>
      <w:rFonts w:ascii="Garamond" w:hAnsi="Garamond"/>
      <w:b/>
      <w:sz w:val="24"/>
      <w:szCs w:val="24"/>
    </w:rPr>
  </w:style>
  <w:style w:type="paragraph" w:customStyle="1" w:styleId="02Podlnek">
    <w:name w:val="02_Podčlánek"/>
    <w:qFormat/>
    <w:rsid w:val="00861EFE"/>
    <w:pPr>
      <w:numPr>
        <w:ilvl w:val="1"/>
        <w:numId w:val="2"/>
      </w:numPr>
      <w:spacing w:before="120"/>
      <w:ind w:left="567" w:hanging="567"/>
      <w:jc w:val="both"/>
    </w:pPr>
    <w:rPr>
      <w:rFonts w:ascii="Garamond" w:eastAsia="Franklin Gothic Book" w:hAnsi="Garamond" w:cs="Times New Roman"/>
    </w:rPr>
  </w:style>
  <w:style w:type="character" w:customStyle="1" w:styleId="dn">
    <w:name w:val="Žádný"/>
    <w:rsid w:val="00861EFE"/>
    <w:rPr>
      <w:lang w:val="cs-CZ"/>
    </w:rPr>
  </w:style>
  <w:style w:type="character" w:customStyle="1" w:styleId="Hyperlink1">
    <w:name w:val="Hyperlink.1"/>
    <w:basedOn w:val="dn"/>
    <w:rsid w:val="00861EFE"/>
    <w:rPr>
      <w:lang w:val="da-DK"/>
    </w:rPr>
  </w:style>
  <w:style w:type="table" w:styleId="Mkatabulky">
    <w:name w:val="Table Grid"/>
    <w:basedOn w:val="Normlntabulka"/>
    <w:uiPriority w:val="39"/>
    <w:rsid w:val="0086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qFormat/>
    <w:rsid w:val="00365C60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Zkladntext">
    <w:name w:val="Body Text"/>
    <w:basedOn w:val="Normln"/>
    <w:link w:val="ZkladntextChar"/>
    <w:rsid w:val="00365C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5C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uj">
    <w:name w:val="muj"/>
    <w:basedOn w:val="Normln"/>
    <w:rsid w:val="00365C6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platne1">
    <w:name w:val="platne1"/>
    <w:basedOn w:val="Standardnpsmoodstavce"/>
    <w:rsid w:val="00365C60"/>
    <w:rPr>
      <w:rFonts w:cs="Times New Roman"/>
    </w:rPr>
  </w:style>
  <w:style w:type="paragraph" w:customStyle="1" w:styleId="Default">
    <w:name w:val="Default"/>
    <w:rsid w:val="00365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rsid w:val="00365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Matějková</dc:creator>
  <cp:keywords/>
  <dc:description/>
  <cp:lastModifiedBy>Jan Voděra</cp:lastModifiedBy>
  <cp:revision>3</cp:revision>
  <cp:lastPrinted>2023-12-14T10:27:00Z</cp:lastPrinted>
  <dcterms:created xsi:type="dcterms:W3CDTF">2023-12-14T15:18:00Z</dcterms:created>
  <dcterms:modified xsi:type="dcterms:W3CDTF">2024-01-12T18:28:00Z</dcterms:modified>
</cp:coreProperties>
</file>