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291" w:rsidRDefault="00F33291">
      <w:pPr>
        <w:spacing w:after="226" w:line="14" w:lineRule="exact"/>
      </w:pPr>
    </w:p>
    <w:p w:rsidR="00F33291" w:rsidRDefault="00F33291">
      <w:pPr>
        <w:spacing w:line="14" w:lineRule="exact"/>
        <w:sectPr w:rsidR="00F33291">
          <w:footerReference w:type="default" r:id="rId7"/>
          <w:pgSz w:w="11900" w:h="16840"/>
          <w:pgMar w:top="54" w:right="365" w:bottom="1015" w:left="850" w:header="0" w:footer="3" w:gutter="0"/>
          <w:pgNumType w:start="1"/>
          <w:cols w:space="720"/>
          <w:noEndnote/>
          <w:docGrid w:linePitch="360"/>
        </w:sectPr>
      </w:pPr>
    </w:p>
    <w:p w:rsidR="00F33291" w:rsidRDefault="00F33291">
      <w:pPr>
        <w:spacing w:before="33" w:after="33" w:line="240" w:lineRule="exact"/>
        <w:rPr>
          <w:sz w:val="19"/>
          <w:szCs w:val="19"/>
        </w:rPr>
      </w:pPr>
    </w:p>
    <w:p w:rsidR="00F33291" w:rsidRDefault="00F33291">
      <w:pPr>
        <w:spacing w:line="14" w:lineRule="exact"/>
        <w:sectPr w:rsidR="00F33291">
          <w:type w:val="continuous"/>
          <w:pgSz w:w="11900" w:h="16840"/>
          <w:pgMar w:top="829" w:right="0" w:bottom="1175" w:left="0" w:header="0" w:footer="3" w:gutter="0"/>
          <w:cols w:space="720"/>
          <w:noEndnote/>
          <w:docGrid w:linePitch="360"/>
        </w:sectPr>
      </w:pPr>
    </w:p>
    <w:p w:rsidR="00F33291" w:rsidRDefault="00F91EA7">
      <w:pPr>
        <w:pStyle w:val="Nadpis10"/>
        <w:keepNext/>
        <w:keepLines/>
        <w:shd w:val="clear" w:color="auto" w:fill="auto"/>
      </w:pPr>
      <w:bookmarkStart w:id="0" w:name="bookmark1"/>
      <w:r>
        <w:t>DODATEK č. 202401</w:t>
      </w:r>
      <w:bookmarkEnd w:id="0"/>
    </w:p>
    <w:p w:rsidR="00F33291" w:rsidRDefault="00F91EA7">
      <w:pPr>
        <w:pStyle w:val="Zkladntext1"/>
        <w:shd w:val="clear" w:color="auto" w:fill="auto"/>
        <w:spacing w:after="0" w:line="228" w:lineRule="auto"/>
        <w:jc w:val="both"/>
      </w:pPr>
      <w:r>
        <w:rPr>
          <w:sz w:val="22"/>
          <w:szCs w:val="22"/>
        </w:rPr>
        <w:t xml:space="preserve">k Dohodě o vyúčtování nákladů </w:t>
      </w:r>
      <w:r>
        <w:rPr>
          <w:b/>
          <w:bCs/>
          <w:sz w:val="22"/>
          <w:szCs w:val="22"/>
        </w:rPr>
        <w:t xml:space="preserve">č. 159 </w:t>
      </w:r>
      <w:r>
        <w:t xml:space="preserve">spojených s realizací práva držitele licence podle § 76 odst. 5 Zákona č. 458/2000 </w:t>
      </w:r>
      <w:proofErr w:type="spellStart"/>
      <w:proofErr w:type="gramStart"/>
      <w:r>
        <w:t>Sb.o</w:t>
      </w:r>
      <w:proofErr w:type="spellEnd"/>
      <w:proofErr w:type="gramEnd"/>
      <w:r>
        <w:t xml:space="preserve"> podmínkách podnikání a o výkonu státní správy v energetických odvětvích a o změně někte</w:t>
      </w:r>
      <w:r>
        <w:t>rých zákonů (Energetický zákon) ve znění pozdějších předpisů</w:t>
      </w:r>
    </w:p>
    <w:p w:rsidR="00F33291" w:rsidRDefault="00F91EA7">
      <w:pPr>
        <w:pStyle w:val="Zkladntext1"/>
        <w:shd w:val="clear" w:color="auto" w:fill="auto"/>
        <w:spacing w:after="380"/>
        <w:jc w:val="center"/>
      </w:pPr>
      <w:r>
        <w:t>uzavřená mezi</w:t>
      </w:r>
    </w:p>
    <w:p w:rsidR="00F33291" w:rsidRDefault="00F91EA7">
      <w:pPr>
        <w:pStyle w:val="Nadpis30"/>
        <w:keepNext/>
        <w:keepLines/>
        <w:shd w:val="clear" w:color="auto" w:fill="auto"/>
        <w:spacing w:after="200"/>
        <w:ind w:firstLine="0"/>
      </w:pPr>
      <w:bookmarkStart w:id="1" w:name="bookmark2"/>
      <w:r>
        <w:t>Odběratelem: DISTEP a.s.</w:t>
      </w:r>
      <w:bookmarkEnd w:id="1"/>
    </w:p>
    <w:p w:rsidR="00F33291" w:rsidRDefault="00F91EA7">
      <w:pPr>
        <w:pStyle w:val="Zkladntext1"/>
        <w:shd w:val="clear" w:color="auto" w:fill="auto"/>
        <w:spacing w:after="0" w:line="228" w:lineRule="auto"/>
        <w:ind w:left="2120" w:right="5780" w:hanging="1020"/>
      </w:pPr>
      <w:r>
        <w:t>se sídlem: Ostravská 961, Místek Frýdek-Místek 738 01</w:t>
      </w:r>
    </w:p>
    <w:p w:rsidR="00F33291" w:rsidRDefault="00F91EA7">
      <w:pPr>
        <w:pStyle w:val="Zkladntext1"/>
        <w:shd w:val="clear" w:color="auto" w:fill="auto"/>
        <w:spacing w:after="0" w:line="228" w:lineRule="auto"/>
        <w:ind w:left="2120" w:right="5780" w:hanging="1020"/>
      </w:pPr>
      <w:r>
        <w:t>zastoupen: Bc. Gabriela Ožanová ekonomická ředitelka</w:t>
      </w:r>
    </w:p>
    <w:p w:rsidR="00F33291" w:rsidRDefault="00F91EA7">
      <w:pPr>
        <w:pStyle w:val="Zkladntext1"/>
        <w:shd w:val="clear" w:color="auto" w:fill="auto"/>
        <w:spacing w:after="0" w:line="228" w:lineRule="auto"/>
        <w:ind w:left="1640" w:right="6620"/>
      </w:pPr>
      <w:r>
        <w:t>IČO: 65138091 DIČ: CZ65138091</w:t>
      </w:r>
    </w:p>
    <w:p w:rsidR="00F91EA7" w:rsidRDefault="00F91EA7">
      <w:pPr>
        <w:pStyle w:val="Zkladntext1"/>
        <w:shd w:val="clear" w:color="auto" w:fill="auto"/>
        <w:spacing w:after="0" w:line="228" w:lineRule="auto"/>
        <w:ind w:left="440" w:right="5920"/>
        <w:jc w:val="right"/>
      </w:pPr>
      <w:r>
        <w:t xml:space="preserve">bankovní spojení: </w:t>
      </w:r>
      <w:proofErr w:type="spellStart"/>
      <w:r>
        <w:t>xxxxxxxxxxxxxx</w:t>
      </w:r>
      <w:proofErr w:type="spellEnd"/>
    </w:p>
    <w:p w:rsidR="00F33291" w:rsidRDefault="00F91EA7">
      <w:pPr>
        <w:pStyle w:val="Zkladntext1"/>
        <w:shd w:val="clear" w:color="auto" w:fill="auto"/>
        <w:spacing w:after="0" w:line="228" w:lineRule="auto"/>
        <w:ind w:left="440" w:right="5920"/>
        <w:jc w:val="right"/>
      </w:pPr>
      <w:r>
        <w:t xml:space="preserve">číslo </w:t>
      </w:r>
      <w:proofErr w:type="gramStart"/>
      <w:r>
        <w:t xml:space="preserve">účtu:   </w:t>
      </w:r>
      <w:proofErr w:type="gramEnd"/>
      <w:r>
        <w:t xml:space="preserve">       </w:t>
      </w:r>
      <w:proofErr w:type="spellStart"/>
      <w:r>
        <w:t>xxxxxxxxxxxxxxxx</w:t>
      </w:r>
      <w:proofErr w:type="spellEnd"/>
      <w:r>
        <w:t xml:space="preserve"> </w:t>
      </w:r>
    </w:p>
    <w:p w:rsidR="00F33291" w:rsidRDefault="00F91EA7">
      <w:pPr>
        <w:pStyle w:val="Zkladntext1"/>
        <w:shd w:val="clear" w:color="auto" w:fill="auto"/>
        <w:spacing w:after="0" w:line="228" w:lineRule="auto"/>
        <w:ind w:left="300" w:firstLine="20"/>
      </w:pPr>
      <w:r>
        <w:t xml:space="preserve">internetové stránky: </w:t>
      </w:r>
      <w:hyperlink r:id="rId8" w:history="1">
        <w:r>
          <w:t>www.distep.cz</w:t>
        </w:r>
      </w:hyperlink>
    </w:p>
    <w:p w:rsidR="00F33291" w:rsidRDefault="00F91EA7">
      <w:pPr>
        <w:pStyle w:val="Zkladntext1"/>
        <w:shd w:val="clear" w:color="auto" w:fill="auto"/>
        <w:spacing w:after="0" w:line="228" w:lineRule="auto"/>
        <w:ind w:left="2120" w:right="920" w:firstLine="60"/>
      </w:pPr>
      <w:r>
        <w:t>Zapsána v obchodním rejstříku, vedeného Krajským soudem v Ostravě oddíl B, vložka 1205</w:t>
      </w:r>
    </w:p>
    <w:p w:rsidR="00F33291" w:rsidRDefault="00F91EA7">
      <w:pPr>
        <w:pStyle w:val="Nadpis30"/>
        <w:keepNext/>
        <w:keepLines/>
        <w:shd w:val="clear" w:color="auto" w:fill="auto"/>
        <w:spacing w:after="320"/>
        <w:ind w:left="4700" w:firstLine="0"/>
      </w:pPr>
      <w:bookmarkStart w:id="2" w:name="bookmark3"/>
      <w:r>
        <w:t>a</w:t>
      </w:r>
      <w:bookmarkEnd w:id="2"/>
    </w:p>
    <w:p w:rsidR="00F33291" w:rsidRDefault="00F91EA7">
      <w:pPr>
        <w:pStyle w:val="Nadpis30"/>
        <w:keepNext/>
        <w:keepLines/>
        <w:shd w:val="clear" w:color="auto" w:fill="auto"/>
        <w:ind w:left="300" w:firstLine="20"/>
      </w:pPr>
      <w:bookmarkStart w:id="3" w:name="bookmark4"/>
      <w:r>
        <w:t xml:space="preserve">Poskytovatelem: Náš svět, příspěvková </w:t>
      </w:r>
      <w:r>
        <w:t>organizace</w:t>
      </w:r>
      <w:bookmarkEnd w:id="3"/>
    </w:p>
    <w:p w:rsidR="00F33291" w:rsidRDefault="00F91EA7">
      <w:pPr>
        <w:pStyle w:val="Zkladntext1"/>
        <w:shd w:val="clear" w:color="auto" w:fill="auto"/>
        <w:spacing w:after="0" w:line="230" w:lineRule="auto"/>
        <w:ind w:left="2120" w:right="6260" w:hanging="940"/>
      </w:pPr>
      <w:r>
        <w:t xml:space="preserve">se sídlem: Pržno 239, Pržno </w:t>
      </w:r>
      <w:proofErr w:type="spellStart"/>
      <w:r>
        <w:t>Pržno</w:t>
      </w:r>
      <w:proofErr w:type="spellEnd"/>
      <w:r>
        <w:t xml:space="preserve"> 739 11</w:t>
      </w:r>
    </w:p>
    <w:p w:rsidR="00F33291" w:rsidRDefault="00F91EA7">
      <w:pPr>
        <w:pStyle w:val="Zkladntext1"/>
        <w:shd w:val="clear" w:color="auto" w:fill="auto"/>
        <w:spacing w:after="0" w:line="461" w:lineRule="auto"/>
        <w:ind w:left="1640" w:right="5520" w:hanging="540"/>
      </w:pPr>
      <w:r>
        <w:t>zastoupen: Ing. Jan Zvoníček, ředitel IČO: 00847046</w:t>
      </w:r>
    </w:p>
    <w:p w:rsidR="00F91EA7" w:rsidRDefault="00F91EA7">
      <w:pPr>
        <w:pStyle w:val="Zkladntext1"/>
        <w:shd w:val="clear" w:color="auto" w:fill="auto"/>
        <w:spacing w:after="0" w:line="226" w:lineRule="auto"/>
        <w:ind w:left="1180" w:right="3380" w:hanging="680"/>
      </w:pPr>
      <w:r>
        <w:t xml:space="preserve">bankovní </w:t>
      </w:r>
      <w:proofErr w:type="spellStart"/>
      <w:proofErr w:type="gramStart"/>
      <w:r>
        <w:t>spojení:xxxxxxxxxxxxxxxxx</w:t>
      </w:r>
      <w:proofErr w:type="spellEnd"/>
      <w:proofErr w:type="gramEnd"/>
      <w:r>
        <w:t xml:space="preserve">. </w:t>
      </w:r>
    </w:p>
    <w:p w:rsidR="00F33291" w:rsidRDefault="00F91EA7">
      <w:pPr>
        <w:pStyle w:val="Zkladntext1"/>
        <w:shd w:val="clear" w:color="auto" w:fill="auto"/>
        <w:spacing w:after="0" w:line="226" w:lineRule="auto"/>
        <w:ind w:left="1180" w:right="3380" w:hanging="680"/>
      </w:pPr>
      <w:r>
        <w:t xml:space="preserve">číslo účtu: </w:t>
      </w:r>
      <w:proofErr w:type="spellStart"/>
      <w:r>
        <w:t>xxxxxxxxxxxxxxxxxxxxxx</w:t>
      </w:r>
      <w:proofErr w:type="spellEnd"/>
    </w:p>
    <w:p w:rsidR="00F33291" w:rsidRDefault="00F91EA7">
      <w:pPr>
        <w:pStyle w:val="Zkladntext1"/>
        <w:shd w:val="clear" w:color="auto" w:fill="auto"/>
        <w:spacing w:after="280" w:line="226" w:lineRule="auto"/>
        <w:ind w:left="2120" w:firstLine="60"/>
      </w:pPr>
      <w:r>
        <w:t xml:space="preserve">Zapsán v obchodním rejstříku Krajského soudu v Ostravě </w:t>
      </w:r>
      <w:r>
        <w:t xml:space="preserve">oddíl </w:t>
      </w:r>
      <w:proofErr w:type="spellStart"/>
      <w:r>
        <w:t>Pr</w:t>
      </w:r>
      <w:proofErr w:type="spellEnd"/>
      <w:r>
        <w:t>, vložka 865</w:t>
      </w:r>
    </w:p>
    <w:p w:rsidR="00F33291" w:rsidRDefault="00F91EA7">
      <w:pPr>
        <w:pStyle w:val="Zkladntext1"/>
        <w:shd w:val="clear" w:color="auto" w:fill="auto"/>
        <w:spacing w:after="0" w:line="230" w:lineRule="auto"/>
      </w:pPr>
      <w:r>
        <w:t>Smluvní strany se dohodly na následující změně v Dohodě o vyúčtování nákladů č. 159 (dále jen Dohoda) v platném znění.</w:t>
      </w:r>
    </w:p>
    <w:p w:rsidR="00F33291" w:rsidRDefault="00F91EA7">
      <w:pPr>
        <w:pStyle w:val="Zkladntext1"/>
        <w:shd w:val="clear" w:color="auto" w:fill="auto"/>
        <w:spacing w:after="200" w:line="230" w:lineRule="auto"/>
        <w:jc w:val="center"/>
      </w:pPr>
      <w:r>
        <w:t>I.</w:t>
      </w:r>
    </w:p>
    <w:p w:rsidR="00F33291" w:rsidRDefault="00F91EA7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spacing w:after="160" w:line="230" w:lineRule="auto"/>
        <w:ind w:left="220" w:hanging="220"/>
        <w:jc w:val="both"/>
      </w:pPr>
      <w:r>
        <w:t>V části V. Cena a platební podmínky bod 5.2 se ruší text v celém rozsahu a nahrazuje se textem:</w:t>
      </w:r>
    </w:p>
    <w:p w:rsidR="00F33291" w:rsidRDefault="00F91EA7">
      <w:pPr>
        <w:pStyle w:val="Zkladntext1"/>
        <w:shd w:val="clear" w:color="auto" w:fill="auto"/>
        <w:spacing w:after="200"/>
        <w:ind w:left="220" w:firstLine="500"/>
      </w:pPr>
      <w:r>
        <w:t xml:space="preserve">"Jednotková cena </w:t>
      </w:r>
      <w:r>
        <w:t>za poskytnutou elektrickou energii pro příslušný kalendářní rok je stanovena jako poslední zveřejněná průměrná cena skutečně placená domácnostmi dle Českého statistického úřadu."</w:t>
      </w:r>
    </w:p>
    <w:p w:rsidR="00F33291" w:rsidRDefault="00F91EA7">
      <w:pPr>
        <w:pStyle w:val="Zkladntext1"/>
        <w:shd w:val="clear" w:color="auto" w:fill="auto"/>
        <w:spacing w:after="160" w:line="230" w:lineRule="auto"/>
        <w:ind w:left="780"/>
      </w:pPr>
      <w:r>
        <w:t xml:space="preserve">Tato informace bude dostupná na stránkách </w:t>
      </w:r>
      <w:r>
        <w:rPr>
          <w:rFonts w:ascii="Calibri" w:eastAsia="Calibri" w:hAnsi="Calibri" w:cs="Calibri"/>
          <w:color w:val="0563C1"/>
          <w:sz w:val="22"/>
          <w:szCs w:val="22"/>
          <w:u w:val="single"/>
          <w:lang w:val="en-US" w:eastAsia="en-US" w:bidi="en-US"/>
        </w:rPr>
        <w:t>&lt;</w:t>
      </w:r>
      <w:hyperlink r:id="rId9" w:history="1">
        <w:r>
          <w:rPr>
            <w:rFonts w:ascii="Calibri" w:eastAsia="Calibri" w:hAnsi="Calibri" w:cs="Calibri"/>
            <w:color w:val="0563C1"/>
            <w:sz w:val="22"/>
            <w:szCs w:val="22"/>
            <w:u w:val="single"/>
            <w:lang w:val="en-US" w:eastAsia="en-US" w:bidi="en-US"/>
          </w:rPr>
          <w:t>https://vdb.czso.cz/vdbvo2/</w:t>
        </w:r>
      </w:hyperlink>
      <w:proofErr w:type="gramStart"/>
      <w:r>
        <w:rPr>
          <w:rFonts w:ascii="Calibri" w:eastAsia="Calibri" w:hAnsi="Calibri" w:cs="Calibri"/>
          <w:color w:val="0563C1"/>
          <w:sz w:val="22"/>
          <w:szCs w:val="22"/>
          <w:u w:val="single"/>
          <w:lang w:val="en-US" w:eastAsia="en-US" w:bidi="en-US"/>
        </w:rPr>
        <w:t>&gt;</w:t>
      </w:r>
      <w:r>
        <w:rPr>
          <w:rFonts w:ascii="Calibri" w:eastAsia="Calibri" w:hAnsi="Calibri" w:cs="Calibri"/>
          <w:color w:val="0563C1"/>
          <w:sz w:val="22"/>
          <w:szCs w:val="22"/>
          <w:lang w:val="en-US" w:eastAsia="en-US" w:bidi="en-US"/>
        </w:rPr>
        <w:t xml:space="preserve"> </w:t>
      </w:r>
      <w:r>
        <w:t>.</w:t>
      </w:r>
      <w:proofErr w:type="gramEnd"/>
    </w:p>
    <w:p w:rsidR="00F33291" w:rsidRDefault="00F91EA7">
      <w:pPr>
        <w:pStyle w:val="Zkladntext1"/>
        <w:shd w:val="clear" w:color="auto" w:fill="auto"/>
        <w:spacing w:after="200" w:line="230" w:lineRule="auto"/>
        <w:jc w:val="center"/>
      </w:pPr>
      <w:r>
        <w:t>II.</w:t>
      </w:r>
    </w:p>
    <w:p w:rsidR="00F33291" w:rsidRDefault="00F91EA7">
      <w:pPr>
        <w:pStyle w:val="Zkladntext1"/>
        <w:numPr>
          <w:ilvl w:val="0"/>
          <w:numId w:val="2"/>
        </w:numPr>
        <w:shd w:val="clear" w:color="auto" w:fill="auto"/>
        <w:tabs>
          <w:tab w:val="left" w:pos="340"/>
        </w:tabs>
        <w:spacing w:after="200" w:line="230" w:lineRule="auto"/>
        <w:ind w:left="220" w:hanging="220"/>
        <w:jc w:val="both"/>
      </w:pPr>
      <w:r>
        <w:t>Tento Dodatek k Dohodě č. 159 je vyhotoven ve dvou vyhotoveních, z toho dodavatel i odběratel obdrží po jednom vyhotovení. K písemnému projevu vůle lze použít i mechanické či elektronické prostředky, přičemž obě s</w:t>
      </w:r>
      <w:r>
        <w:t>mluvní strany jsou povinny použít vždy stejný typ projevu vůle (podpisu). V tomto případě bude Dodatek odběrateli zaslán v jednom vyhotovení elektronickou formou.</w:t>
      </w:r>
    </w:p>
    <w:p w:rsidR="00F33291" w:rsidRDefault="00F91EA7">
      <w:pPr>
        <w:pStyle w:val="Zkladntext1"/>
        <w:numPr>
          <w:ilvl w:val="0"/>
          <w:numId w:val="2"/>
        </w:numPr>
        <w:shd w:val="clear" w:color="auto" w:fill="auto"/>
        <w:tabs>
          <w:tab w:val="left" w:pos="359"/>
        </w:tabs>
        <w:spacing w:after="200" w:line="230" w:lineRule="auto"/>
        <w:ind w:left="220" w:hanging="220"/>
        <w:jc w:val="both"/>
      </w:pPr>
      <w:r>
        <w:t>Tento Dodatek k Dohodě č. 159 nabývá platnosti dnem podpisu oběma stranami.</w:t>
      </w:r>
    </w:p>
    <w:p w:rsidR="00F33291" w:rsidRDefault="00F91EA7">
      <w:pPr>
        <w:pStyle w:val="Zkladntext1"/>
        <w:numPr>
          <w:ilvl w:val="0"/>
          <w:numId w:val="2"/>
        </w:numPr>
        <w:shd w:val="clear" w:color="auto" w:fill="auto"/>
        <w:tabs>
          <w:tab w:val="left" w:pos="359"/>
        </w:tabs>
        <w:spacing w:after="200" w:line="230" w:lineRule="auto"/>
        <w:ind w:left="220" w:hanging="220"/>
        <w:jc w:val="both"/>
      </w:pPr>
      <w:r>
        <w:t xml:space="preserve">Odběratel tímto </w:t>
      </w:r>
      <w:r>
        <w:t>informuje, že je stranou povinnou k registraci smlouvy dle Zákona č. 340/2015 Sb. o zvláštních podmínkách účinnosti některých smluv, uveřejňování těchto smluv a o registru smluv (Zákon o registru smluv) ve znění pozdějších předpisů. Smluvní strany se dohod</w:t>
      </w:r>
      <w:r>
        <w:t>ly, že má-li být tento Dodatek v souladu se Zákonem č. 340/2015 Sb. o registru smluv uveřejněn prostřednictvím registru smluv, pak se jeho uveřejnění zavazuje zajistit na své náklady postupem stanoveným výše uvedeným Zákonem odběratel. Smluvní strany berou</w:t>
      </w:r>
      <w:r>
        <w:t xml:space="preserve"> na vědomí a souhlasí s tím, že před uveřejněním tohoto Dodatku v registru smluv budou znečitelněna ta ustanovení, která představují výjimku z povinnosti uveřejnění dle platné legislativy.</w:t>
      </w:r>
      <w:r>
        <w:br w:type="page"/>
      </w:r>
    </w:p>
    <w:p w:rsidR="00F33291" w:rsidRDefault="00F91EA7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spacing w:after="220" w:line="230" w:lineRule="auto"/>
        <w:ind w:left="240" w:hanging="240"/>
        <w:jc w:val="both"/>
      </w:pPr>
      <w:r>
        <w:lastRenderedPageBreak/>
        <w:t>Smluvní strany berou na vědomí, že podléhá-li tento Dodatek povinn</w:t>
      </w:r>
      <w:r>
        <w:t>ému zveřejnění v registru smluv v souladu se Zákonem o registru smluv, nabude tento dodatek účinnosti dnem zveřejnění. Dojde-li však k jeho zveřejnění v registru smluv po 1. 1. 2024 a zároveň dojde ode dne 1. 1. 2024 do doby nabytí jeho účinnosti dnem zveř</w:t>
      </w:r>
      <w:r>
        <w:t>ejnění v registru smluv k plnění ze strany dodavatele, které nebude odběratelem odmítnuto, sjednávají smluvní strany, že dodávky budou realizovány dle právních poměrů uvedených v tomto Dodatku.</w:t>
      </w:r>
    </w:p>
    <w:p w:rsidR="00F33291" w:rsidRDefault="00F91EA7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spacing w:after="220" w:line="230" w:lineRule="auto"/>
        <w:ind w:left="240" w:hanging="240"/>
        <w:jc w:val="both"/>
      </w:pPr>
      <w:r>
        <w:t>Nepodléhá-li tento dodatek zveřejnění v registru smluv, nabývá</w:t>
      </w:r>
      <w:r>
        <w:t xml:space="preserve"> tento Dodatek účinnosti dnem 1. 1. 2024 v případě, že k jeho uzavření došlo před 1. 1. 2024. Nepodléhá-li tento Dodatek zveřejnění v registru smluv a k jeho uzavření došlo po 1. 1. 2024, přičemž zároveň došlo před datem uzavření Dodatku k plnění ze strany</w:t>
      </w:r>
      <w:r>
        <w:t xml:space="preserve"> dodavatele, pak smluvní strany výslovně sjednávají zpětnou účinnost tohoto Dodatku, a to od 1. 1. 2024, kdy za období od účinnosti do uzavření Dodatku jsou realizovány dodávky dle právních poměrů uvedených v tomto Dodatku.</w:t>
      </w:r>
    </w:p>
    <w:p w:rsidR="00F33291" w:rsidRDefault="00F91EA7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spacing w:after="600" w:line="230" w:lineRule="auto"/>
        <w:ind w:left="240" w:hanging="240"/>
      </w:pPr>
      <w:r>
        <w:t>Ostatní ustanovení uzavřené Doho</w:t>
      </w:r>
      <w:r>
        <w:t>dy zůstávají beze změny. Práva a povinnosti vyplývající ze smluvních vztahů před účinností tohoto Dodatku zůstávají zachovány.</w:t>
      </w:r>
    </w:p>
    <w:p w:rsidR="00F33291" w:rsidRDefault="00F91EA7" w:rsidP="00F91EA7">
      <w:pPr>
        <w:pStyle w:val="Zkladntext1"/>
        <w:shd w:val="clear" w:color="auto" w:fill="auto"/>
        <w:tabs>
          <w:tab w:val="left" w:leader="dot" w:pos="3986"/>
        </w:tabs>
        <w:spacing w:after="0"/>
        <w:ind w:left="1500" w:firstLine="20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25400</wp:posOffset>
                </wp:positionV>
                <wp:extent cx="2005330" cy="1739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3291" w:rsidRDefault="00F91EA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V……………… </w:t>
                            </w:r>
                            <w:r>
                              <w:t>dne 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2.7pt;margin-top:2pt;width:157.9pt;height:13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" filled="f" stroked="f">
                <v:textbox style="mso-fit-shape-to-text:t" inset="0,0,0,0">
                  <w:txbxContent>
                    <w:p w:rsidR="00F33291" w:rsidRDefault="00F91EA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V……………… </w:t>
                      </w:r>
                      <w:r>
                        <w:t>dne 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t xml:space="preserve">V  ………………..  </w:t>
      </w:r>
      <w:r>
        <w:t>dne……………………</w:t>
      </w:r>
    </w:p>
    <w:p w:rsidR="00F91EA7" w:rsidRDefault="00F91EA7">
      <w:pPr>
        <w:pStyle w:val="Zkladntext1"/>
        <w:shd w:val="clear" w:color="auto" w:fill="auto"/>
        <w:spacing w:after="0" w:line="230" w:lineRule="auto"/>
        <w:ind w:right="7980"/>
      </w:pPr>
    </w:p>
    <w:p w:rsidR="00F91EA7" w:rsidRDefault="00F91EA7">
      <w:pPr>
        <w:pStyle w:val="Zkladntext1"/>
        <w:shd w:val="clear" w:color="auto" w:fill="auto"/>
        <w:spacing w:after="0" w:line="230" w:lineRule="auto"/>
        <w:ind w:right="7980"/>
      </w:pPr>
    </w:p>
    <w:p w:rsidR="00F91EA7" w:rsidRDefault="00F91EA7">
      <w:pPr>
        <w:pStyle w:val="Zkladntext1"/>
        <w:shd w:val="clear" w:color="auto" w:fill="auto"/>
        <w:spacing w:after="0" w:line="230" w:lineRule="auto"/>
        <w:ind w:right="7980"/>
      </w:pPr>
    </w:p>
    <w:p w:rsidR="00F91EA7" w:rsidRDefault="00F91EA7">
      <w:pPr>
        <w:pStyle w:val="Zkladntext1"/>
        <w:shd w:val="clear" w:color="auto" w:fill="auto"/>
        <w:spacing w:after="0" w:line="230" w:lineRule="auto"/>
        <w:ind w:right="7980"/>
      </w:pPr>
    </w:p>
    <w:p w:rsidR="00F91EA7" w:rsidRDefault="00F91EA7">
      <w:pPr>
        <w:pStyle w:val="Zkladntext1"/>
        <w:shd w:val="clear" w:color="auto" w:fill="auto"/>
        <w:spacing w:after="0" w:line="230" w:lineRule="auto"/>
        <w:ind w:right="7980"/>
      </w:pPr>
    </w:p>
    <w:p w:rsidR="00F91EA7" w:rsidRDefault="00F91EA7">
      <w:pPr>
        <w:pStyle w:val="Zkladntext1"/>
        <w:shd w:val="clear" w:color="auto" w:fill="auto"/>
        <w:spacing w:after="0" w:line="230" w:lineRule="auto"/>
        <w:ind w:right="7980"/>
      </w:pPr>
    </w:p>
    <w:p w:rsidR="00F91EA7" w:rsidRDefault="00F91EA7">
      <w:pPr>
        <w:pStyle w:val="Zkladntext1"/>
        <w:shd w:val="clear" w:color="auto" w:fill="auto"/>
        <w:spacing w:after="0" w:line="230" w:lineRule="auto"/>
        <w:ind w:right="7980"/>
      </w:pPr>
    </w:p>
    <w:p w:rsidR="00F91EA7" w:rsidRDefault="00F91EA7">
      <w:pPr>
        <w:pStyle w:val="Zkladntext1"/>
        <w:shd w:val="clear" w:color="auto" w:fill="auto"/>
        <w:spacing w:after="0" w:line="230" w:lineRule="auto"/>
        <w:ind w:right="7980"/>
      </w:pPr>
    </w:p>
    <w:p w:rsidR="00F33291" w:rsidRDefault="00F91EA7" w:rsidP="00F91EA7">
      <w:pPr>
        <w:pStyle w:val="Zkladntext1"/>
        <w:shd w:val="clear" w:color="auto" w:fill="auto"/>
        <w:spacing w:after="0" w:line="230" w:lineRule="auto"/>
        <w:ind w:right="-53"/>
      </w:pPr>
      <w:r>
        <w:t>Odběratel: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  <w:t>Po</w:t>
      </w:r>
      <w:bookmarkStart w:id="4" w:name="_GoBack"/>
      <w:bookmarkEnd w:id="4"/>
      <w:r>
        <w:t>skytovatel:</w:t>
      </w:r>
      <w:r>
        <w:tab/>
      </w:r>
      <w:r>
        <w:tab/>
      </w:r>
      <w:r>
        <w:tab/>
      </w:r>
      <w:r>
        <w:tab/>
      </w:r>
      <w:r>
        <w:tab/>
      </w:r>
    </w:p>
    <w:sectPr w:rsidR="00F33291">
      <w:type w:val="continuous"/>
      <w:pgSz w:w="11900" w:h="16840"/>
      <w:pgMar w:top="829" w:right="1036" w:bottom="1175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91EA7">
      <w:r>
        <w:separator/>
      </w:r>
    </w:p>
  </w:endnote>
  <w:endnote w:type="continuationSeparator" w:id="0">
    <w:p w:rsidR="00000000" w:rsidRDefault="00F9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291" w:rsidRDefault="00F91EA7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561340</wp:posOffset>
              </wp:positionH>
              <wp:positionV relativeFrom="page">
                <wp:posOffset>10010140</wp:posOffset>
              </wp:positionV>
              <wp:extent cx="56388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3291" w:rsidRDefault="00F91EA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44.2pt;margin-top:788.2pt;width:44.4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" filled="f" stroked="f">
              <v:textbox style="mso-fit-shape-to-text:t" inset="0,0,0,0">
                <w:txbxContent>
                  <w:p w:rsidR="00F33291" w:rsidRDefault="00F91EA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291" w:rsidRDefault="00F33291"/>
  </w:footnote>
  <w:footnote w:type="continuationSeparator" w:id="0">
    <w:p w:rsidR="00F33291" w:rsidRDefault="00F332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4DE9"/>
    <w:multiLevelType w:val="multilevel"/>
    <w:tmpl w:val="371CB8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32C29"/>
    <w:multiLevelType w:val="multilevel"/>
    <w:tmpl w:val="D74AB8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91"/>
    <w:rsid w:val="00F33291"/>
    <w:rsid w:val="00F9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686E"/>
  <w15:docId w15:val="{44283A97-47B4-4AC7-A468-6C85E23C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2" w:lineRule="auto"/>
    </w:pPr>
    <w:rPr>
      <w:rFonts w:ascii="Segoe UI" w:eastAsia="Segoe UI" w:hAnsi="Segoe UI" w:cs="Segoe UI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jc w:val="center"/>
      <w:outlineLvl w:val="0"/>
    </w:pPr>
    <w:rPr>
      <w:rFonts w:ascii="Arial" w:eastAsia="Arial" w:hAnsi="Arial" w:cs="Arial"/>
      <w:b/>
      <w:bCs/>
      <w:sz w:val="28"/>
      <w:szCs w:val="28"/>
      <w:u w:val="singl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209" w:lineRule="auto"/>
      <w:ind w:left="620" w:firstLine="10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ep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db.czso.cz/vdbvo2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Ožanová</dc:creator>
  <cp:keywords/>
  <cp:lastModifiedBy>Renáta Partilová</cp:lastModifiedBy>
  <cp:revision>2</cp:revision>
  <dcterms:created xsi:type="dcterms:W3CDTF">2024-01-12T14:10:00Z</dcterms:created>
  <dcterms:modified xsi:type="dcterms:W3CDTF">2024-01-12T14:14:00Z</dcterms:modified>
</cp:coreProperties>
</file>