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463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492"/>
      </w:tblGrid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2A3966">
            <w:pPr>
              <w:pStyle w:val="Nzev"/>
              <w:spacing w:before="100" w:beforeAutospacing="1"/>
              <w:ind w:right="-22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>příkazní smlouvA o poskytování právních služeb</w:t>
            </w:r>
          </w:p>
        </w:tc>
      </w:tr>
      <w:tr w:rsidR="002A3966" w:rsidRPr="0085628B" w:rsidTr="002A3966">
        <w:trPr>
          <w:trHeight w:val="857"/>
        </w:trPr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b/>
                <w:sz w:val="20"/>
                <w:szCs w:val="20"/>
                <w:lang w:val="cs-CZ"/>
              </w:rPr>
              <w:t>BE.LO advokátní kancelář s.r.o.</w:t>
            </w: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 xml:space="preserve">, IČO: </w:t>
            </w:r>
            <w:r w:rsidRPr="0085628B">
              <w:rPr>
                <w:rFonts w:ascii="Arial" w:hAnsi="Arial" w:cs="Arial"/>
                <w:bCs/>
                <w:sz w:val="20"/>
                <w:szCs w:val="20"/>
              </w:rPr>
              <w:t>07394306</w:t>
            </w: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Masarykovo nábřeží 246/12, Nové Město, 110 00 Praha 1, zapsaná v obchodním rejstříku vedeném Městským soudem v Praze pod sp. zn.: C 300286, zastoupená Mgr. Martinou Bechynskou, jednatelkou  </w:t>
            </w:r>
          </w:p>
          <w:p w:rsidR="002A3966" w:rsidRPr="0085628B" w:rsidRDefault="002A396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>(dále jen „</w:t>
            </w:r>
            <w:r w:rsidRPr="0085628B">
              <w:rPr>
                <w:rFonts w:ascii="Arial" w:hAnsi="Arial" w:cs="Arial"/>
                <w:b/>
                <w:sz w:val="20"/>
                <w:szCs w:val="20"/>
                <w:lang w:val="cs-CZ"/>
              </w:rPr>
              <w:t>advokátní kancelář</w:t>
            </w: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>“¨)</w:t>
            </w:r>
          </w:p>
        </w:tc>
      </w:tr>
      <w:tr w:rsidR="002A3966" w:rsidRPr="0085628B" w:rsidTr="002A3966">
        <w:trPr>
          <w:trHeight w:val="84"/>
        </w:trPr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iCs/>
                <w:szCs w:val="20"/>
              </w:rPr>
            </w:pPr>
            <w:r w:rsidRPr="0085628B">
              <w:rPr>
                <w:rFonts w:cs="Arial"/>
                <w:i w:val="0"/>
                <w:iCs/>
                <w:szCs w:val="20"/>
              </w:rPr>
              <w:t>a</w:t>
            </w:r>
          </w:p>
        </w:tc>
      </w:tr>
      <w:tr w:rsidR="002A3966" w:rsidRPr="0085628B" w:rsidTr="002A3966">
        <w:trPr>
          <w:trHeight w:val="1187"/>
        </w:trPr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2A3966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spacing w:before="60" w:after="0"/>
              <w:outlineLvl w:val="0"/>
              <w:rPr>
                <w:rFonts w:cs="Arial"/>
                <w:b/>
                <w:bCs/>
                <w:szCs w:val="20"/>
              </w:rPr>
            </w:pPr>
            <w:r w:rsidRPr="0085628B">
              <w:rPr>
                <w:rFonts w:cs="Arial"/>
                <w:b/>
                <w:bCs/>
                <w:szCs w:val="20"/>
                <w:lang w:eastAsia="cs-CZ"/>
              </w:rPr>
              <w:t xml:space="preserve">Sociologický ústav AV ČR, v. v. i., </w:t>
            </w:r>
            <w:r w:rsidRPr="0085628B">
              <w:rPr>
                <w:rFonts w:cs="Arial"/>
                <w:szCs w:val="20"/>
              </w:rPr>
              <w:t xml:space="preserve">IČO: 68378025, se sídlem: </w:t>
            </w:r>
            <w:r w:rsidRPr="0085628B">
              <w:rPr>
                <w:rFonts w:eastAsia="Times New Roman" w:cs="Arial"/>
                <w:szCs w:val="20"/>
                <w:lang w:eastAsia="cs-CZ"/>
              </w:rPr>
              <w:t>Jilská 361/1, 110 00 Praha 1,</w:t>
            </w:r>
          </w:p>
          <w:p w:rsidR="002A3966" w:rsidRPr="0085628B" w:rsidRDefault="002A3966" w:rsidP="002A3966">
            <w:pPr>
              <w:spacing w:before="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 xml:space="preserve">zastoupený: </w:t>
            </w:r>
            <w:r w:rsidRPr="008562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Jindřich Krejčí, Ph.D., ředitel</w:t>
            </w:r>
            <w:r w:rsidR="00133D6C" w:rsidRPr="008562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</w:t>
            </w:r>
          </w:p>
          <w:p w:rsidR="002A3966" w:rsidRPr="0085628B" w:rsidRDefault="002A396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>(dále jen „</w:t>
            </w:r>
            <w:r w:rsidRPr="0085628B">
              <w:rPr>
                <w:rFonts w:ascii="Arial" w:hAnsi="Arial" w:cs="Arial"/>
                <w:b/>
                <w:sz w:val="20"/>
                <w:szCs w:val="20"/>
                <w:lang w:val="cs-CZ"/>
              </w:rPr>
              <w:t>klient</w:t>
            </w: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>“),</w:t>
            </w:r>
          </w:p>
        </w:tc>
      </w:tr>
      <w:tr w:rsidR="002A3966" w:rsidRPr="0085628B" w:rsidTr="002A3966">
        <w:trPr>
          <w:trHeight w:val="1187"/>
        </w:trPr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A3966" w:rsidRPr="0085628B" w:rsidRDefault="002A396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>uzavírají tuto</w:t>
            </w:r>
          </w:p>
          <w:p w:rsidR="002A3966" w:rsidRPr="0085628B" w:rsidRDefault="002A3966">
            <w:pPr>
              <w:rPr>
                <w:rFonts w:ascii="Arial" w:eastAsia="MS Mincho" w:hAnsi="Arial" w:cs="Arial"/>
                <w:b/>
                <w:sz w:val="20"/>
                <w:szCs w:val="20"/>
                <w:lang w:val="cs-CZ" w:eastAsia="en-US"/>
              </w:rPr>
            </w:pPr>
          </w:p>
          <w:p w:rsidR="002A3966" w:rsidRPr="0085628B" w:rsidRDefault="002A3966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b/>
                <w:sz w:val="20"/>
                <w:szCs w:val="20"/>
                <w:lang w:val="cs-CZ"/>
              </w:rPr>
              <w:t>PŘÍKAZNÍ SMLOUVU: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1"/>
              <w:outlineLvl w:val="0"/>
              <w:rPr>
                <w:rFonts w:cs="Arial"/>
                <w:b/>
                <w:lang w:val="cs-CZ"/>
              </w:rPr>
            </w:pPr>
            <w:r w:rsidRPr="0085628B">
              <w:rPr>
                <w:rFonts w:cs="Arial"/>
                <w:b/>
                <w:lang w:val="cs-CZ"/>
              </w:rPr>
              <w:t>Předmět smlouvy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A3966" w:rsidRPr="0085628B" w:rsidRDefault="002A396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sz w:val="20"/>
                <w:szCs w:val="20"/>
                <w:lang w:val="cs-CZ"/>
              </w:rPr>
              <w:t>Advokátní kancelář se zavazuje poskytovat klientovi právní služby. Klient se zavazuje za to advokátní kanceláři zaplatit úplatu za podmínek uvedených v této smlouvě.</w:t>
            </w:r>
          </w:p>
          <w:p w:rsidR="002A3966" w:rsidRPr="0085628B" w:rsidRDefault="002A3966">
            <w:pPr>
              <w:rPr>
                <w:rFonts w:ascii="Arial" w:eastAsia="MS Mincho" w:hAnsi="Arial" w:cs="Arial"/>
                <w:sz w:val="20"/>
                <w:szCs w:val="20"/>
                <w:lang w:val="cs-CZ" w:eastAsia="en-US"/>
              </w:rPr>
            </w:pP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1"/>
              <w:outlineLvl w:val="0"/>
              <w:rPr>
                <w:rFonts w:cs="Arial"/>
                <w:b/>
                <w:lang w:val="cs-CZ"/>
              </w:rPr>
            </w:pPr>
            <w:r w:rsidRPr="0085628B">
              <w:rPr>
                <w:rFonts w:cs="Arial"/>
                <w:b/>
                <w:lang w:val="cs-CZ"/>
              </w:rPr>
              <w:t>Práva a povinnosti advokátní kanceláře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2"/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Advokátní kancelář bude poskytovat právní služby dle konkrétních pokynů klienta. V případě, že klient nesdělí advokátní kanceláři konkrétní pokyn, bude advokátní kancelář ve prospěch klienta činit v rámci poskytování právních služeb veškeré úkony, které považuje za potřebné a vhodné k ochraně práv a oprávněných zájmů klienta, a to s maximální péčí a iniciativou.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2"/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Advokátní kancelář je povinna poskytovat právní služby poctivě a pečlivě, chránit a prosazovat práva a oprávněné zájmy klienta a řídit se jeho pokyny. Pokyny klienta však není vázána, jsou-li v rozporu se zákonem nebo stavovským předpisem České advokátní komory; o takovém rozporu je advokátní kancelář povinna klienta poučit.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2"/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Advokátní kancelář je povinna zachovávat mlčenlivost o všech skutečnostech, o nichž se dozvěděla v souvislosti s poskytováním právních služeb dle této smlouvy, a to v souladu s ustanovením § 21 zákona o advokacii.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2"/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Advokátní kancelář je povinna klienta řádně informovat o tom, jak vyřizování jeho věci postupuje, a poskytovat mu včas vysvětlení a podklady potřebné k uvážení dalších pokynů.</w:t>
            </w:r>
          </w:p>
        </w:tc>
      </w:tr>
      <w:tr w:rsidR="002A3966" w:rsidRPr="0085628B" w:rsidTr="002A3966">
        <w:trPr>
          <w:trHeight w:val="438"/>
        </w:trPr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1"/>
              <w:outlineLvl w:val="0"/>
              <w:rPr>
                <w:rFonts w:cs="Arial"/>
                <w:b/>
                <w:i/>
                <w:lang w:val="cs-CZ"/>
              </w:rPr>
            </w:pPr>
            <w:r w:rsidRPr="0085628B">
              <w:rPr>
                <w:rFonts w:cs="Arial"/>
                <w:b/>
                <w:lang w:val="cs-CZ"/>
              </w:rPr>
              <w:t>Odměna a náhrada nákladů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5"/>
              </w:numPr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Za poskytované služby bude advokátní kancelář účtovat klientovi smluvní časovou odměnu podle § 4 odst. 1 vyhlášky č. 177/1996 Sb., advokátní tarif, v platném znění.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5"/>
              </w:numPr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Odměna je stanovena na základě hodinové sazby za odvedenou práci. Hodinová sazba byla dohodnuta ve výši 2.000,- Kč bez DPH.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5"/>
              </w:numPr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K těmto částkám bude přičtena daň z přidané hodnoty.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5"/>
              </w:numPr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Klient je povinen podle § 13 vyhlášky č. 177/1996 Sb., advokátní tarif, v platném znění, nahradit advokátní kanceláři hotové výdaje účelně vynaložené v souvislosti s poskytnutím právních služeb, zejména správní poplatky, cestovní výdaje, letenky, náklady na ubytování, a to vše po předchozím odsouhlasení ze strany klienta. Drobné náklady nebudou účtovány.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5"/>
              </w:numPr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Advokátní kancelář bude účtovat klientovi odměnu a náhradu hotových výdajů formou pravidelných faktur, a to nejvýše jednou během kalendářního měsíce. Ke každé faktuře bude přiložen detailní hodinový přehled provedené práce.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5"/>
              </w:numPr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Klient je povinen uhradit veškeré fakturované částky na účet advokátní kanceláře uvedený ve vystavené faktuře, a to nejpozději do 15 dnů ode dne doručení faktury.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1"/>
              <w:outlineLvl w:val="0"/>
              <w:rPr>
                <w:rFonts w:cs="Arial"/>
                <w:b/>
                <w:lang w:val="cs-CZ"/>
              </w:rPr>
            </w:pPr>
            <w:r w:rsidRPr="0085628B">
              <w:rPr>
                <w:rFonts w:cs="Arial"/>
                <w:b/>
                <w:lang w:val="cs-CZ"/>
              </w:rPr>
              <w:t>Práva a povinnosti klienta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7"/>
              </w:numPr>
              <w:spacing w:before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Klient je povinen advokátní kancelář pravdivě, úplně a správně informovat o všech věcech souvisejících s poskytovanými právními službami a poskytovat advokátní kanceláři veškerou potřebnou součinnost.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1"/>
              <w:outlineLvl w:val="0"/>
              <w:rPr>
                <w:rFonts w:cs="Arial"/>
                <w:b/>
                <w:lang w:val="cs-CZ"/>
              </w:rPr>
            </w:pPr>
            <w:r w:rsidRPr="0085628B">
              <w:rPr>
                <w:rFonts w:cs="Arial"/>
                <w:b/>
                <w:lang w:val="cs-CZ"/>
              </w:rPr>
              <w:t>Střet zájmů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7"/>
              </w:numPr>
              <w:spacing w:before="0" w:after="12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 xml:space="preserve">Advokátní kancelář je povinna odmítnout poskytnout klientovi služby ve věcech, na nichž má osobní zájem nebo v nichž již poskytla služby jinému, a ve věcech souvisejících. 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1"/>
              <w:outlineLvl w:val="0"/>
              <w:rPr>
                <w:rFonts w:eastAsia="MS Mincho" w:cs="Arial"/>
                <w:b/>
                <w:lang w:val="cs-CZ"/>
              </w:rPr>
            </w:pPr>
            <w:r w:rsidRPr="0085628B">
              <w:rPr>
                <w:rFonts w:cs="Arial"/>
                <w:b/>
                <w:lang w:val="cs-CZ"/>
              </w:rPr>
              <w:t>Platnost smlouvy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10"/>
              </w:numPr>
              <w:spacing w:before="0" w:after="12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Tato smlouva nabývá platnosti</w:t>
            </w:r>
            <w:r w:rsidR="00A174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628B">
              <w:rPr>
                <w:rFonts w:ascii="Arial" w:hAnsi="Arial" w:cs="Arial"/>
                <w:sz w:val="20"/>
                <w:szCs w:val="20"/>
              </w:rPr>
              <w:t>podpisem obou smluvních stran</w:t>
            </w:r>
            <w:r w:rsidR="00A174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43F" w:rsidRPr="0085628B">
              <w:rPr>
                <w:rFonts w:ascii="Arial" w:hAnsi="Arial" w:cs="Arial"/>
                <w:sz w:val="20"/>
                <w:szCs w:val="20"/>
              </w:rPr>
              <w:t>a účinnosti</w:t>
            </w:r>
            <w:r w:rsidR="00A1743F">
              <w:rPr>
                <w:rFonts w:ascii="Arial" w:hAnsi="Arial" w:cs="Arial"/>
                <w:sz w:val="20"/>
                <w:szCs w:val="20"/>
              </w:rPr>
              <w:t xml:space="preserve"> dnem jejího zveřejnění v registru smluv v souladu s čl. VII. odst. 4 této </w:t>
            </w:r>
            <w:r w:rsidR="003E5277">
              <w:rPr>
                <w:rFonts w:ascii="Arial" w:hAnsi="Arial" w:cs="Arial"/>
                <w:sz w:val="20"/>
                <w:szCs w:val="20"/>
              </w:rPr>
              <w:t>s</w:t>
            </w:r>
            <w:r w:rsidR="00A1743F">
              <w:rPr>
                <w:rFonts w:ascii="Arial" w:hAnsi="Arial" w:cs="Arial"/>
                <w:sz w:val="20"/>
                <w:szCs w:val="20"/>
              </w:rPr>
              <w:t>mlouvy</w:t>
            </w:r>
            <w:r w:rsidRPr="008562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A3966" w:rsidRPr="0085628B" w:rsidRDefault="002A3966" w:rsidP="002A3966">
            <w:pPr>
              <w:pStyle w:val="Nadpis2"/>
              <w:spacing w:before="0" w:after="12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Tato smlouva se uzavírá na dobu neurčitou a každá smluvní strana je oprávněna tuto smlouvu kdykoli písemně vypovědět, a to i bez udání důvodu, přičemž výpovědní lhůta činí jeden měsíc od doručení výpovědi druhé smluvní straně.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1"/>
              <w:outlineLvl w:val="0"/>
              <w:rPr>
                <w:rFonts w:cs="Arial"/>
                <w:b/>
                <w:lang w:val="cs-CZ"/>
              </w:rPr>
            </w:pPr>
            <w:r w:rsidRPr="0085628B">
              <w:rPr>
                <w:rFonts w:cs="Arial"/>
                <w:b/>
                <w:lang w:val="cs-CZ"/>
              </w:rPr>
              <w:t>Závěrečná ustanovení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137C45">
            <w:pPr>
              <w:pStyle w:val="Nadpis2"/>
              <w:numPr>
                <w:ilvl w:val="1"/>
                <w:numId w:val="12"/>
              </w:numPr>
              <w:spacing w:before="0" w:after="12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Tato smlouva je vyhotovena v písemné podobě. Veškeré její změny a dodatky musejí mít písemnou formu a musejí být podepsány oběma smluvními stranami, pakliže není v této smlouvě uvedeno jinak.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2"/>
              <w:spacing w:before="0" w:after="12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Smlouva je vyhotovena ve dvou stejnopisech, přičemž advokátní kancelář obdrží jeden exemplář a klient jeden exemplář.</w:t>
            </w: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>
            <w:pPr>
              <w:pStyle w:val="Nadpis2"/>
              <w:spacing w:before="0" w:after="12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>Obě smluvní strany prohlašují, že se s obsahem této smlouvy řádně seznámily, že s jejím obsahem souhlasí a že mají oprávnění uzavření této smlouvy, jakož i k plnění závazků z této smlouvy vyplývajících. Na důkaz toho, že smlouva byla uzavřena svobodně a vážně, ji smluvní strany níže podepisují.</w:t>
            </w:r>
          </w:p>
          <w:p w:rsidR="0085628B" w:rsidRPr="00A1743F" w:rsidRDefault="0085628B" w:rsidP="0085628B">
            <w:pPr>
              <w:pStyle w:val="Nadpis2"/>
              <w:spacing w:before="0" w:after="12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 xml:space="preserve">Podepsáním této </w:t>
            </w:r>
            <w:r w:rsidR="003E5277">
              <w:rPr>
                <w:rFonts w:ascii="Arial" w:hAnsi="Arial" w:cs="Arial"/>
                <w:sz w:val="20"/>
                <w:szCs w:val="20"/>
              </w:rPr>
              <w:t>s</w:t>
            </w:r>
            <w:r w:rsidRPr="0085628B">
              <w:rPr>
                <w:rFonts w:ascii="Arial" w:hAnsi="Arial" w:cs="Arial"/>
                <w:sz w:val="20"/>
                <w:szCs w:val="20"/>
              </w:rPr>
              <w:t>mlouvy smluvní strany výslovně souhlasí s tím, aby byl celý text této smlouvy, případně její obsah a veškeré skutečnosti v ní uvedené ze strany klienta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      </w:r>
          </w:p>
          <w:p w:rsidR="0085628B" w:rsidRPr="0085628B" w:rsidRDefault="0085628B" w:rsidP="0085628B">
            <w:pPr>
              <w:rPr>
                <w:rFonts w:ascii="Arial" w:hAnsi="Arial" w:cs="Arial"/>
                <w:lang w:val="cs-CZ" w:eastAsia="en-US"/>
              </w:rPr>
            </w:pPr>
          </w:p>
          <w:p w:rsidR="0085628B" w:rsidRPr="0085628B" w:rsidRDefault="0085628B" w:rsidP="0085628B">
            <w:pPr>
              <w:rPr>
                <w:rFonts w:ascii="Arial" w:hAnsi="Arial" w:cs="Arial"/>
                <w:lang w:val="cs-CZ" w:eastAsia="en-US"/>
              </w:rPr>
            </w:pPr>
          </w:p>
          <w:p w:rsidR="0085628B" w:rsidRPr="0085628B" w:rsidRDefault="0085628B" w:rsidP="0085628B">
            <w:pPr>
              <w:rPr>
                <w:rFonts w:ascii="Arial" w:hAnsi="Arial" w:cs="Arial"/>
                <w:lang w:val="cs-CZ" w:eastAsia="en-US"/>
              </w:rPr>
            </w:pPr>
          </w:p>
        </w:tc>
      </w:tr>
      <w:tr w:rsidR="002A3966" w:rsidRPr="0085628B" w:rsidTr="002A3966">
        <w:tc>
          <w:tcPr>
            <w:tcW w:w="5000" w:type="pct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2A3966" w:rsidRPr="0085628B" w:rsidRDefault="002A3966" w:rsidP="00A1743F">
            <w:pPr>
              <w:pStyle w:val="Nadpis2"/>
              <w:numPr>
                <w:ilvl w:val="0"/>
                <w:numId w:val="0"/>
              </w:numPr>
              <w:spacing w:before="0" w:after="12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D6C" w:rsidRPr="0085628B" w:rsidTr="00133D6C">
        <w:tc>
          <w:tcPr>
            <w:tcW w:w="2485" w:type="pct"/>
          </w:tcPr>
          <w:p w:rsidR="00133D6C" w:rsidRPr="0085628B" w:rsidRDefault="00133D6C" w:rsidP="007F16F2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2515" w:type="pct"/>
          </w:tcPr>
          <w:p w:rsidR="00133D6C" w:rsidRPr="0085628B" w:rsidRDefault="00133D6C" w:rsidP="007F16F2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</w:tr>
      <w:tr w:rsidR="00133D6C" w:rsidRPr="0085628B" w:rsidTr="00133D6C">
        <w:tc>
          <w:tcPr>
            <w:tcW w:w="2485" w:type="pct"/>
          </w:tcPr>
          <w:p w:rsidR="00133D6C" w:rsidRPr="0085628B" w:rsidRDefault="00133D6C" w:rsidP="00133D6C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bCs/>
                <w:sz w:val="20"/>
                <w:szCs w:val="20"/>
                <w:lang w:val="cs-CZ"/>
              </w:rPr>
              <w:t>V Praze dne_________________</w:t>
            </w:r>
          </w:p>
        </w:tc>
        <w:tc>
          <w:tcPr>
            <w:tcW w:w="2515" w:type="pct"/>
          </w:tcPr>
          <w:p w:rsidR="00133D6C" w:rsidRPr="0085628B" w:rsidRDefault="00133D6C" w:rsidP="00133D6C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bCs/>
                <w:sz w:val="20"/>
                <w:szCs w:val="20"/>
                <w:lang w:val="cs-CZ"/>
              </w:rPr>
              <w:t>V Praze dne_________________</w:t>
            </w:r>
          </w:p>
        </w:tc>
      </w:tr>
      <w:tr w:rsidR="00133D6C" w:rsidRPr="0085628B" w:rsidTr="00133D6C">
        <w:tc>
          <w:tcPr>
            <w:tcW w:w="2485" w:type="pct"/>
          </w:tcPr>
          <w:p w:rsidR="00133D6C" w:rsidRPr="0085628B" w:rsidRDefault="00133D6C" w:rsidP="00133D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:rsidR="00133D6C" w:rsidRPr="0085628B" w:rsidRDefault="00133D6C" w:rsidP="00133D6C">
            <w:pPr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Za BE.LO advokátní kancelář s.r.o.: </w:t>
            </w:r>
          </w:p>
        </w:tc>
        <w:tc>
          <w:tcPr>
            <w:tcW w:w="2515" w:type="pct"/>
          </w:tcPr>
          <w:p w:rsidR="00133D6C" w:rsidRPr="0085628B" w:rsidRDefault="00133D6C" w:rsidP="00133D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:rsidR="00133D6C" w:rsidRPr="0085628B" w:rsidRDefault="00133D6C" w:rsidP="00133D6C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85628B">
              <w:rPr>
                <w:rFonts w:ascii="Arial" w:hAnsi="Arial" w:cs="Arial"/>
                <w:b/>
                <w:sz w:val="20"/>
                <w:szCs w:val="20"/>
                <w:lang w:val="cs-CZ"/>
              </w:rPr>
              <w:t>Za Sociologický ústav AV ČR, v. v. i.:</w:t>
            </w:r>
          </w:p>
        </w:tc>
      </w:tr>
      <w:tr w:rsidR="00133D6C" w:rsidRPr="0085628B" w:rsidTr="00133D6C">
        <w:tc>
          <w:tcPr>
            <w:tcW w:w="2485" w:type="pct"/>
          </w:tcPr>
          <w:p w:rsidR="00133D6C" w:rsidRPr="0085628B" w:rsidRDefault="00133D6C" w:rsidP="00133D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D6C" w:rsidRPr="0085628B" w:rsidRDefault="00133D6C" w:rsidP="00133D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D6C" w:rsidRPr="0085628B" w:rsidRDefault="00133D6C" w:rsidP="00133D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D6C" w:rsidRPr="0085628B" w:rsidRDefault="00133D6C" w:rsidP="00133D6C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133D6C" w:rsidRPr="0085628B" w:rsidRDefault="00133D6C" w:rsidP="00133D6C">
            <w:pPr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hAnsi="Arial" w:cs="Arial"/>
                <w:sz w:val="20"/>
                <w:szCs w:val="20"/>
              </w:rPr>
              <w:t xml:space="preserve">Mgr. Martina Bechynská, jednatelka </w:t>
            </w:r>
          </w:p>
        </w:tc>
        <w:tc>
          <w:tcPr>
            <w:tcW w:w="2515" w:type="pct"/>
          </w:tcPr>
          <w:p w:rsidR="00133D6C" w:rsidRPr="0085628B" w:rsidRDefault="00133D6C" w:rsidP="00133D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D6C" w:rsidRPr="0085628B" w:rsidRDefault="00133D6C" w:rsidP="00133D6C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133D6C" w:rsidRPr="0085628B" w:rsidRDefault="00133D6C" w:rsidP="00133D6C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133D6C" w:rsidRPr="0085628B" w:rsidRDefault="00133D6C" w:rsidP="00133D6C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133D6C" w:rsidRPr="0085628B" w:rsidRDefault="00133D6C" w:rsidP="00133D6C">
            <w:pPr>
              <w:rPr>
                <w:rFonts w:ascii="Arial" w:hAnsi="Arial" w:cs="Arial"/>
                <w:sz w:val="20"/>
                <w:szCs w:val="20"/>
              </w:rPr>
            </w:pPr>
            <w:r w:rsidRPr="008562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Jindřich Krejčí, Ph.D.</w:t>
            </w:r>
            <w:r w:rsidRPr="0085628B">
              <w:rPr>
                <w:rFonts w:ascii="Arial" w:hAnsi="Arial" w:cs="Arial"/>
                <w:sz w:val="20"/>
                <w:szCs w:val="20"/>
              </w:rPr>
              <w:t xml:space="preserve">, ředitel </w:t>
            </w:r>
          </w:p>
        </w:tc>
      </w:tr>
    </w:tbl>
    <w:p w:rsidR="007F16F2" w:rsidRPr="0085628B" w:rsidRDefault="007F16F2" w:rsidP="007F16F2">
      <w:pPr>
        <w:rPr>
          <w:rFonts w:ascii="Arial" w:hAnsi="Arial" w:cs="Arial"/>
          <w:sz w:val="20"/>
          <w:szCs w:val="20"/>
        </w:rPr>
      </w:pPr>
    </w:p>
    <w:p w:rsidR="007F16F2" w:rsidRPr="0085628B" w:rsidRDefault="007F16F2" w:rsidP="007F16F2">
      <w:pPr>
        <w:rPr>
          <w:rFonts w:ascii="Arial" w:hAnsi="Arial" w:cs="Arial"/>
          <w:sz w:val="20"/>
          <w:szCs w:val="20"/>
        </w:rPr>
      </w:pPr>
    </w:p>
    <w:p w:rsidR="007F16F2" w:rsidRPr="0085628B" w:rsidRDefault="007F16F2" w:rsidP="007F16F2">
      <w:pPr>
        <w:rPr>
          <w:rFonts w:ascii="Arial" w:hAnsi="Arial" w:cs="Arial"/>
          <w:sz w:val="20"/>
          <w:szCs w:val="20"/>
        </w:rPr>
      </w:pPr>
    </w:p>
    <w:p w:rsidR="00077023" w:rsidRPr="0085628B" w:rsidRDefault="00077023" w:rsidP="006F4E08">
      <w:pPr>
        <w:ind w:left="-567"/>
        <w:rPr>
          <w:rFonts w:ascii="Arial" w:hAnsi="Arial" w:cs="Arial"/>
          <w:sz w:val="20"/>
          <w:szCs w:val="20"/>
        </w:rPr>
      </w:pPr>
    </w:p>
    <w:sectPr w:rsidR="00077023" w:rsidRPr="0085628B" w:rsidSect="00665893">
      <w:headerReference w:type="default" r:id="rId7"/>
      <w:footerReference w:type="default" r:id="rId8"/>
      <w:pgSz w:w="11906" w:h="16838"/>
      <w:pgMar w:top="2367" w:right="849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C6" w:rsidRDefault="00F758C6" w:rsidP="00077023">
      <w:r>
        <w:separator/>
      </w:r>
    </w:p>
  </w:endnote>
  <w:endnote w:type="continuationSeparator" w:id="0">
    <w:p w:rsidR="00F758C6" w:rsidRDefault="00F758C6" w:rsidP="0007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023" w:rsidRDefault="00077023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100591B" wp14:editId="156730E9">
          <wp:simplePos x="0" y="0"/>
          <wp:positionH relativeFrom="column">
            <wp:posOffset>-920735</wp:posOffset>
          </wp:positionH>
          <wp:positionV relativeFrom="paragraph">
            <wp:posOffset>-180214</wp:posOffset>
          </wp:positionV>
          <wp:extent cx="7798040" cy="810594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8040" cy="810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C6" w:rsidRDefault="00F758C6" w:rsidP="00077023">
      <w:r>
        <w:separator/>
      </w:r>
    </w:p>
  </w:footnote>
  <w:footnote w:type="continuationSeparator" w:id="0">
    <w:p w:rsidR="00F758C6" w:rsidRDefault="00F758C6" w:rsidP="0007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023" w:rsidRDefault="00077023" w:rsidP="00077023">
    <w:pPr>
      <w:pStyle w:val="Zhlav"/>
      <w:ind w:left="-567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14B0BC6F" wp14:editId="5B39BC79">
          <wp:simplePos x="0" y="0"/>
          <wp:positionH relativeFrom="column">
            <wp:posOffset>-918845</wp:posOffset>
          </wp:positionH>
          <wp:positionV relativeFrom="paragraph">
            <wp:posOffset>-469265</wp:posOffset>
          </wp:positionV>
          <wp:extent cx="8296574" cy="1304925"/>
          <wp:effectExtent l="0" t="0" r="0" b="0"/>
          <wp:wrapThrough wrapText="bothSides">
            <wp:wrapPolygon edited="0">
              <wp:start x="6696" y="10721"/>
              <wp:lineTo x="1438" y="11352"/>
              <wp:lineTo x="1240" y="11667"/>
              <wp:lineTo x="1240" y="17658"/>
              <wp:lineTo x="4414" y="18289"/>
              <wp:lineTo x="4662" y="18289"/>
              <wp:lineTo x="7589" y="17658"/>
              <wp:lineTo x="7489" y="16397"/>
              <wp:lineTo x="7737" y="11667"/>
              <wp:lineTo x="7737" y="10721"/>
              <wp:lineTo x="6696" y="10721"/>
            </wp:wrapPolygon>
          </wp:wrapThrough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6574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7023" w:rsidRDefault="00077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710"/>
    <w:multiLevelType w:val="hybridMultilevel"/>
    <w:tmpl w:val="F9888190"/>
    <w:lvl w:ilvl="0" w:tplc="874E6116">
      <w:start w:val="1"/>
      <w:numFmt w:val="upperRoman"/>
      <w:pStyle w:val="Nadpis3"/>
      <w:lvlText w:val="%1."/>
      <w:lvlJc w:val="left"/>
      <w:pPr>
        <w:ind w:left="1174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894" w:hanging="360"/>
      </w:pPr>
    </w:lvl>
    <w:lvl w:ilvl="2" w:tplc="0405001B">
      <w:start w:val="1"/>
      <w:numFmt w:val="lowerRoman"/>
      <w:lvlText w:val="%3."/>
      <w:lvlJc w:val="right"/>
      <w:pPr>
        <w:ind w:left="2614" w:hanging="180"/>
      </w:pPr>
    </w:lvl>
    <w:lvl w:ilvl="3" w:tplc="0405000F">
      <w:start w:val="1"/>
      <w:numFmt w:val="decimal"/>
      <w:lvlText w:val="%4."/>
      <w:lvlJc w:val="left"/>
      <w:pPr>
        <w:ind w:left="3334" w:hanging="360"/>
      </w:pPr>
    </w:lvl>
    <w:lvl w:ilvl="4" w:tplc="04050019">
      <w:start w:val="1"/>
      <w:numFmt w:val="lowerLetter"/>
      <w:lvlText w:val="%5."/>
      <w:lvlJc w:val="left"/>
      <w:pPr>
        <w:ind w:left="4054" w:hanging="360"/>
      </w:pPr>
    </w:lvl>
    <w:lvl w:ilvl="5" w:tplc="0405001B">
      <w:start w:val="1"/>
      <w:numFmt w:val="lowerRoman"/>
      <w:lvlText w:val="%6."/>
      <w:lvlJc w:val="right"/>
      <w:pPr>
        <w:ind w:left="4774" w:hanging="180"/>
      </w:pPr>
    </w:lvl>
    <w:lvl w:ilvl="6" w:tplc="0405000F">
      <w:start w:val="1"/>
      <w:numFmt w:val="decimal"/>
      <w:lvlText w:val="%7."/>
      <w:lvlJc w:val="left"/>
      <w:pPr>
        <w:ind w:left="5494" w:hanging="360"/>
      </w:pPr>
    </w:lvl>
    <w:lvl w:ilvl="7" w:tplc="04050019">
      <w:start w:val="1"/>
      <w:numFmt w:val="lowerLetter"/>
      <w:lvlText w:val="%8."/>
      <w:lvlJc w:val="left"/>
      <w:pPr>
        <w:ind w:left="6214" w:hanging="360"/>
      </w:pPr>
    </w:lvl>
    <w:lvl w:ilvl="8" w:tplc="0405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249941D7"/>
    <w:multiLevelType w:val="hybridMultilevel"/>
    <w:tmpl w:val="C2E21068"/>
    <w:lvl w:ilvl="0" w:tplc="D0C800A2">
      <w:start w:val="1"/>
      <w:numFmt w:val="decimal"/>
      <w:pStyle w:val="Nadpis4"/>
      <w:lvlText w:val="%1."/>
      <w:lvlJc w:val="left"/>
      <w:pPr>
        <w:ind w:left="50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>
      <w:start w:val="1"/>
      <w:numFmt w:val="lowerRoman"/>
      <w:lvlText w:val="%3."/>
      <w:lvlJc w:val="right"/>
      <w:pPr>
        <w:ind w:left="2075" w:hanging="180"/>
      </w:pPr>
    </w:lvl>
    <w:lvl w:ilvl="3" w:tplc="0405000F">
      <w:start w:val="1"/>
      <w:numFmt w:val="decimal"/>
      <w:lvlText w:val="%4."/>
      <w:lvlJc w:val="left"/>
      <w:pPr>
        <w:ind w:left="2795" w:hanging="360"/>
      </w:pPr>
    </w:lvl>
    <w:lvl w:ilvl="4" w:tplc="04050019">
      <w:start w:val="1"/>
      <w:numFmt w:val="lowerLetter"/>
      <w:lvlText w:val="%5."/>
      <w:lvlJc w:val="left"/>
      <w:pPr>
        <w:ind w:left="3515" w:hanging="360"/>
      </w:pPr>
    </w:lvl>
    <w:lvl w:ilvl="5" w:tplc="0405001B">
      <w:start w:val="1"/>
      <w:numFmt w:val="lowerRoman"/>
      <w:lvlText w:val="%6."/>
      <w:lvlJc w:val="right"/>
      <w:pPr>
        <w:ind w:left="4235" w:hanging="180"/>
      </w:pPr>
    </w:lvl>
    <w:lvl w:ilvl="6" w:tplc="0405000F">
      <w:start w:val="1"/>
      <w:numFmt w:val="decimal"/>
      <w:lvlText w:val="%7."/>
      <w:lvlJc w:val="left"/>
      <w:pPr>
        <w:ind w:left="4955" w:hanging="360"/>
      </w:pPr>
    </w:lvl>
    <w:lvl w:ilvl="7" w:tplc="04050019">
      <w:start w:val="1"/>
      <w:numFmt w:val="lowerLetter"/>
      <w:lvlText w:val="%8."/>
      <w:lvlJc w:val="left"/>
      <w:pPr>
        <w:ind w:left="5675" w:hanging="360"/>
      </w:pPr>
    </w:lvl>
    <w:lvl w:ilvl="8" w:tplc="0405001B">
      <w:start w:val="1"/>
      <w:numFmt w:val="lowerRoman"/>
      <w:lvlText w:val="%9."/>
      <w:lvlJc w:val="right"/>
      <w:pPr>
        <w:ind w:left="6395" w:hanging="180"/>
      </w:pPr>
    </w:lvl>
  </w:abstractNum>
  <w:abstractNum w:abstractNumId="2" w15:restartNumberingAfterBreak="0">
    <w:nsid w:val="261F2DF6"/>
    <w:multiLevelType w:val="hybridMultilevel"/>
    <w:tmpl w:val="60F280CA"/>
    <w:lvl w:ilvl="0" w:tplc="45AE9052">
      <w:start w:val="1"/>
      <w:numFmt w:val="decimal"/>
      <w:pStyle w:val="AJSmluvnstrany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7485E"/>
    <w:multiLevelType w:val="multilevel"/>
    <w:tmpl w:val="F65493E6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Nadpis2"/>
      <w:lvlText w:val="%2."/>
      <w:lvlJc w:val="left"/>
      <w:pPr>
        <w:ind w:left="454" w:hanging="454"/>
      </w:pPr>
    </w:lvl>
    <w:lvl w:ilvl="2">
      <w:start w:val="1"/>
      <w:numFmt w:val="lowerLetter"/>
      <w:lvlText w:val="%3)"/>
      <w:lvlJc w:val="left"/>
      <w:pPr>
        <w:ind w:left="907" w:hanging="453"/>
      </w:pPr>
    </w:lvl>
    <w:lvl w:ilvl="3">
      <w:start w:val="1"/>
      <w:numFmt w:val="lowerRoman"/>
      <w:lvlText w:val="%4."/>
      <w:lvlJc w:val="left"/>
      <w:pPr>
        <w:ind w:left="1361" w:hanging="454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F2"/>
    <w:rsid w:val="00017F53"/>
    <w:rsid w:val="00077023"/>
    <w:rsid w:val="00133D6C"/>
    <w:rsid w:val="00176D53"/>
    <w:rsid w:val="001C6006"/>
    <w:rsid w:val="002A3966"/>
    <w:rsid w:val="00326109"/>
    <w:rsid w:val="0033722E"/>
    <w:rsid w:val="003E5277"/>
    <w:rsid w:val="00437400"/>
    <w:rsid w:val="004B120E"/>
    <w:rsid w:val="004C00C1"/>
    <w:rsid w:val="00665893"/>
    <w:rsid w:val="006707D6"/>
    <w:rsid w:val="006D1039"/>
    <w:rsid w:val="006F4E08"/>
    <w:rsid w:val="007F16F2"/>
    <w:rsid w:val="0085628B"/>
    <w:rsid w:val="008C2D9D"/>
    <w:rsid w:val="008C455F"/>
    <w:rsid w:val="008E3CAB"/>
    <w:rsid w:val="008F31EA"/>
    <w:rsid w:val="00976B39"/>
    <w:rsid w:val="009A177E"/>
    <w:rsid w:val="00A1743F"/>
    <w:rsid w:val="00C425F0"/>
    <w:rsid w:val="00C56080"/>
    <w:rsid w:val="00E20D36"/>
    <w:rsid w:val="00E74D6E"/>
    <w:rsid w:val="00E80B30"/>
    <w:rsid w:val="00F7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6616C"/>
  <w15:chartTrackingRefBased/>
  <w15:docId w15:val="{E41A8E14-7C2D-4AAE-B816-831B9F50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6F2"/>
    <w:pPr>
      <w:spacing w:after="0" w:line="240" w:lineRule="auto"/>
      <w:jc w:val="both"/>
    </w:pPr>
    <w:rPr>
      <w:rFonts w:asciiTheme="majorHAnsi" w:eastAsiaTheme="minorEastAsia" w:hAnsiTheme="majorHAnsi" w:cstheme="majorHAnsi"/>
      <w:lang w:val="en-GB" w:eastAsia="ja-JP"/>
    </w:rPr>
  </w:style>
  <w:style w:type="paragraph" w:styleId="Nadpis1">
    <w:name w:val="heading 1"/>
    <w:aliases w:val="Článek"/>
    <w:basedOn w:val="Normln"/>
    <w:next w:val="Normln"/>
    <w:link w:val="Nadpis1Char"/>
    <w:uiPriority w:val="1"/>
    <w:qFormat/>
    <w:rsid w:val="007F16F2"/>
    <w:pPr>
      <w:keepNext/>
      <w:keepLines/>
      <w:numPr>
        <w:numId w:val="1"/>
      </w:numPr>
      <w:spacing w:before="120" w:after="120"/>
      <w:ind w:left="357" w:hanging="357"/>
      <w:outlineLvl w:val="0"/>
    </w:pPr>
    <w:rPr>
      <w:rFonts w:ascii="Arial" w:eastAsiaTheme="majorEastAsia" w:hAnsi="Arial" w:cstheme="majorBidi"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6F2"/>
    <w:pPr>
      <w:numPr>
        <w:ilvl w:val="1"/>
        <w:numId w:val="1"/>
      </w:numPr>
      <w:spacing w:before="240" w:after="240"/>
      <w:outlineLvl w:val="1"/>
    </w:pPr>
    <w:rPr>
      <w:rFonts w:asciiTheme="minorHAnsi" w:eastAsia="MS Mincho" w:hAnsiTheme="minorHAnsi" w:cs="Times New Roman"/>
      <w:lang w:val="cs-CZ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6F2"/>
    <w:pPr>
      <w:numPr>
        <w:numId w:val="2"/>
      </w:numPr>
      <w:spacing w:before="120" w:after="120"/>
      <w:outlineLvl w:val="2"/>
    </w:pPr>
    <w:rPr>
      <w:rFonts w:ascii="Arial" w:eastAsia="MS Mincho" w:hAnsi="Arial" w:cs="Times New Roman"/>
      <w:b/>
      <w:i/>
      <w:sz w:val="20"/>
      <w:lang w:val="cs-CZ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6F2"/>
    <w:pPr>
      <w:numPr>
        <w:numId w:val="3"/>
      </w:numPr>
      <w:spacing w:after="120"/>
      <w:outlineLvl w:val="3"/>
    </w:pPr>
    <w:rPr>
      <w:rFonts w:ascii="Arial" w:eastAsia="MS Mincho" w:hAnsi="Arial" w:cs="Times New Roman"/>
      <w:sz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7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023"/>
  </w:style>
  <w:style w:type="paragraph" w:styleId="Zpat">
    <w:name w:val="footer"/>
    <w:basedOn w:val="Normln"/>
    <w:link w:val="ZpatChar"/>
    <w:uiPriority w:val="99"/>
    <w:unhideWhenUsed/>
    <w:rsid w:val="000770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023"/>
  </w:style>
  <w:style w:type="paragraph" w:styleId="Normlnweb">
    <w:name w:val="Normal (Web)"/>
    <w:basedOn w:val="Normln"/>
    <w:uiPriority w:val="99"/>
    <w:semiHidden/>
    <w:unhideWhenUsed/>
    <w:rsid w:val="00C425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Článek Char"/>
    <w:basedOn w:val="Standardnpsmoodstavce"/>
    <w:link w:val="Nadpis1"/>
    <w:uiPriority w:val="1"/>
    <w:rsid w:val="007F16F2"/>
    <w:rPr>
      <w:rFonts w:ascii="Arial" w:eastAsiaTheme="majorEastAsia" w:hAnsi="Arial" w:cstheme="majorBidi"/>
      <w:sz w:val="20"/>
      <w:szCs w:val="32"/>
      <w:lang w:val="en-GB" w:eastAsia="ja-JP"/>
    </w:rPr>
  </w:style>
  <w:style w:type="character" w:customStyle="1" w:styleId="Nadpis2Char">
    <w:name w:val="Nadpis 2 Char"/>
    <w:basedOn w:val="Standardnpsmoodstavce"/>
    <w:link w:val="Nadpis2"/>
    <w:uiPriority w:val="9"/>
    <w:rsid w:val="007F16F2"/>
    <w:rPr>
      <w:rFonts w:eastAsia="MS Mincho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16F2"/>
    <w:rPr>
      <w:rFonts w:ascii="Arial" w:eastAsia="MS Mincho" w:hAnsi="Arial" w:cs="Times New Roman"/>
      <w:b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16F2"/>
    <w:rPr>
      <w:rFonts w:ascii="Arial" w:eastAsia="MS Mincho" w:hAnsi="Arial" w:cs="Times New Roman"/>
      <w:sz w:val="20"/>
    </w:rPr>
  </w:style>
  <w:style w:type="paragraph" w:styleId="Nzev">
    <w:name w:val="Title"/>
    <w:basedOn w:val="Normln"/>
    <w:next w:val="Normln"/>
    <w:link w:val="NzevChar"/>
    <w:uiPriority w:val="3"/>
    <w:qFormat/>
    <w:rsid w:val="007F16F2"/>
    <w:pPr>
      <w:keepNext/>
      <w:spacing w:before="240" w:after="480"/>
      <w:contextualSpacing/>
      <w:jc w:val="center"/>
    </w:pPr>
    <w:rPr>
      <w:rFonts w:eastAsiaTheme="majorEastAsia" w:cstheme="majorBidi"/>
      <w:b/>
      <w:caps/>
      <w:szCs w:val="56"/>
    </w:rPr>
  </w:style>
  <w:style w:type="character" w:customStyle="1" w:styleId="NzevChar">
    <w:name w:val="Název Char"/>
    <w:basedOn w:val="Standardnpsmoodstavce"/>
    <w:link w:val="Nzev"/>
    <w:uiPriority w:val="3"/>
    <w:rsid w:val="007F16F2"/>
    <w:rPr>
      <w:rFonts w:asciiTheme="majorHAnsi" w:eastAsiaTheme="majorEastAsia" w:hAnsiTheme="majorHAnsi" w:cstheme="majorBidi"/>
      <w:b/>
      <w:caps/>
      <w:szCs w:val="56"/>
      <w:lang w:val="en-GB" w:eastAsia="ja-JP"/>
    </w:rPr>
  </w:style>
  <w:style w:type="paragraph" w:customStyle="1" w:styleId="AJPsmeno">
    <w:name w:val="(AJ) Písmeno"/>
    <w:basedOn w:val="Nadpis3"/>
    <w:qFormat/>
    <w:rsid w:val="007F16F2"/>
    <w:pPr>
      <w:numPr>
        <w:numId w:val="0"/>
      </w:numPr>
      <w:ind w:left="454" w:hanging="454"/>
    </w:pPr>
  </w:style>
  <w:style w:type="paragraph" w:customStyle="1" w:styleId="AJSmluvnstrany">
    <w:name w:val="(AJ) Smluvní strany"/>
    <w:basedOn w:val="Normln"/>
    <w:qFormat/>
    <w:rsid w:val="007F16F2"/>
    <w:pPr>
      <w:numPr>
        <w:numId w:val="4"/>
      </w:numPr>
      <w:ind w:left="454" w:hanging="454"/>
    </w:pPr>
    <w:rPr>
      <w:rFonts w:asciiTheme="minorHAnsi" w:eastAsia="MS Mincho" w:hAnsiTheme="minorHAnsi" w:cs="Times New Roman"/>
      <w:lang w:val="cs-CZ" w:eastAsia="en-US"/>
    </w:rPr>
  </w:style>
  <w:style w:type="table" w:styleId="Mkatabulky">
    <w:name w:val="Table Grid"/>
    <w:basedOn w:val="Normlntabulka"/>
    <w:rsid w:val="007F16F2"/>
    <w:pPr>
      <w:spacing w:after="0" w:line="240" w:lineRule="auto"/>
    </w:pPr>
    <w:rPr>
      <w:rFonts w:eastAsia="MS Mincho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5628B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562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62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628B"/>
    <w:rPr>
      <w:rFonts w:asciiTheme="majorHAnsi" w:eastAsiaTheme="minorEastAsia" w:hAnsiTheme="majorHAnsi" w:cstheme="majorHAnsi"/>
      <w:sz w:val="20"/>
      <w:szCs w:val="20"/>
      <w:lang w:val="en-GB"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2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28B"/>
    <w:rPr>
      <w:rFonts w:asciiTheme="majorHAnsi" w:eastAsiaTheme="minorEastAsia" w:hAnsiTheme="majorHAnsi" w:cstheme="majorHAnsi"/>
      <w:b/>
      <w:bCs/>
      <w:sz w:val="20"/>
      <w:szCs w:val="20"/>
      <w:lang w:val="en-GB"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D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D9D"/>
    <w:rPr>
      <w:rFonts w:ascii="Segoe UI" w:eastAsiaTheme="minorEastAsia" w:hAnsi="Segoe UI" w:cs="Segoe UI"/>
      <w:sz w:val="18"/>
      <w:szCs w:val="18"/>
      <w:lang w:val="en-GB" w:eastAsia="ja-JP"/>
    </w:rPr>
  </w:style>
  <w:style w:type="paragraph" w:styleId="Revize">
    <w:name w:val="Revision"/>
    <w:hidden/>
    <w:uiPriority w:val="99"/>
    <w:semiHidden/>
    <w:rsid w:val="00A1743F"/>
    <w:pPr>
      <w:spacing w:after="0" w:line="240" w:lineRule="auto"/>
    </w:pPr>
    <w:rPr>
      <w:rFonts w:asciiTheme="majorHAnsi" w:eastAsiaTheme="minorEastAsia" w:hAnsiTheme="majorHAnsi" w:cstheme="majorHAnsi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&#225;rka%20Loukotov&#225;\Desktop\BELO_hlavickovy_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BELO_hlavickovy_papir</Template>
  <TotalTime>5</TotalTime>
  <Pages>1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BELO</dc:creator>
  <cp:keywords/>
  <dc:description/>
  <cp:lastModifiedBy>AK BE.LO </cp:lastModifiedBy>
  <cp:revision>3</cp:revision>
  <cp:lastPrinted>2021-09-21T13:30:00Z</cp:lastPrinted>
  <dcterms:created xsi:type="dcterms:W3CDTF">2024-01-12T07:56:00Z</dcterms:created>
  <dcterms:modified xsi:type="dcterms:W3CDTF">2024-01-12T07:57:00Z</dcterms:modified>
</cp:coreProperties>
</file>