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DD98FEF" w:rsidR="0033337E" w:rsidRPr="00E9080E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E9080E" w:rsidRPr="00E9080E">
        <w:t>Milan Bartl</w:t>
      </w:r>
    </w:p>
    <w:p w14:paraId="0835CAB6" w14:textId="64584F45" w:rsidR="0033337E" w:rsidRPr="00AF2FC1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E9080E" w:rsidRPr="00E9080E">
        <w:t>Královopolské Vážany 143, 683 01, Rousínov</w:t>
      </w:r>
    </w:p>
    <w:p w14:paraId="7E6FAA28" w14:textId="2A67DA82" w:rsidR="0033337E" w:rsidRPr="00E9080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E9080E" w:rsidRPr="00E9080E">
        <w:t>72330449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1F25A40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 w:rsidR="00AF2FC1">
        <w:t xml:space="preserve"> </w:t>
      </w:r>
      <w:r w:rsidR="00E9080E">
        <w:t>krmné směsi pro papoušky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E9080E">
        <w:t>42 980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5EB7FA54" w:rsidR="00783003" w:rsidRDefault="00460ADD" w:rsidP="00783003">
      <w:pPr>
        <w:spacing w:after="0" w:line="240" w:lineRule="auto"/>
      </w:pPr>
      <w:r>
        <w:t>Milan Bartl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F76C5"/>
    <w:rsid w:val="002A08FA"/>
    <w:rsid w:val="0033337E"/>
    <w:rsid w:val="003E2A47"/>
    <w:rsid w:val="00430A90"/>
    <w:rsid w:val="00460ADD"/>
    <w:rsid w:val="00783003"/>
    <w:rsid w:val="00A85D0F"/>
    <w:rsid w:val="00AF2FC1"/>
    <w:rsid w:val="00C625BA"/>
    <w:rsid w:val="00CA7C5F"/>
    <w:rsid w:val="00D01A96"/>
    <w:rsid w:val="00D1112B"/>
    <w:rsid w:val="00E9080E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4</cp:revision>
  <cp:lastPrinted>2024-01-11T09:22:00Z</cp:lastPrinted>
  <dcterms:created xsi:type="dcterms:W3CDTF">2024-01-11T09:55:00Z</dcterms:created>
  <dcterms:modified xsi:type="dcterms:W3CDTF">2024-01-11T09:57:00Z</dcterms:modified>
</cp:coreProperties>
</file>