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DB2A58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2888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DB2A5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9416/S/2023-PSLO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DB2A58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UZSVM/S/5781/2023-PSLO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320495" w:rsidRDefault="00320495" w:rsidP="00D27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4A2D56"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se sídlem Rašínovo nábřeží 390/42, 128 00 Praha 2, 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a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JUDr. Markétou Szabo</w:t>
      </w:r>
      <w:r w:rsidRPr="006B66DC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kou</w:t>
      </w:r>
      <w:r w:rsidRPr="006B66DC">
        <w:rPr>
          <w:rFonts w:ascii="Arial" w:hAnsi="Arial" w:cs="Arial"/>
          <w:sz w:val="22"/>
          <w:szCs w:val="22"/>
        </w:rPr>
        <w:t xml:space="preserve"> </w:t>
      </w:r>
      <w:r w:rsidRPr="0062353D">
        <w:rPr>
          <w:rFonts w:ascii="Arial" w:hAnsi="Arial" w:cs="Arial"/>
          <w:sz w:val="22"/>
          <w:szCs w:val="22"/>
        </w:rPr>
        <w:t xml:space="preserve">Územního pracoviště </w:t>
      </w:r>
      <w:r>
        <w:rPr>
          <w:rFonts w:ascii="Arial" w:hAnsi="Arial" w:cs="Arial"/>
          <w:sz w:val="22"/>
          <w:szCs w:val="22"/>
        </w:rPr>
        <w:t>v hl. m. Praze, pověřen</w:t>
      </w:r>
      <w:r w:rsidR="00BB3662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zastupováním pracovního místa ředitele Územního pracoviště </w:t>
      </w:r>
      <w:r w:rsidRPr="0062353D">
        <w:rPr>
          <w:rFonts w:ascii="Arial" w:hAnsi="Arial" w:cs="Arial"/>
          <w:sz w:val="22"/>
          <w:szCs w:val="22"/>
        </w:rPr>
        <w:t>Střední Čechy</w:t>
      </w:r>
      <w:r w:rsidRPr="006B66DC">
        <w:rPr>
          <w:rFonts w:ascii="Arial" w:hAnsi="Arial" w:cs="Arial"/>
          <w:sz w:val="22"/>
          <w:szCs w:val="22"/>
        </w:rPr>
        <w:t>, pověřen</w:t>
      </w:r>
      <w:r w:rsidR="00BB3662">
        <w:rPr>
          <w:rFonts w:ascii="Arial" w:hAnsi="Arial" w:cs="Arial"/>
          <w:sz w:val="22"/>
          <w:szCs w:val="22"/>
        </w:rPr>
        <w:t>ou</w:t>
      </w:r>
      <w:r w:rsidRPr="006B66DC">
        <w:rPr>
          <w:rFonts w:ascii="Arial" w:hAnsi="Arial" w:cs="Arial"/>
          <w:sz w:val="22"/>
          <w:szCs w:val="22"/>
        </w:rPr>
        <w:t xml:space="preserve"> k podpisu Příkazem generálního ředitele č. 6/201</w:t>
      </w:r>
      <w:r>
        <w:rPr>
          <w:rFonts w:ascii="Arial" w:hAnsi="Arial" w:cs="Arial"/>
          <w:sz w:val="22"/>
          <w:szCs w:val="22"/>
        </w:rPr>
        <w:t>9</w:t>
      </w:r>
      <w:r w:rsidRPr="006B66DC">
        <w:rPr>
          <w:rFonts w:ascii="Arial" w:hAnsi="Arial" w:cs="Arial"/>
          <w:sz w:val="22"/>
          <w:szCs w:val="22"/>
        </w:rPr>
        <w:t>,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IČO: 69797111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(dále jen „převodce“)</w:t>
      </w:r>
    </w:p>
    <w:p w:rsidR="00BB3662" w:rsidRDefault="00BB3662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a</w:t>
      </w:r>
    </w:p>
    <w:p w:rsidR="00D2720D" w:rsidRPr="006B66DC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Default="00DB2A58" w:rsidP="00BB366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Středočeský kraj, </w:t>
      </w: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86158E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>Zborovská 11</w:t>
      </w:r>
      <w:r w:rsidRPr="008615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150 21 Praha 5</w:t>
      </w:r>
      <w:r w:rsidRPr="0086158E">
        <w:rPr>
          <w:rFonts w:ascii="Arial" w:hAnsi="Arial" w:cs="Arial"/>
          <w:sz w:val="22"/>
          <w:szCs w:val="22"/>
        </w:rPr>
        <w:t xml:space="preserve"> 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paní Mgr. Petrou Peckovou, hejtmankou 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>: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70891095</w:t>
      </w: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(dále jen „nabyvatel“)</w:t>
      </w: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účasti </w:t>
      </w: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8F441F" w:rsidRDefault="00DB2A58" w:rsidP="00BB36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441F">
        <w:rPr>
          <w:rFonts w:ascii="Arial" w:hAnsi="Arial" w:cs="Arial"/>
          <w:b/>
          <w:sz w:val="22"/>
          <w:szCs w:val="22"/>
        </w:rPr>
        <w:t xml:space="preserve">České </w:t>
      </w:r>
      <w:r w:rsidRPr="008F441F">
        <w:rPr>
          <w:rFonts w:ascii="Arial" w:hAnsi="Arial" w:cs="Arial"/>
          <w:b/>
          <w:sz w:val="22"/>
          <w:szCs w:val="22"/>
        </w:rPr>
        <w:t xml:space="preserve">republiky – Ministerstva dopravy </w:t>
      </w: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Nábřeží Ludvíka Svobody 12/1222, 110 15 Praha 1</w:t>
      </w: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 Ing. Zdeňkem Jelínkem, ředitelem odboru civilního letectví</w:t>
      </w:r>
    </w:p>
    <w:p w:rsidR="00D2720D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48135330</w:t>
      </w:r>
    </w:p>
    <w:p w:rsidR="00D2720D" w:rsidRPr="006B66DC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8F441F" w:rsidRDefault="00DB2A58" w:rsidP="00BB36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B66DC">
        <w:rPr>
          <w:rFonts w:ascii="Arial" w:hAnsi="Arial" w:cs="Arial"/>
          <w:sz w:val="22"/>
          <w:szCs w:val="22"/>
        </w:rPr>
        <w:t xml:space="preserve">zavírají </w:t>
      </w:r>
      <w:r>
        <w:rPr>
          <w:rFonts w:ascii="Arial" w:hAnsi="Arial" w:cs="Arial"/>
          <w:sz w:val="22"/>
          <w:szCs w:val="22"/>
        </w:rPr>
        <w:t xml:space="preserve">níže uvedeného dne, měsíce a roku v souladu s čl. XIII. odst. 2 </w:t>
      </w:r>
      <w:r w:rsidRPr="008F441F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</w:t>
      </w:r>
      <w:r w:rsidRPr="008F441F">
        <w:rPr>
          <w:rFonts w:ascii="Arial" w:hAnsi="Arial" w:cs="Arial"/>
          <w:sz w:val="22"/>
          <w:szCs w:val="22"/>
        </w:rPr>
        <w:t xml:space="preserve"> o bezúplatném převodu nemovitostí č. BP/12/2042/2006</w:t>
      </w:r>
      <w:r>
        <w:rPr>
          <w:rFonts w:ascii="Arial" w:hAnsi="Arial" w:cs="Arial"/>
          <w:sz w:val="22"/>
          <w:szCs w:val="22"/>
        </w:rPr>
        <w:t xml:space="preserve"> ze dne </w:t>
      </w:r>
      <w:r w:rsidRPr="00132D01">
        <w:rPr>
          <w:rFonts w:ascii="Arial" w:hAnsi="Arial" w:cs="Arial"/>
          <w:sz w:val="22"/>
          <w:szCs w:val="22"/>
        </w:rPr>
        <w:t>5. 1. 2007</w:t>
      </w:r>
      <w:r w:rsidRPr="00C91F11">
        <w:rPr>
          <w:rFonts w:ascii="Arial" w:hAnsi="Arial" w:cs="Arial"/>
          <w:sz w:val="22"/>
          <w:szCs w:val="22"/>
        </w:rPr>
        <w:t xml:space="preserve"> </w:t>
      </w:r>
      <w:r w:rsidRPr="008F441F">
        <w:rPr>
          <w:rFonts w:ascii="Arial" w:hAnsi="Arial" w:cs="Arial"/>
          <w:sz w:val="22"/>
          <w:szCs w:val="22"/>
        </w:rPr>
        <w:t>tento</w:t>
      </w:r>
    </w:p>
    <w:p w:rsidR="00D2720D" w:rsidRPr="006B66DC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4A2D56" w:rsidRDefault="00DB2A58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2D56">
        <w:rPr>
          <w:rFonts w:ascii="Arial" w:hAnsi="Arial" w:cs="Arial"/>
          <w:b/>
          <w:sz w:val="22"/>
          <w:szCs w:val="22"/>
        </w:rPr>
        <w:t>Dodatek č.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2720D" w:rsidRPr="004A2D56" w:rsidRDefault="00DB2A58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2D56">
        <w:rPr>
          <w:rFonts w:ascii="Arial" w:hAnsi="Arial" w:cs="Arial"/>
          <w:b/>
          <w:sz w:val="22"/>
          <w:szCs w:val="22"/>
        </w:rPr>
        <w:t xml:space="preserve">ke Smlouvě o bezúplatném převodu </w:t>
      </w:r>
      <w:r>
        <w:rPr>
          <w:rFonts w:ascii="Arial" w:hAnsi="Arial" w:cs="Arial"/>
          <w:b/>
          <w:sz w:val="22"/>
          <w:szCs w:val="22"/>
        </w:rPr>
        <w:t>nemovitostí č. BP/12/2042/2006</w:t>
      </w:r>
    </w:p>
    <w:p w:rsidR="00D2720D" w:rsidRPr="006B66DC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C91F11" w:rsidRDefault="00DB2A58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1F11">
        <w:rPr>
          <w:rFonts w:ascii="Arial" w:hAnsi="Arial" w:cs="Arial"/>
          <w:b/>
          <w:sz w:val="22"/>
          <w:szCs w:val="22"/>
        </w:rPr>
        <w:t>Čl. I</w:t>
      </w:r>
    </w:p>
    <w:p w:rsidR="00D2720D" w:rsidRPr="00265F75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F75">
        <w:rPr>
          <w:rFonts w:ascii="Arial" w:hAnsi="Arial" w:cs="Arial"/>
          <w:sz w:val="22"/>
          <w:szCs w:val="22"/>
        </w:rPr>
        <w:t>Česká republik</w:t>
      </w:r>
      <w:r>
        <w:rPr>
          <w:rFonts w:ascii="Arial" w:hAnsi="Arial" w:cs="Arial"/>
          <w:sz w:val="22"/>
          <w:szCs w:val="22"/>
        </w:rPr>
        <w:t>a</w:t>
      </w:r>
      <w:r w:rsidRPr="00265F75">
        <w:rPr>
          <w:rFonts w:ascii="Arial" w:hAnsi="Arial" w:cs="Arial"/>
          <w:sz w:val="22"/>
          <w:szCs w:val="22"/>
        </w:rPr>
        <w:t xml:space="preserve"> – Úřad pro zastupování státu ve věcech majetkových </w:t>
      </w:r>
      <w:r>
        <w:rPr>
          <w:rFonts w:ascii="Arial" w:hAnsi="Arial" w:cs="Arial"/>
          <w:sz w:val="22"/>
          <w:szCs w:val="22"/>
        </w:rPr>
        <w:t xml:space="preserve">jako převodce </w:t>
      </w:r>
      <w:r w:rsidRPr="00265F75">
        <w:rPr>
          <w:rFonts w:ascii="Arial" w:hAnsi="Arial" w:cs="Arial"/>
          <w:sz w:val="22"/>
          <w:szCs w:val="22"/>
        </w:rPr>
        <w:t xml:space="preserve">a Středočeský kraj </w:t>
      </w:r>
      <w:r>
        <w:rPr>
          <w:rFonts w:ascii="Arial" w:hAnsi="Arial" w:cs="Arial"/>
          <w:sz w:val="22"/>
          <w:szCs w:val="22"/>
        </w:rPr>
        <w:t xml:space="preserve">jako nabyvatel </w:t>
      </w:r>
      <w:r w:rsidRPr="00265F75">
        <w:rPr>
          <w:rFonts w:ascii="Arial" w:hAnsi="Arial" w:cs="Arial"/>
          <w:sz w:val="22"/>
          <w:szCs w:val="22"/>
        </w:rPr>
        <w:t xml:space="preserve">uzavřely za účasti České republiky – Ministerstva dopravy dne </w:t>
      </w:r>
      <w:r w:rsidRPr="00132D01">
        <w:rPr>
          <w:rFonts w:ascii="Arial" w:hAnsi="Arial" w:cs="Arial"/>
          <w:sz w:val="22"/>
          <w:szCs w:val="22"/>
        </w:rPr>
        <w:t>5. 1. 2007</w:t>
      </w:r>
      <w:r w:rsidRPr="00265F75">
        <w:rPr>
          <w:rFonts w:ascii="Arial" w:hAnsi="Arial" w:cs="Arial"/>
          <w:sz w:val="22"/>
          <w:szCs w:val="22"/>
        </w:rPr>
        <w:t xml:space="preserve"> Smlouvu o bez</w:t>
      </w:r>
      <w:r>
        <w:rPr>
          <w:rFonts w:ascii="Arial" w:hAnsi="Arial" w:cs="Arial"/>
          <w:sz w:val="22"/>
          <w:szCs w:val="22"/>
        </w:rPr>
        <w:t>ú</w:t>
      </w:r>
      <w:r w:rsidRPr="00265F75">
        <w:rPr>
          <w:rFonts w:ascii="Arial" w:hAnsi="Arial" w:cs="Arial"/>
          <w:sz w:val="22"/>
          <w:szCs w:val="22"/>
        </w:rPr>
        <w:t xml:space="preserve">platném převodu nemovitostí č. BP/12/2042/2006 (dále jen „smlouva“), jejímž předmětem byl bezúplatný převod </w:t>
      </w:r>
      <w:r>
        <w:rPr>
          <w:rFonts w:ascii="Arial" w:hAnsi="Arial" w:cs="Arial"/>
          <w:sz w:val="22"/>
          <w:szCs w:val="22"/>
        </w:rPr>
        <w:t>vlastnického práva převodce</w:t>
      </w:r>
      <w:r>
        <w:rPr>
          <w:rFonts w:ascii="Arial" w:hAnsi="Arial" w:cs="Arial"/>
          <w:sz w:val="22"/>
          <w:szCs w:val="22"/>
        </w:rPr>
        <w:t xml:space="preserve"> k </w:t>
      </w:r>
      <w:r w:rsidRPr="00265F75">
        <w:rPr>
          <w:rFonts w:ascii="Arial" w:hAnsi="Arial" w:cs="Arial"/>
          <w:sz w:val="22"/>
          <w:szCs w:val="22"/>
        </w:rPr>
        <w:t>následující</w:t>
      </w:r>
      <w:r>
        <w:rPr>
          <w:rFonts w:ascii="Arial" w:hAnsi="Arial" w:cs="Arial"/>
          <w:sz w:val="22"/>
          <w:szCs w:val="22"/>
        </w:rPr>
        <w:t>m</w:t>
      </w:r>
      <w:r w:rsidRPr="00265F75">
        <w:rPr>
          <w:rFonts w:ascii="Arial" w:hAnsi="Arial" w:cs="Arial"/>
          <w:sz w:val="22"/>
          <w:szCs w:val="22"/>
        </w:rPr>
        <w:t xml:space="preserve"> pozemků</w:t>
      </w:r>
      <w:r>
        <w:rPr>
          <w:rFonts w:ascii="Arial" w:hAnsi="Arial" w:cs="Arial"/>
          <w:sz w:val="22"/>
          <w:szCs w:val="22"/>
        </w:rPr>
        <w:t>m</w:t>
      </w:r>
      <w:r w:rsidRPr="00265F75">
        <w:rPr>
          <w:rFonts w:ascii="Arial" w:hAnsi="Arial" w:cs="Arial"/>
          <w:sz w:val="22"/>
          <w:szCs w:val="22"/>
        </w:rPr>
        <w:t xml:space="preserve">: </w:t>
      </w:r>
    </w:p>
    <w:p w:rsidR="00D2720D" w:rsidRPr="00C91F11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91F11">
        <w:rPr>
          <w:rFonts w:ascii="Arial" w:hAnsi="Arial" w:cs="Arial"/>
          <w:sz w:val="22"/>
          <w:szCs w:val="22"/>
        </w:rPr>
        <w:t>stavební parcela č. 151</w:t>
      </w:r>
      <w:r>
        <w:rPr>
          <w:rFonts w:ascii="Arial" w:hAnsi="Arial" w:cs="Arial"/>
          <w:sz w:val="22"/>
          <w:szCs w:val="22"/>
        </w:rPr>
        <w:t>, druh pozemku:</w:t>
      </w:r>
      <w:r w:rsidRPr="00C91F11">
        <w:rPr>
          <w:rFonts w:ascii="Arial" w:hAnsi="Arial" w:cs="Arial"/>
          <w:sz w:val="22"/>
          <w:szCs w:val="22"/>
        </w:rPr>
        <w:t xml:space="preserve"> zastavěná plocha a nádvoří,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stavební parcela č. </w:t>
      </w:r>
      <w:r>
        <w:rPr>
          <w:rFonts w:ascii="Arial" w:hAnsi="Arial" w:cs="Arial"/>
          <w:sz w:val="22"/>
          <w:szCs w:val="22"/>
        </w:rPr>
        <w:t>152,</w:t>
      </w:r>
      <w:r w:rsidRPr="003272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druh pozemku:</w:t>
      </w:r>
      <w:r w:rsidRPr="00D07469">
        <w:rPr>
          <w:rFonts w:ascii="Arial" w:hAnsi="Arial" w:cs="Arial"/>
          <w:sz w:val="22"/>
          <w:szCs w:val="22"/>
        </w:rPr>
        <w:t xml:space="preserve"> </w:t>
      </w:r>
      <w:r w:rsidRPr="006B66DC">
        <w:rPr>
          <w:rFonts w:ascii="Arial" w:hAnsi="Arial" w:cs="Arial"/>
          <w:sz w:val="22"/>
          <w:szCs w:val="22"/>
        </w:rPr>
        <w:t xml:space="preserve">zastavěná plocha a nádvoří, </w:t>
      </w:r>
      <w:r>
        <w:rPr>
          <w:rFonts w:ascii="Arial" w:hAnsi="Arial" w:cs="Arial"/>
          <w:sz w:val="22"/>
          <w:szCs w:val="22"/>
        </w:rPr>
        <w:t xml:space="preserve">společně se stavbou – budova bez č.p či č.e., způsob využití: jiná stavba,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stavební parcela č. </w:t>
      </w:r>
      <w:r>
        <w:rPr>
          <w:rFonts w:ascii="Arial" w:hAnsi="Arial" w:cs="Arial"/>
          <w:sz w:val="22"/>
          <w:szCs w:val="22"/>
        </w:rPr>
        <w:t>153,</w:t>
      </w:r>
      <w:r w:rsidRPr="003272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druh pozemku:</w:t>
      </w:r>
      <w:r w:rsidRPr="006B66DC">
        <w:rPr>
          <w:rFonts w:ascii="Arial" w:hAnsi="Arial" w:cs="Arial"/>
          <w:sz w:val="22"/>
          <w:szCs w:val="22"/>
        </w:rPr>
        <w:t xml:space="preserve"> zastavěná plocha a nádvoří, </w:t>
      </w:r>
      <w:r>
        <w:rPr>
          <w:rFonts w:ascii="Arial" w:hAnsi="Arial" w:cs="Arial"/>
          <w:sz w:val="22"/>
          <w:szCs w:val="22"/>
        </w:rPr>
        <w:t>společně se stavbou – budova bez č.p či č.e., způsob využití: jiná stavba,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stavební parcela č. </w:t>
      </w:r>
      <w:r>
        <w:rPr>
          <w:rFonts w:ascii="Arial" w:hAnsi="Arial" w:cs="Arial"/>
          <w:sz w:val="22"/>
          <w:szCs w:val="22"/>
        </w:rPr>
        <w:t>177, druh pozemku:</w:t>
      </w:r>
      <w:r w:rsidRPr="006B66DC">
        <w:rPr>
          <w:rFonts w:ascii="Arial" w:hAnsi="Arial" w:cs="Arial"/>
          <w:sz w:val="22"/>
          <w:szCs w:val="22"/>
        </w:rPr>
        <w:t xml:space="preserve"> zastavěná plocha a nádvoří,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stavební parcela č. </w:t>
      </w:r>
      <w:r>
        <w:rPr>
          <w:rFonts w:ascii="Arial" w:hAnsi="Arial" w:cs="Arial"/>
          <w:sz w:val="22"/>
          <w:szCs w:val="22"/>
        </w:rPr>
        <w:t>207, druh pozemku:</w:t>
      </w:r>
      <w:r w:rsidRPr="006B66DC">
        <w:rPr>
          <w:rFonts w:ascii="Arial" w:hAnsi="Arial" w:cs="Arial"/>
          <w:sz w:val="22"/>
          <w:szCs w:val="22"/>
        </w:rPr>
        <w:t xml:space="preserve"> zastavě</w:t>
      </w:r>
      <w:r w:rsidRPr="006B66DC">
        <w:rPr>
          <w:rFonts w:ascii="Arial" w:hAnsi="Arial" w:cs="Arial"/>
          <w:sz w:val="22"/>
          <w:szCs w:val="22"/>
        </w:rPr>
        <w:t xml:space="preserve">ná plocha a nádvoří,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pozemková</w:t>
      </w:r>
      <w:r w:rsidRPr="006B66DC">
        <w:rPr>
          <w:rFonts w:ascii="Arial" w:hAnsi="Arial" w:cs="Arial"/>
          <w:sz w:val="22"/>
          <w:szCs w:val="22"/>
        </w:rPr>
        <w:t xml:space="preserve"> parcela č. </w:t>
      </w:r>
      <w:r>
        <w:rPr>
          <w:rFonts w:ascii="Arial" w:hAnsi="Arial" w:cs="Arial"/>
          <w:sz w:val="22"/>
          <w:szCs w:val="22"/>
        </w:rPr>
        <w:t>382/1, druh pozemku: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sz w:val="22"/>
          <w:szCs w:val="22"/>
        </w:rPr>
        <w:t>382/2, druh pozemku:</w:t>
      </w:r>
      <w:r w:rsidRPr="006B66DC">
        <w:rPr>
          <w:rFonts w:ascii="Arial" w:hAnsi="Arial" w:cs="Arial"/>
          <w:sz w:val="22"/>
          <w:szCs w:val="22"/>
        </w:rPr>
        <w:t xml:space="preserve"> ostatní plocha,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pozemková</w:t>
      </w:r>
      <w:r w:rsidRPr="006B66DC">
        <w:rPr>
          <w:rFonts w:ascii="Arial" w:hAnsi="Arial" w:cs="Arial"/>
          <w:sz w:val="22"/>
          <w:szCs w:val="22"/>
        </w:rPr>
        <w:t xml:space="preserve"> parcela č. </w:t>
      </w:r>
      <w:r>
        <w:rPr>
          <w:rFonts w:ascii="Arial" w:hAnsi="Arial" w:cs="Arial"/>
          <w:sz w:val="22"/>
          <w:szCs w:val="22"/>
        </w:rPr>
        <w:t>382/5, druh pozemku: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sz w:val="22"/>
          <w:szCs w:val="22"/>
        </w:rPr>
        <w:t>382/21, druh pozemku:</w:t>
      </w:r>
      <w:r w:rsidRPr="006B66DC">
        <w:rPr>
          <w:rFonts w:ascii="Arial" w:hAnsi="Arial" w:cs="Arial"/>
          <w:sz w:val="22"/>
          <w:szCs w:val="22"/>
        </w:rPr>
        <w:t xml:space="preserve"> 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pozemková</w:t>
      </w:r>
      <w:r w:rsidRPr="006B66DC">
        <w:rPr>
          <w:rFonts w:ascii="Arial" w:hAnsi="Arial" w:cs="Arial"/>
          <w:sz w:val="22"/>
          <w:szCs w:val="22"/>
        </w:rPr>
        <w:t xml:space="preserve"> parcela č. </w:t>
      </w:r>
      <w:r>
        <w:rPr>
          <w:rFonts w:ascii="Arial" w:hAnsi="Arial" w:cs="Arial"/>
          <w:sz w:val="22"/>
          <w:szCs w:val="22"/>
        </w:rPr>
        <w:t>382/23, druh pozemku: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sz w:val="22"/>
          <w:szCs w:val="22"/>
        </w:rPr>
        <w:t>382/25, druh pozemku:</w:t>
      </w:r>
      <w:r w:rsidRPr="00D07469">
        <w:rPr>
          <w:rFonts w:ascii="Arial" w:hAnsi="Arial" w:cs="Arial"/>
          <w:sz w:val="22"/>
          <w:szCs w:val="22"/>
        </w:rPr>
        <w:t xml:space="preserve"> </w:t>
      </w:r>
      <w:r w:rsidRPr="006B66DC">
        <w:rPr>
          <w:rFonts w:ascii="Arial" w:hAnsi="Arial" w:cs="Arial"/>
          <w:sz w:val="22"/>
          <w:szCs w:val="22"/>
        </w:rPr>
        <w:t xml:space="preserve">ostatní plocha,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pozemková</w:t>
      </w:r>
      <w:r w:rsidRPr="006B66DC">
        <w:rPr>
          <w:rFonts w:ascii="Arial" w:hAnsi="Arial" w:cs="Arial"/>
          <w:sz w:val="22"/>
          <w:szCs w:val="22"/>
        </w:rPr>
        <w:t xml:space="preserve"> parcela č. </w:t>
      </w:r>
      <w:r>
        <w:rPr>
          <w:rFonts w:ascii="Arial" w:hAnsi="Arial" w:cs="Arial"/>
          <w:sz w:val="22"/>
          <w:szCs w:val="22"/>
        </w:rPr>
        <w:t>382/27, druh pozemku:</w:t>
      </w:r>
      <w:r w:rsidRPr="00D07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sz w:val="22"/>
          <w:szCs w:val="22"/>
        </w:rPr>
        <w:t>382/30, druh pozemku:</w:t>
      </w:r>
      <w:r w:rsidRPr="00D07469">
        <w:rPr>
          <w:rFonts w:ascii="Arial" w:hAnsi="Arial" w:cs="Arial"/>
          <w:sz w:val="22"/>
          <w:szCs w:val="22"/>
        </w:rPr>
        <w:t xml:space="preserve"> </w:t>
      </w:r>
      <w:r w:rsidRPr="006B66DC">
        <w:rPr>
          <w:rFonts w:ascii="Arial" w:hAnsi="Arial" w:cs="Arial"/>
          <w:sz w:val="22"/>
          <w:szCs w:val="22"/>
        </w:rPr>
        <w:t xml:space="preserve">ostatní plocha, </w:t>
      </w:r>
    </w:p>
    <w:p w:rsidR="00D2720D" w:rsidRDefault="00DB2A58" w:rsidP="00BB3662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pozemková</w:t>
      </w:r>
      <w:r w:rsidRPr="006B66DC">
        <w:rPr>
          <w:rFonts w:ascii="Arial" w:hAnsi="Arial" w:cs="Arial"/>
          <w:sz w:val="22"/>
          <w:szCs w:val="22"/>
        </w:rPr>
        <w:t xml:space="preserve"> par</w:t>
      </w:r>
      <w:r w:rsidRPr="006B66DC">
        <w:rPr>
          <w:rFonts w:ascii="Arial" w:hAnsi="Arial" w:cs="Arial"/>
          <w:sz w:val="22"/>
          <w:szCs w:val="22"/>
        </w:rPr>
        <w:t xml:space="preserve">cela č. </w:t>
      </w:r>
      <w:r>
        <w:rPr>
          <w:rFonts w:ascii="Arial" w:hAnsi="Arial" w:cs="Arial"/>
          <w:sz w:val="22"/>
          <w:szCs w:val="22"/>
        </w:rPr>
        <w:t>382/31, druh pozemku:</w:t>
      </w:r>
      <w:r w:rsidRPr="00D07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 plocha</w:t>
      </w:r>
      <w:r w:rsidRPr="006B66DC">
        <w:rPr>
          <w:rFonts w:ascii="Arial" w:hAnsi="Arial" w:cs="Arial"/>
          <w:sz w:val="22"/>
          <w:szCs w:val="22"/>
        </w:rPr>
        <w:t xml:space="preserve">, </w:t>
      </w:r>
    </w:p>
    <w:p w:rsidR="00D2720D" w:rsidRDefault="00DB2A58" w:rsidP="00BB366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>vše v</w:t>
      </w:r>
      <w:r>
        <w:rPr>
          <w:rFonts w:ascii="Arial" w:hAnsi="Arial" w:cs="Arial"/>
          <w:sz w:val="22"/>
          <w:szCs w:val="22"/>
        </w:rPr>
        <w:t> </w:t>
      </w:r>
      <w:r w:rsidRPr="006B66DC">
        <w:rPr>
          <w:rFonts w:ascii="Arial" w:hAnsi="Arial" w:cs="Arial"/>
          <w:sz w:val="22"/>
          <w:szCs w:val="22"/>
        </w:rPr>
        <w:t xml:space="preserve">k.ú. </w:t>
      </w:r>
      <w:r>
        <w:rPr>
          <w:rFonts w:ascii="Arial" w:hAnsi="Arial" w:cs="Arial"/>
          <w:sz w:val="22"/>
          <w:szCs w:val="22"/>
        </w:rPr>
        <w:t>Nesvačily u Bystřice</w:t>
      </w:r>
      <w:r w:rsidRPr="006B66DC">
        <w:rPr>
          <w:rFonts w:ascii="Arial" w:hAnsi="Arial" w:cs="Arial"/>
          <w:sz w:val="22"/>
          <w:szCs w:val="22"/>
        </w:rPr>
        <w:t xml:space="preserve"> (dále jen „předmětné nemovité věci“)</w:t>
      </w:r>
      <w:r>
        <w:rPr>
          <w:rFonts w:ascii="Arial" w:hAnsi="Arial" w:cs="Arial"/>
          <w:sz w:val="22"/>
          <w:szCs w:val="22"/>
        </w:rPr>
        <w:t xml:space="preserve"> na nabyvatele. Vklad vlastnického práva k předmětným nemovitým věcem do katastru nemovitostí ve prospěch nabyvatele byl proveden s právními účinky ke dni </w:t>
      </w:r>
      <w:r w:rsidRPr="00265F75"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 xml:space="preserve"> </w:t>
      </w:r>
      <w:r w:rsidRPr="00265F7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265F75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>.</w:t>
      </w:r>
    </w:p>
    <w:p w:rsidR="00D2720D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Předmětné nemovité věci tvoří areál Letiště Benešov – veřejného vnitrostátního letiště a</w:t>
      </w:r>
      <w:r>
        <w:rPr>
          <w:rFonts w:ascii="Arial" w:hAnsi="Arial" w:cs="Arial"/>
          <w:sz w:val="22"/>
          <w:szCs w:val="22"/>
        </w:rPr>
        <w:t xml:space="preserve"> neveřejného mezinárodního letiště –, jehož zřizovatelem je město Bystřice. Provozovatelem Letiště Benešov je Letiště Benešov, IČO: </w:t>
      </w:r>
      <w:r w:rsidRPr="00C91F11">
        <w:rPr>
          <w:rFonts w:ascii="Arial" w:hAnsi="Arial" w:cs="Arial"/>
          <w:sz w:val="22"/>
          <w:szCs w:val="22"/>
        </w:rPr>
        <w:t>66781931</w:t>
      </w:r>
      <w:r>
        <w:rPr>
          <w:rFonts w:ascii="Arial" w:hAnsi="Arial" w:cs="Arial"/>
          <w:sz w:val="22"/>
          <w:szCs w:val="22"/>
        </w:rPr>
        <w:t>, příspěvková organizace zřízená městem Bystřice.</w:t>
      </w:r>
    </w:p>
    <w:p w:rsidR="00D2720D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C8C">
        <w:rPr>
          <w:rFonts w:ascii="Arial" w:hAnsi="Arial" w:cs="Arial"/>
          <w:sz w:val="22"/>
          <w:szCs w:val="22"/>
        </w:rPr>
        <w:t>S ohledem na způsob využití předmětných nemovitých věcí se nabyvat</w:t>
      </w:r>
      <w:r w:rsidRPr="00640C8C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6B66DC">
        <w:rPr>
          <w:rFonts w:ascii="Arial" w:hAnsi="Arial" w:cs="Arial"/>
          <w:sz w:val="22"/>
          <w:szCs w:val="22"/>
        </w:rPr>
        <w:t xml:space="preserve">odle ustanovení Čl. </w:t>
      </w:r>
      <w:r>
        <w:rPr>
          <w:rFonts w:ascii="Arial" w:hAnsi="Arial" w:cs="Arial"/>
          <w:sz w:val="22"/>
          <w:szCs w:val="22"/>
        </w:rPr>
        <w:t>V. odst. 1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</w:t>
      </w:r>
      <w:r w:rsidRPr="006B66DC">
        <w:rPr>
          <w:rFonts w:ascii="Arial" w:hAnsi="Arial" w:cs="Arial"/>
          <w:sz w:val="22"/>
          <w:szCs w:val="22"/>
        </w:rPr>
        <w:t>zavázal</w:t>
      </w:r>
      <w:r>
        <w:rPr>
          <w:rFonts w:ascii="Arial" w:hAnsi="Arial" w:cs="Arial"/>
          <w:sz w:val="22"/>
          <w:szCs w:val="22"/>
        </w:rPr>
        <w:t xml:space="preserve"> předmětné nemovité věci uvedené v Čl. I smlouvy využívat nejméně po dobu 20 let od vkladu práva dle smlouvy do katastru nemovitostí jako letiště a jeho zázemí ve smyslu platných právních předpisů. Po stejn</w:t>
      </w:r>
      <w:r>
        <w:rPr>
          <w:rFonts w:ascii="Arial" w:hAnsi="Arial" w:cs="Arial"/>
          <w:sz w:val="22"/>
          <w:szCs w:val="22"/>
        </w:rPr>
        <w:t xml:space="preserve">ou dobu se zavázal nevyvolat řízení, které by vedlo ke zrušení statutu letiště na předmětných nemovitých věcech. </w:t>
      </w:r>
      <w:r w:rsidRPr="006B66DC">
        <w:rPr>
          <w:rFonts w:ascii="Arial" w:hAnsi="Arial" w:cs="Arial"/>
          <w:sz w:val="22"/>
          <w:szCs w:val="22"/>
        </w:rPr>
        <w:t xml:space="preserve"> </w:t>
      </w:r>
    </w:p>
    <w:p w:rsidR="00D2720D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1F11">
        <w:rPr>
          <w:rFonts w:ascii="Arial" w:hAnsi="Arial" w:cs="Arial"/>
          <w:sz w:val="22"/>
          <w:szCs w:val="22"/>
        </w:rPr>
        <w:t xml:space="preserve">Nabyvatel se dále </w:t>
      </w:r>
      <w:r>
        <w:rPr>
          <w:rFonts w:ascii="Arial" w:hAnsi="Arial" w:cs="Arial"/>
          <w:sz w:val="22"/>
          <w:szCs w:val="22"/>
        </w:rPr>
        <w:t>dle Čl. V. odst. 2 smlouvy zavázal, pro případ, že se rozhodne ke změně užívání předmětných nemovitých věcí nebo jejich čás</w:t>
      </w:r>
      <w:r>
        <w:rPr>
          <w:rFonts w:ascii="Arial" w:hAnsi="Arial" w:cs="Arial"/>
          <w:sz w:val="22"/>
          <w:szCs w:val="22"/>
        </w:rPr>
        <w:t xml:space="preserve">tí v následujících deseti letech po uplynutí doby uvedené v </w:t>
      </w:r>
      <w:r w:rsidRPr="006B66DC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V. odst. 1</w:t>
      </w:r>
      <w:r w:rsidRPr="006B6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smlouvy, požádat předem o souhlas Českou republiku – Ministerstvo dopravy. </w:t>
      </w:r>
    </w:p>
    <w:p w:rsidR="00D2720D" w:rsidRPr="00640C8C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206D">
        <w:rPr>
          <w:rFonts w:ascii="Arial" w:hAnsi="Arial" w:cs="Arial"/>
          <w:sz w:val="22"/>
          <w:szCs w:val="22"/>
        </w:rPr>
        <w:t>Nabyvatel se rovněž v souladu s Čl. VI. odst. 1 smlouvy zavázal, pro případ, že by ve lhůtě dvaceti let o</w:t>
      </w:r>
      <w:r w:rsidRPr="00C6206D">
        <w:rPr>
          <w:rFonts w:ascii="Arial" w:hAnsi="Arial" w:cs="Arial"/>
          <w:sz w:val="22"/>
          <w:szCs w:val="22"/>
        </w:rPr>
        <w:t xml:space="preserve">de dne </w:t>
      </w:r>
      <w:r w:rsidRPr="00652C5E">
        <w:rPr>
          <w:rFonts w:ascii="Arial" w:hAnsi="Arial" w:cs="Arial"/>
          <w:sz w:val="22"/>
          <w:szCs w:val="22"/>
        </w:rPr>
        <w:t xml:space="preserve">nabytí vlastnického práva k předmětným nemovitým věcem nabyvatelem došlo ke zcizení předmětných nemovitých věcí nebo jejich částí, převést do státního rozpočtu částku stanovenou dle cit. ustanovení smlouvy. </w:t>
      </w:r>
    </w:p>
    <w:p w:rsidR="00D2720D" w:rsidRDefault="00DB2A58" w:rsidP="00BB3662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Nabyvatel má v úmyslu bezúplatně převést </w:t>
      </w:r>
      <w:r>
        <w:rPr>
          <w:rFonts w:ascii="Arial" w:hAnsi="Arial" w:cs="Arial"/>
          <w:sz w:val="22"/>
          <w:szCs w:val="22"/>
        </w:rPr>
        <w:t xml:space="preserve">vlastnické právo </w:t>
      </w:r>
      <w:r w:rsidRPr="00D07469">
        <w:rPr>
          <w:rFonts w:ascii="Arial" w:hAnsi="Arial" w:cs="Arial"/>
          <w:sz w:val="22"/>
          <w:szCs w:val="22"/>
        </w:rPr>
        <w:t>k předmětným nemovitým věcem</w:t>
      </w:r>
      <w:r>
        <w:rPr>
          <w:rFonts w:ascii="Arial" w:hAnsi="Arial" w:cs="Arial"/>
          <w:sz w:val="22"/>
          <w:szCs w:val="22"/>
        </w:rPr>
        <w:t xml:space="preserve"> na </w:t>
      </w:r>
      <w:r w:rsidR="00BB3662">
        <w:rPr>
          <w:rFonts w:ascii="Arial" w:hAnsi="Arial" w:cs="Arial"/>
          <w:sz w:val="22"/>
          <w:szCs w:val="22"/>
        </w:rPr>
        <w:t xml:space="preserve">třetí osobu s podmínkou zachování provozu areálu jako letiště. </w:t>
      </w:r>
    </w:p>
    <w:p w:rsidR="00D2720D" w:rsidRDefault="00D2720D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720D" w:rsidRPr="00652C5E" w:rsidRDefault="00DB2A58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2C5E">
        <w:rPr>
          <w:rFonts w:ascii="Arial" w:hAnsi="Arial" w:cs="Arial"/>
          <w:b/>
          <w:sz w:val="22"/>
          <w:szCs w:val="22"/>
        </w:rPr>
        <w:t>Čl. II</w:t>
      </w:r>
    </w:p>
    <w:p w:rsidR="00D2720D" w:rsidRPr="00652C5E" w:rsidRDefault="00DB2A58" w:rsidP="00BB3662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52C5E">
        <w:rPr>
          <w:rFonts w:ascii="Arial" w:hAnsi="Arial" w:cs="Arial"/>
          <w:sz w:val="22"/>
          <w:szCs w:val="22"/>
        </w:rPr>
        <w:t>Smluvní strany se s ohledem na výše uvedené dohodly na následující úpravě smlouvy:</w:t>
      </w: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Default="00DB2A58" w:rsidP="00BB366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první větě Čl. V. odst. 1 smlouvy se stávající </w:t>
      </w:r>
      <w:r>
        <w:rPr>
          <w:rFonts w:ascii="Arial" w:hAnsi="Arial" w:cs="Arial"/>
          <w:sz w:val="22"/>
          <w:szCs w:val="22"/>
        </w:rPr>
        <w:t xml:space="preserve">časový údaj „20 let“ vypouští a nahrazuje časovým údajem „16 let“. První věta Čl. V. odst. 1 smlouvy tak </w:t>
      </w:r>
      <w:r w:rsidRPr="006B66DC">
        <w:rPr>
          <w:rFonts w:ascii="Arial" w:hAnsi="Arial" w:cs="Arial"/>
          <w:sz w:val="22"/>
          <w:szCs w:val="22"/>
        </w:rPr>
        <w:t>po změně zní takto:</w:t>
      </w:r>
    </w:p>
    <w:p w:rsidR="00D2720D" w:rsidRDefault="00DB2A58" w:rsidP="00BB3662">
      <w:pPr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52C5E">
        <w:rPr>
          <w:rFonts w:ascii="Arial" w:hAnsi="Arial" w:cs="Arial"/>
          <w:b/>
          <w:i/>
          <w:sz w:val="22"/>
          <w:szCs w:val="22"/>
        </w:rPr>
        <w:t>„Nabyvatel se zavazuje, že předmětné nemovitosti uvedené v Čl. I smlouvy, které se na něho přev</w:t>
      </w:r>
      <w:r>
        <w:rPr>
          <w:rFonts w:ascii="Arial" w:hAnsi="Arial" w:cs="Arial"/>
          <w:b/>
          <w:i/>
          <w:sz w:val="22"/>
          <w:szCs w:val="22"/>
        </w:rPr>
        <w:t>ádí</w:t>
      </w:r>
      <w:r w:rsidRPr="00652C5E">
        <w:rPr>
          <w:rFonts w:ascii="Arial" w:hAnsi="Arial" w:cs="Arial"/>
          <w:b/>
          <w:i/>
          <w:sz w:val="22"/>
          <w:szCs w:val="22"/>
        </w:rPr>
        <w:t>, nejméně po dobu 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2C5E">
        <w:rPr>
          <w:rFonts w:ascii="Arial" w:hAnsi="Arial" w:cs="Arial"/>
          <w:b/>
          <w:i/>
          <w:sz w:val="22"/>
          <w:szCs w:val="22"/>
        </w:rPr>
        <w:t xml:space="preserve"> let od vklad</w:t>
      </w:r>
      <w:r w:rsidRPr="00652C5E">
        <w:rPr>
          <w:rFonts w:ascii="Arial" w:hAnsi="Arial" w:cs="Arial"/>
          <w:b/>
          <w:i/>
          <w:sz w:val="22"/>
          <w:szCs w:val="22"/>
        </w:rPr>
        <w:t xml:space="preserve">u práva dle této smlouvy do katastru nemovitostí bude využívat jako letiště a jeho zázemí ve smyslu platných právních předpisů.“  </w:t>
      </w:r>
    </w:p>
    <w:p w:rsidR="00D2720D" w:rsidRPr="00652C5E" w:rsidRDefault="00D2720D" w:rsidP="00BB366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2720D" w:rsidRDefault="00DB2A58" w:rsidP="00BB366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první větě Čl. VI. odst. 1 smlouvy se stávající časový údaj „dvaceti let“ vypouští a nahrazuje časovým údajem „šestnácti l</w:t>
      </w:r>
      <w:r>
        <w:rPr>
          <w:rFonts w:ascii="Arial" w:hAnsi="Arial" w:cs="Arial"/>
          <w:sz w:val="22"/>
          <w:szCs w:val="22"/>
        </w:rPr>
        <w:t xml:space="preserve">et“. První věta Čl. VI. odst. 1 smlouvy tak </w:t>
      </w:r>
      <w:r w:rsidRPr="006B66DC">
        <w:rPr>
          <w:rFonts w:ascii="Arial" w:hAnsi="Arial" w:cs="Arial"/>
          <w:sz w:val="22"/>
          <w:szCs w:val="22"/>
        </w:rPr>
        <w:t>po změně zní takto:</w:t>
      </w:r>
    </w:p>
    <w:p w:rsidR="00D2720D" w:rsidRDefault="00DB2A58" w:rsidP="00BB3662">
      <w:pPr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3C77C0">
        <w:rPr>
          <w:rFonts w:ascii="Arial" w:hAnsi="Arial" w:cs="Arial"/>
          <w:b/>
          <w:i/>
          <w:sz w:val="22"/>
          <w:szCs w:val="22"/>
        </w:rPr>
        <w:t xml:space="preserve">„Nabyvatel se dále zavazuje, že pokud by došlo ve lhůtě </w:t>
      </w:r>
      <w:r>
        <w:rPr>
          <w:rFonts w:ascii="Arial" w:hAnsi="Arial" w:cs="Arial"/>
          <w:b/>
          <w:i/>
          <w:sz w:val="22"/>
          <w:szCs w:val="22"/>
        </w:rPr>
        <w:t>šest</w:t>
      </w:r>
      <w:r w:rsidRPr="003C77C0">
        <w:rPr>
          <w:rFonts w:ascii="Arial" w:hAnsi="Arial" w:cs="Arial"/>
          <w:b/>
          <w:i/>
          <w:sz w:val="22"/>
          <w:szCs w:val="22"/>
        </w:rPr>
        <w:t xml:space="preserve">nácti let ode dne nabytí předmětných nemovitostí do vlastnictví nabyvatele ke změně účelu využití předmětných nemovitostí nebo </w:t>
      </w:r>
      <w:r w:rsidRPr="003C77C0">
        <w:rPr>
          <w:rFonts w:ascii="Arial" w:hAnsi="Arial" w:cs="Arial"/>
          <w:b/>
          <w:i/>
          <w:sz w:val="22"/>
          <w:szCs w:val="22"/>
        </w:rPr>
        <w:t>jejich částí a převodce by nevyužil v tomto případě svého práva odstoupit od této smlouvy dle Čl. V. odst. 3, nebo by došlo v této lhůtě ke zcizení předmětných nemovitostí nebo jejich částí, převede nabyvatel nebo jeho právní nástupce prostřednictvím převo</w:t>
      </w:r>
      <w:r w:rsidRPr="003C77C0">
        <w:rPr>
          <w:rFonts w:ascii="Arial" w:hAnsi="Arial" w:cs="Arial"/>
          <w:b/>
          <w:i/>
          <w:sz w:val="22"/>
          <w:szCs w:val="22"/>
        </w:rPr>
        <w:t>dce nebo jeho právního nástupce do státního rozpočtu částku rovnající se ceně zjištěné převáděných předmětných nemovitostí nebo jejich částí, která bude stanovena znaleckým posudkem podle cenových předpisů platných v době změny účelu využití převáděných př</w:t>
      </w:r>
      <w:r w:rsidRPr="003C77C0">
        <w:rPr>
          <w:rFonts w:ascii="Arial" w:hAnsi="Arial" w:cs="Arial"/>
          <w:b/>
          <w:i/>
          <w:sz w:val="22"/>
          <w:szCs w:val="22"/>
        </w:rPr>
        <w:t>edmětných nemovitostí nebo jejich zcizen</w:t>
      </w:r>
      <w:r>
        <w:rPr>
          <w:rFonts w:ascii="Arial" w:hAnsi="Arial" w:cs="Arial"/>
          <w:b/>
          <w:i/>
          <w:sz w:val="22"/>
          <w:szCs w:val="22"/>
        </w:rPr>
        <w:t>í</w:t>
      </w:r>
      <w:r w:rsidRPr="003C77C0">
        <w:rPr>
          <w:rFonts w:ascii="Arial" w:hAnsi="Arial" w:cs="Arial"/>
          <w:b/>
          <w:i/>
          <w:sz w:val="22"/>
          <w:szCs w:val="22"/>
        </w:rPr>
        <w:t xml:space="preserve">, nejméně však ceně zjištěné převáděných předmětných </w:t>
      </w:r>
      <w:r w:rsidRPr="003C77C0">
        <w:rPr>
          <w:rFonts w:ascii="Arial" w:hAnsi="Arial" w:cs="Arial"/>
          <w:b/>
          <w:i/>
          <w:sz w:val="22"/>
          <w:szCs w:val="22"/>
        </w:rPr>
        <w:lastRenderedPageBreak/>
        <w:t>nemovitostí nebo jejich částí, která bude stanovena znaleckým posudkem podle cenových předpisů platných v době převodu na nabyvatele.“</w:t>
      </w:r>
    </w:p>
    <w:p w:rsidR="00D2720D" w:rsidRPr="00C91F11" w:rsidRDefault="00DB2A58" w:rsidP="00BB3662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91F11">
        <w:rPr>
          <w:rFonts w:ascii="Arial" w:hAnsi="Arial" w:cs="Arial"/>
          <w:sz w:val="22"/>
          <w:szCs w:val="22"/>
        </w:rPr>
        <w:t>Ostatní ujednání smlouvy zů</w:t>
      </w:r>
      <w:r w:rsidRPr="00C91F11">
        <w:rPr>
          <w:rFonts w:ascii="Arial" w:hAnsi="Arial" w:cs="Arial"/>
          <w:sz w:val="22"/>
          <w:szCs w:val="22"/>
        </w:rPr>
        <w:t>stávají beze změny.</w:t>
      </w:r>
    </w:p>
    <w:p w:rsidR="00D2720D" w:rsidRPr="006B66DC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C91F11" w:rsidRDefault="00DB2A58" w:rsidP="00BB36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1F11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III</w:t>
      </w:r>
    </w:p>
    <w:p w:rsidR="00D2720D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17F8">
        <w:rPr>
          <w:rFonts w:ascii="Arial" w:hAnsi="Arial" w:cs="Arial"/>
          <w:sz w:val="22"/>
          <w:szCs w:val="22"/>
        </w:rPr>
        <w:t>Tento Dodatek č. 1 nabývá</w:t>
      </w:r>
      <w:r>
        <w:rPr>
          <w:rFonts w:ascii="Arial" w:hAnsi="Arial" w:cs="Arial"/>
          <w:sz w:val="22"/>
          <w:szCs w:val="22"/>
        </w:rPr>
        <w:t>, za splnění podmínek dle ust. § 23 zák. č. 129/2000 Sb., o krajích, ve znění pozdějších předpisů,</w:t>
      </w:r>
      <w:r w:rsidRPr="005717F8">
        <w:rPr>
          <w:rFonts w:ascii="Arial" w:hAnsi="Arial" w:cs="Arial"/>
          <w:sz w:val="22"/>
          <w:szCs w:val="22"/>
        </w:rPr>
        <w:t xml:space="preserve"> platnosti dnem schválení Ministerstvem financí podle zákona č.</w:t>
      </w:r>
      <w:r>
        <w:rPr>
          <w:rFonts w:ascii="Arial" w:hAnsi="Arial" w:cs="Arial"/>
          <w:sz w:val="22"/>
          <w:szCs w:val="22"/>
        </w:rPr>
        <w:t> </w:t>
      </w:r>
      <w:r w:rsidRPr="005717F8">
        <w:rPr>
          <w:rFonts w:ascii="Arial" w:hAnsi="Arial" w:cs="Arial"/>
          <w:sz w:val="22"/>
          <w:szCs w:val="22"/>
        </w:rPr>
        <w:t>219/2000 Sb.</w:t>
      </w:r>
      <w:r w:rsidRPr="00201A52">
        <w:rPr>
          <w:rFonts w:ascii="Arial" w:hAnsi="Arial" w:cs="Arial"/>
          <w:sz w:val="22"/>
          <w:szCs w:val="22"/>
        </w:rPr>
        <w:t xml:space="preserve">, o majetku České republiky </w:t>
      </w:r>
      <w:r w:rsidRPr="00201A52">
        <w:rPr>
          <w:rFonts w:ascii="Arial" w:hAnsi="Arial" w:cs="Arial"/>
          <w:sz w:val="22"/>
          <w:szCs w:val="22"/>
        </w:rPr>
        <w:t>a jejím vystupování v právních vztazích, ve znění pozdějších předpisů</w:t>
      </w:r>
      <w:r>
        <w:rPr>
          <w:rFonts w:ascii="Arial" w:hAnsi="Arial" w:cs="Arial"/>
          <w:sz w:val="22"/>
          <w:szCs w:val="22"/>
        </w:rPr>
        <w:t>, a účinnosti dnem uveřejnění v registru smluv v souladu se zákonem č. 340/2015 Sb., o zvláštních podmínkách účinnosti některých smluv, uveřejňování těchto smluv a o registru smluv (zákon</w:t>
      </w:r>
      <w:r>
        <w:rPr>
          <w:rFonts w:ascii="Arial" w:hAnsi="Arial" w:cs="Arial"/>
          <w:sz w:val="22"/>
          <w:szCs w:val="22"/>
        </w:rPr>
        <w:t xml:space="preserve"> o registru smluv),</w:t>
      </w:r>
      <w:r w:rsidRPr="004954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znění pozdějších předpisů.</w:t>
      </w:r>
    </w:p>
    <w:p w:rsidR="00D2720D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1 včetně smlouvy podléhají uveřejnění v registru smluv podle zákona č. 340/215 Sb. Účastníci se dohodli, že uveřejnění v registru smluv zajistí převodce bez zbytečného odkladu, nejpozději v</w:t>
      </w:r>
      <w:r>
        <w:rPr>
          <w:rFonts w:ascii="Arial" w:hAnsi="Arial" w:cs="Arial"/>
          <w:sz w:val="22"/>
          <w:szCs w:val="22"/>
        </w:rPr>
        <w:t xml:space="preserve">šak </w:t>
      </w:r>
      <w:r w:rsidRPr="00DC3159">
        <w:rPr>
          <w:rFonts w:ascii="Arial" w:hAnsi="Arial" w:cs="Arial"/>
          <w:sz w:val="22"/>
          <w:szCs w:val="22"/>
        </w:rPr>
        <w:t>do 30 dnů od</w:t>
      </w:r>
      <w:r>
        <w:rPr>
          <w:rFonts w:ascii="Arial" w:hAnsi="Arial" w:cs="Arial"/>
          <w:sz w:val="22"/>
          <w:szCs w:val="22"/>
        </w:rPr>
        <w:t xml:space="preserve"> platného uzavření Dodatku č. 1.</w:t>
      </w:r>
    </w:p>
    <w:p w:rsidR="00D2720D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Účastnící pro účely uveřejnění v registru smluv navzájem prohlašují, že tento Dodatek č. 1 ani smlouva neobsahují žádné obchodní tajemství, a souhlasí s jejich uveřejněním v plném rozsahu a bez stanovení </w:t>
      </w:r>
      <w:r>
        <w:rPr>
          <w:rFonts w:ascii="Arial" w:hAnsi="Arial" w:cs="Arial"/>
          <w:sz w:val="22"/>
          <w:szCs w:val="22"/>
        </w:rPr>
        <w:t>jakýchkoli dalších podmínek.</w:t>
      </w:r>
    </w:p>
    <w:p w:rsidR="00D2720D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Účastnící berou na vědomí, že jsou svými projevy vázáni od okamžiku podpisu tohoto Dodatku č. 1.</w:t>
      </w:r>
    </w:p>
    <w:p w:rsidR="00D2720D" w:rsidRPr="0062353D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353D">
        <w:rPr>
          <w:rFonts w:ascii="Arial" w:hAnsi="Arial" w:cs="Arial"/>
          <w:sz w:val="22"/>
          <w:szCs w:val="22"/>
        </w:rPr>
        <w:t xml:space="preserve">Tento Dodatek č. 1 je vyhotoven v </w:t>
      </w:r>
      <w:r>
        <w:rPr>
          <w:rFonts w:ascii="Arial" w:hAnsi="Arial" w:cs="Arial"/>
          <w:sz w:val="22"/>
          <w:szCs w:val="22"/>
        </w:rPr>
        <w:t>pěti</w:t>
      </w:r>
      <w:r w:rsidRPr="0062353D">
        <w:rPr>
          <w:rFonts w:ascii="Arial" w:hAnsi="Arial" w:cs="Arial"/>
          <w:sz w:val="22"/>
          <w:szCs w:val="22"/>
        </w:rPr>
        <w:t xml:space="preserve"> stejnopisech</w:t>
      </w:r>
      <w:r>
        <w:rPr>
          <w:rFonts w:ascii="Arial" w:hAnsi="Arial" w:cs="Arial"/>
          <w:sz w:val="22"/>
          <w:szCs w:val="22"/>
        </w:rPr>
        <w:t xml:space="preserve">, z nichž převodce, nabyvatel a Ministerstvo dopravy si ponechají po </w:t>
      </w:r>
      <w:r w:rsidRPr="0062353D">
        <w:rPr>
          <w:rFonts w:ascii="Arial" w:hAnsi="Arial" w:cs="Arial"/>
          <w:sz w:val="22"/>
          <w:szCs w:val="22"/>
        </w:rPr>
        <w:t>jednom vyh</w:t>
      </w:r>
      <w:r w:rsidRPr="0062353D">
        <w:rPr>
          <w:rFonts w:ascii="Arial" w:hAnsi="Arial" w:cs="Arial"/>
          <w:sz w:val="22"/>
          <w:szCs w:val="22"/>
        </w:rPr>
        <w:t>otovení</w:t>
      </w:r>
      <w:r>
        <w:rPr>
          <w:rFonts w:ascii="Arial" w:hAnsi="Arial" w:cs="Arial"/>
          <w:sz w:val="22"/>
          <w:szCs w:val="22"/>
        </w:rPr>
        <w:t>,</w:t>
      </w:r>
      <w:r w:rsidRPr="0062353D">
        <w:rPr>
          <w:rFonts w:ascii="Arial" w:hAnsi="Arial" w:cs="Arial"/>
          <w:sz w:val="22"/>
          <w:szCs w:val="22"/>
        </w:rPr>
        <w:t xml:space="preserve"> jedno vyhotovení </w:t>
      </w:r>
      <w:r>
        <w:rPr>
          <w:rFonts w:ascii="Arial" w:hAnsi="Arial" w:cs="Arial"/>
          <w:sz w:val="22"/>
          <w:szCs w:val="22"/>
        </w:rPr>
        <w:t>je</w:t>
      </w:r>
      <w:r w:rsidRPr="0062353D">
        <w:rPr>
          <w:rFonts w:ascii="Arial" w:hAnsi="Arial" w:cs="Arial"/>
          <w:sz w:val="22"/>
          <w:szCs w:val="22"/>
        </w:rPr>
        <w:t xml:space="preserve"> určeno pro </w:t>
      </w:r>
      <w:r>
        <w:rPr>
          <w:rFonts w:ascii="Arial" w:hAnsi="Arial" w:cs="Arial"/>
          <w:sz w:val="22"/>
          <w:szCs w:val="22"/>
        </w:rPr>
        <w:t>M</w:t>
      </w:r>
      <w:r w:rsidRPr="0062353D">
        <w:rPr>
          <w:rFonts w:ascii="Arial" w:hAnsi="Arial" w:cs="Arial"/>
          <w:sz w:val="22"/>
          <w:szCs w:val="22"/>
        </w:rPr>
        <w:t>inisterstvo</w:t>
      </w:r>
      <w:r>
        <w:rPr>
          <w:rFonts w:ascii="Arial" w:hAnsi="Arial" w:cs="Arial"/>
          <w:sz w:val="22"/>
          <w:szCs w:val="22"/>
        </w:rPr>
        <w:t xml:space="preserve"> financí a jedno vyhotovení bude použito k zápisu do katastru nemovitostí</w:t>
      </w:r>
      <w:r w:rsidRPr="0062353D">
        <w:rPr>
          <w:rFonts w:ascii="Arial" w:hAnsi="Arial" w:cs="Arial"/>
          <w:sz w:val="22"/>
          <w:szCs w:val="22"/>
        </w:rPr>
        <w:t>.</w:t>
      </w:r>
    </w:p>
    <w:p w:rsidR="00D2720D" w:rsidRPr="006B66DC" w:rsidRDefault="00DB2A58" w:rsidP="00BB366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Účastnící </w:t>
      </w:r>
      <w:r w:rsidRPr="006B66DC">
        <w:rPr>
          <w:rFonts w:ascii="Arial" w:hAnsi="Arial" w:cs="Arial"/>
          <w:sz w:val="22"/>
          <w:szCs w:val="22"/>
        </w:rPr>
        <w:t xml:space="preserve">prohlašují, že tento Dodatek </w:t>
      </w:r>
      <w:r>
        <w:rPr>
          <w:rFonts w:ascii="Arial" w:hAnsi="Arial" w:cs="Arial"/>
          <w:sz w:val="22"/>
          <w:szCs w:val="22"/>
        </w:rPr>
        <w:t xml:space="preserve">č. 1 </w:t>
      </w:r>
      <w:r w:rsidRPr="006B66DC">
        <w:rPr>
          <w:rFonts w:ascii="Arial" w:hAnsi="Arial" w:cs="Arial"/>
          <w:sz w:val="22"/>
          <w:szCs w:val="22"/>
        </w:rPr>
        <w:t>uzavřel</w:t>
      </w:r>
      <w:r>
        <w:rPr>
          <w:rFonts w:ascii="Arial" w:hAnsi="Arial" w:cs="Arial"/>
          <w:sz w:val="22"/>
          <w:szCs w:val="22"/>
        </w:rPr>
        <w:t>i</w:t>
      </w:r>
      <w:r w:rsidRPr="006B66DC">
        <w:rPr>
          <w:rFonts w:ascii="Arial" w:hAnsi="Arial" w:cs="Arial"/>
          <w:sz w:val="22"/>
          <w:szCs w:val="22"/>
        </w:rPr>
        <w:t xml:space="preserve"> svobodně a vážně, nikoliv z přinucení nebo v omylu. Na důkaz toho připojují </w:t>
      </w:r>
      <w:r w:rsidRPr="006B66DC">
        <w:rPr>
          <w:rFonts w:ascii="Arial" w:hAnsi="Arial" w:cs="Arial"/>
          <w:sz w:val="22"/>
          <w:szCs w:val="22"/>
        </w:rPr>
        <w:t>své vlastnoruční podpisy.</w:t>
      </w:r>
    </w:p>
    <w:p w:rsidR="00D2720D" w:rsidRDefault="00D2720D" w:rsidP="00BB36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Pr="006B66DC" w:rsidRDefault="00DB2A58" w:rsidP="00BB3662">
      <w:pPr>
        <w:spacing w:line="276" w:lineRule="auto"/>
        <w:rPr>
          <w:rFonts w:ascii="Arial" w:hAnsi="Arial" w:cs="Arial"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V Praze dne ……………………………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B66DC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Praze</w:t>
      </w:r>
      <w:r w:rsidRPr="006B66DC">
        <w:rPr>
          <w:rFonts w:ascii="Arial" w:hAnsi="Arial" w:cs="Arial"/>
          <w:sz w:val="22"/>
          <w:szCs w:val="22"/>
        </w:rPr>
        <w:t xml:space="preserve"> dne ……………………………….</w:t>
      </w: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44" w:type="dxa"/>
        <w:tblLook w:val="04A0" w:firstRow="1" w:lastRow="0" w:firstColumn="1" w:lastColumn="0" w:noHBand="0" w:noVBand="1"/>
      </w:tblPr>
      <w:tblGrid>
        <w:gridCol w:w="4942"/>
        <w:gridCol w:w="4902"/>
      </w:tblGrid>
      <w:tr w:rsidR="006E2ACB" w:rsidTr="002159B2">
        <w:trPr>
          <w:trHeight w:val="50"/>
        </w:trPr>
        <w:tc>
          <w:tcPr>
            <w:tcW w:w="4942" w:type="dxa"/>
          </w:tcPr>
          <w:p w:rsidR="00D2720D" w:rsidRPr="00352559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2559">
              <w:rPr>
                <w:rFonts w:ascii="Arial" w:hAnsi="Arial" w:cs="Arial"/>
                <w:sz w:val="22"/>
                <w:szCs w:val="22"/>
              </w:rPr>
              <w:t>Česká republika - Úřad pro zastupování</w:t>
            </w:r>
          </w:p>
          <w:p w:rsidR="00D2720D" w:rsidRPr="0062353D" w:rsidRDefault="00DB2A58" w:rsidP="00BB36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2559">
              <w:rPr>
                <w:rFonts w:ascii="Arial" w:hAnsi="Arial" w:cs="Arial"/>
                <w:sz w:val="22"/>
                <w:szCs w:val="22"/>
              </w:rPr>
              <w:t xml:space="preserve">    státu ve věcech majetkových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902" w:type="dxa"/>
          </w:tcPr>
          <w:p w:rsidR="00D2720D" w:rsidRPr="00352559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>Středočeský kraj</w:t>
            </w:r>
          </w:p>
        </w:tc>
      </w:tr>
      <w:tr w:rsidR="006E2ACB" w:rsidTr="002159B2">
        <w:trPr>
          <w:trHeight w:val="961"/>
        </w:trPr>
        <w:tc>
          <w:tcPr>
            <w:tcW w:w="4942" w:type="dxa"/>
          </w:tcPr>
          <w:p w:rsidR="00D2720D" w:rsidRDefault="00D2720D" w:rsidP="00BB3662">
            <w:pPr>
              <w:pStyle w:val="Bezmezer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2720D" w:rsidRDefault="00D2720D" w:rsidP="00BB3662">
            <w:pPr>
              <w:pStyle w:val="Bezmezer"/>
              <w:spacing w:line="276" w:lineRule="auto"/>
              <w:rPr>
                <w:rFonts w:ascii="Arial" w:hAnsi="Arial" w:cs="Arial"/>
              </w:rPr>
            </w:pPr>
          </w:p>
          <w:p w:rsidR="00D2720D" w:rsidRPr="00FE3509" w:rsidRDefault="00D2720D" w:rsidP="00BB3662">
            <w:pPr>
              <w:pStyle w:val="Bezmez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:rsidR="00D2720D" w:rsidRPr="00C86ADB" w:rsidRDefault="00D2720D" w:rsidP="00BB36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ACB" w:rsidTr="002159B2">
        <w:trPr>
          <w:trHeight w:val="22"/>
        </w:trPr>
        <w:tc>
          <w:tcPr>
            <w:tcW w:w="4942" w:type="dxa"/>
            <w:hideMark/>
          </w:tcPr>
          <w:p w:rsidR="00D2720D" w:rsidRPr="00C86ADB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86ADB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902" w:type="dxa"/>
            <w:hideMark/>
          </w:tcPr>
          <w:p w:rsidR="00D2720D" w:rsidRPr="00C86ADB" w:rsidRDefault="00DB2A58" w:rsidP="00BB36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ADB"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</w:p>
        </w:tc>
      </w:tr>
      <w:tr w:rsidR="006E2ACB" w:rsidTr="002159B2">
        <w:trPr>
          <w:trHeight w:val="50"/>
        </w:trPr>
        <w:tc>
          <w:tcPr>
            <w:tcW w:w="4942" w:type="dxa"/>
            <w:hideMark/>
          </w:tcPr>
          <w:p w:rsidR="00D2720D" w:rsidRPr="0062353D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JUDr. Markéta Szabo</w:t>
            </w:r>
          </w:p>
          <w:p w:rsidR="00D2720D" w:rsidRPr="0062353D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Pr="0062353D">
              <w:rPr>
                <w:rFonts w:ascii="Arial" w:hAnsi="Arial" w:cs="Arial"/>
                <w:sz w:val="22"/>
                <w:szCs w:val="22"/>
              </w:rPr>
              <w:t>editel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r w:rsidRPr="0062353D">
              <w:rPr>
                <w:rFonts w:ascii="Arial" w:hAnsi="Arial" w:cs="Arial"/>
                <w:sz w:val="22"/>
                <w:szCs w:val="22"/>
              </w:rPr>
              <w:t xml:space="preserve"> Územního pracoviště </w:t>
            </w:r>
            <w:r>
              <w:rPr>
                <w:rFonts w:ascii="Arial" w:hAnsi="Arial" w:cs="Arial"/>
                <w:sz w:val="22"/>
                <w:szCs w:val="22"/>
              </w:rPr>
              <w:t>v hl. m. Praze, pověřená</w:t>
            </w:r>
            <w:r>
              <w:rPr>
                <w:rFonts w:ascii="Arial" w:hAnsi="Arial" w:cs="Arial"/>
                <w:sz w:val="22"/>
                <w:szCs w:val="22"/>
              </w:rPr>
              <w:t xml:space="preserve"> zastupováním pracovního místa ředitele Územního pracoviště </w:t>
            </w:r>
            <w:r w:rsidRPr="0062353D">
              <w:rPr>
                <w:rFonts w:ascii="Arial" w:hAnsi="Arial" w:cs="Arial"/>
                <w:sz w:val="22"/>
                <w:szCs w:val="22"/>
              </w:rPr>
              <w:t xml:space="preserve">Střední Čechy                    </w:t>
            </w:r>
          </w:p>
        </w:tc>
        <w:tc>
          <w:tcPr>
            <w:tcW w:w="4902" w:type="dxa"/>
          </w:tcPr>
          <w:p w:rsidR="00D2720D" w:rsidRDefault="00DB2A58" w:rsidP="00BB36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Petra Pecková</w:t>
            </w:r>
            <w:r w:rsidRPr="006235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720D" w:rsidRPr="0062353D" w:rsidRDefault="00DB2A58" w:rsidP="00BB36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hejtmanka</w:t>
            </w:r>
          </w:p>
        </w:tc>
      </w:tr>
    </w:tbl>
    <w:p w:rsidR="00D2720D" w:rsidRPr="0062353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Default="00D2720D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BB3662" w:rsidRDefault="00BB3662" w:rsidP="00BB3662">
      <w:pPr>
        <w:spacing w:line="276" w:lineRule="auto"/>
        <w:rPr>
          <w:rFonts w:ascii="Arial" w:hAnsi="Arial" w:cs="Arial"/>
          <w:sz w:val="22"/>
          <w:szCs w:val="22"/>
        </w:rPr>
      </w:pPr>
    </w:p>
    <w:p w:rsidR="00D2720D" w:rsidRDefault="00DB2A58" w:rsidP="00BB366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6B66DC">
        <w:rPr>
          <w:rFonts w:ascii="Arial" w:hAnsi="Arial" w:cs="Arial"/>
          <w:sz w:val="22"/>
          <w:szCs w:val="22"/>
        </w:rPr>
        <w:t xml:space="preserve">V Praze dne ……………………………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B66DC">
        <w:rPr>
          <w:rFonts w:ascii="Arial" w:hAnsi="Arial" w:cs="Arial"/>
          <w:sz w:val="22"/>
          <w:szCs w:val="22"/>
        </w:rPr>
        <w:t xml:space="preserve"> </w:t>
      </w:r>
    </w:p>
    <w:p w:rsidR="00D2720D" w:rsidRPr="003903DC" w:rsidRDefault="00D2720D" w:rsidP="00BB366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tbl>
      <w:tblPr>
        <w:tblW w:w="9844" w:type="dxa"/>
        <w:tblLook w:val="04A0" w:firstRow="1" w:lastRow="0" w:firstColumn="1" w:lastColumn="0" w:noHBand="0" w:noVBand="1"/>
      </w:tblPr>
      <w:tblGrid>
        <w:gridCol w:w="4942"/>
        <w:gridCol w:w="4902"/>
      </w:tblGrid>
      <w:tr w:rsidR="006E2ACB" w:rsidTr="002159B2">
        <w:trPr>
          <w:trHeight w:val="50"/>
        </w:trPr>
        <w:tc>
          <w:tcPr>
            <w:tcW w:w="4942" w:type="dxa"/>
          </w:tcPr>
          <w:p w:rsidR="00D2720D" w:rsidRPr="0062353D" w:rsidRDefault="00DB2A58" w:rsidP="00BB36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2559">
              <w:rPr>
                <w:rFonts w:ascii="Arial" w:hAnsi="Arial" w:cs="Arial"/>
                <w:sz w:val="22"/>
                <w:szCs w:val="22"/>
              </w:rPr>
              <w:t xml:space="preserve">Česká republika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525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Ministerstvo dopravy                                                   </w:t>
            </w:r>
          </w:p>
        </w:tc>
        <w:tc>
          <w:tcPr>
            <w:tcW w:w="4902" w:type="dxa"/>
          </w:tcPr>
          <w:p w:rsidR="00D2720D" w:rsidRPr="00352559" w:rsidRDefault="00D2720D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ACB" w:rsidTr="002159B2">
        <w:trPr>
          <w:trHeight w:val="961"/>
        </w:trPr>
        <w:tc>
          <w:tcPr>
            <w:tcW w:w="4942" w:type="dxa"/>
          </w:tcPr>
          <w:p w:rsidR="00D2720D" w:rsidRDefault="00D2720D" w:rsidP="00BB3662">
            <w:pPr>
              <w:pStyle w:val="Bezmezer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2720D" w:rsidRDefault="00D2720D" w:rsidP="00BB3662">
            <w:pPr>
              <w:pStyle w:val="Bezmezer"/>
              <w:spacing w:line="276" w:lineRule="auto"/>
              <w:rPr>
                <w:rFonts w:ascii="Arial" w:hAnsi="Arial" w:cs="Arial"/>
              </w:rPr>
            </w:pPr>
          </w:p>
          <w:p w:rsidR="00D2720D" w:rsidRPr="00FE3509" w:rsidRDefault="00D2720D" w:rsidP="00BB3662">
            <w:pPr>
              <w:pStyle w:val="Bezmez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2" w:type="dxa"/>
          </w:tcPr>
          <w:p w:rsidR="00D2720D" w:rsidRPr="00C86ADB" w:rsidRDefault="00D2720D" w:rsidP="00BB36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ACB" w:rsidTr="002159B2">
        <w:trPr>
          <w:trHeight w:val="22"/>
        </w:trPr>
        <w:tc>
          <w:tcPr>
            <w:tcW w:w="4942" w:type="dxa"/>
            <w:hideMark/>
          </w:tcPr>
          <w:p w:rsidR="00D2720D" w:rsidRPr="00C86ADB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86ADB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902" w:type="dxa"/>
          </w:tcPr>
          <w:p w:rsidR="00D2720D" w:rsidRPr="00C86ADB" w:rsidRDefault="00D2720D" w:rsidP="00BB36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ACB" w:rsidTr="002159B2">
        <w:trPr>
          <w:trHeight w:val="50"/>
        </w:trPr>
        <w:tc>
          <w:tcPr>
            <w:tcW w:w="4942" w:type="dxa"/>
            <w:hideMark/>
          </w:tcPr>
          <w:p w:rsidR="00D2720D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Ing. Zdeněk Jelínek </w:t>
            </w:r>
          </w:p>
          <w:p w:rsidR="00BB3662" w:rsidRPr="0062353D" w:rsidRDefault="00DB2A58" w:rsidP="00BB36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ředitel odboru civilního letectví</w:t>
            </w:r>
          </w:p>
        </w:tc>
        <w:tc>
          <w:tcPr>
            <w:tcW w:w="4902" w:type="dxa"/>
          </w:tcPr>
          <w:p w:rsidR="00D2720D" w:rsidRPr="0062353D" w:rsidRDefault="00D2720D" w:rsidP="00BB36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20D" w:rsidRPr="003903DC" w:rsidRDefault="00D2720D" w:rsidP="00BB3662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sectPr w:rsidR="00D2720D" w:rsidRPr="003903D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07C0"/>
    <w:multiLevelType w:val="hybridMultilevel"/>
    <w:tmpl w:val="14B855FA"/>
    <w:lvl w:ilvl="0" w:tplc="26E0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E779C" w:tentative="1">
      <w:start w:val="1"/>
      <w:numFmt w:val="lowerLetter"/>
      <w:lvlText w:val="%2."/>
      <w:lvlJc w:val="left"/>
      <w:pPr>
        <w:ind w:left="1440" w:hanging="360"/>
      </w:pPr>
    </w:lvl>
    <w:lvl w:ilvl="2" w:tplc="2D16EF34" w:tentative="1">
      <w:start w:val="1"/>
      <w:numFmt w:val="lowerRoman"/>
      <w:lvlText w:val="%3."/>
      <w:lvlJc w:val="right"/>
      <w:pPr>
        <w:ind w:left="2160" w:hanging="180"/>
      </w:pPr>
    </w:lvl>
    <w:lvl w:ilvl="3" w:tplc="1EF40054" w:tentative="1">
      <w:start w:val="1"/>
      <w:numFmt w:val="decimal"/>
      <w:lvlText w:val="%4."/>
      <w:lvlJc w:val="left"/>
      <w:pPr>
        <w:ind w:left="2880" w:hanging="360"/>
      </w:pPr>
    </w:lvl>
    <w:lvl w:ilvl="4" w:tplc="0A966938" w:tentative="1">
      <w:start w:val="1"/>
      <w:numFmt w:val="lowerLetter"/>
      <w:lvlText w:val="%5."/>
      <w:lvlJc w:val="left"/>
      <w:pPr>
        <w:ind w:left="3600" w:hanging="360"/>
      </w:pPr>
    </w:lvl>
    <w:lvl w:ilvl="5" w:tplc="F014CC5A" w:tentative="1">
      <w:start w:val="1"/>
      <w:numFmt w:val="lowerRoman"/>
      <w:lvlText w:val="%6."/>
      <w:lvlJc w:val="right"/>
      <w:pPr>
        <w:ind w:left="4320" w:hanging="180"/>
      </w:pPr>
    </w:lvl>
    <w:lvl w:ilvl="6" w:tplc="3362B6EC" w:tentative="1">
      <w:start w:val="1"/>
      <w:numFmt w:val="decimal"/>
      <w:lvlText w:val="%7."/>
      <w:lvlJc w:val="left"/>
      <w:pPr>
        <w:ind w:left="5040" w:hanging="360"/>
      </w:pPr>
    </w:lvl>
    <w:lvl w:ilvl="7" w:tplc="EBA47402" w:tentative="1">
      <w:start w:val="1"/>
      <w:numFmt w:val="lowerLetter"/>
      <w:lvlText w:val="%8."/>
      <w:lvlJc w:val="left"/>
      <w:pPr>
        <w:ind w:left="5760" w:hanging="360"/>
      </w:pPr>
    </w:lvl>
    <w:lvl w:ilvl="8" w:tplc="F5C2A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1C0"/>
    <w:multiLevelType w:val="hybridMultilevel"/>
    <w:tmpl w:val="C2E41DC2"/>
    <w:lvl w:ilvl="0" w:tplc="6784B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07320" w:tentative="1">
      <w:start w:val="1"/>
      <w:numFmt w:val="lowerLetter"/>
      <w:lvlText w:val="%2."/>
      <w:lvlJc w:val="left"/>
      <w:pPr>
        <w:ind w:left="1440" w:hanging="360"/>
      </w:pPr>
    </w:lvl>
    <w:lvl w:ilvl="2" w:tplc="1E46ADC0" w:tentative="1">
      <w:start w:val="1"/>
      <w:numFmt w:val="lowerRoman"/>
      <w:lvlText w:val="%3."/>
      <w:lvlJc w:val="right"/>
      <w:pPr>
        <w:ind w:left="2160" w:hanging="180"/>
      </w:pPr>
    </w:lvl>
    <w:lvl w:ilvl="3" w:tplc="48A2DF0C" w:tentative="1">
      <w:start w:val="1"/>
      <w:numFmt w:val="decimal"/>
      <w:lvlText w:val="%4."/>
      <w:lvlJc w:val="left"/>
      <w:pPr>
        <w:ind w:left="2880" w:hanging="360"/>
      </w:pPr>
    </w:lvl>
    <w:lvl w:ilvl="4" w:tplc="8FF422EE" w:tentative="1">
      <w:start w:val="1"/>
      <w:numFmt w:val="lowerLetter"/>
      <w:lvlText w:val="%5."/>
      <w:lvlJc w:val="left"/>
      <w:pPr>
        <w:ind w:left="3600" w:hanging="360"/>
      </w:pPr>
    </w:lvl>
    <w:lvl w:ilvl="5" w:tplc="896A2D3E" w:tentative="1">
      <w:start w:val="1"/>
      <w:numFmt w:val="lowerRoman"/>
      <w:lvlText w:val="%6."/>
      <w:lvlJc w:val="right"/>
      <w:pPr>
        <w:ind w:left="4320" w:hanging="180"/>
      </w:pPr>
    </w:lvl>
    <w:lvl w:ilvl="6" w:tplc="247AC11E" w:tentative="1">
      <w:start w:val="1"/>
      <w:numFmt w:val="decimal"/>
      <w:lvlText w:val="%7."/>
      <w:lvlJc w:val="left"/>
      <w:pPr>
        <w:ind w:left="5040" w:hanging="360"/>
      </w:pPr>
    </w:lvl>
    <w:lvl w:ilvl="7" w:tplc="2C3C6DF4" w:tentative="1">
      <w:start w:val="1"/>
      <w:numFmt w:val="lowerLetter"/>
      <w:lvlText w:val="%8."/>
      <w:lvlJc w:val="left"/>
      <w:pPr>
        <w:ind w:left="5760" w:hanging="360"/>
      </w:pPr>
    </w:lvl>
    <w:lvl w:ilvl="8" w:tplc="B3D0D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3F9"/>
    <w:multiLevelType w:val="hybridMultilevel"/>
    <w:tmpl w:val="7B0E43E6"/>
    <w:lvl w:ilvl="0" w:tplc="50A64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683C20" w:tentative="1">
      <w:start w:val="1"/>
      <w:numFmt w:val="lowerLetter"/>
      <w:lvlText w:val="%2."/>
      <w:lvlJc w:val="left"/>
      <w:pPr>
        <w:ind w:left="1440" w:hanging="360"/>
      </w:pPr>
    </w:lvl>
    <w:lvl w:ilvl="2" w:tplc="F2E4CDA4" w:tentative="1">
      <w:start w:val="1"/>
      <w:numFmt w:val="lowerRoman"/>
      <w:lvlText w:val="%3."/>
      <w:lvlJc w:val="right"/>
      <w:pPr>
        <w:ind w:left="2160" w:hanging="180"/>
      </w:pPr>
    </w:lvl>
    <w:lvl w:ilvl="3" w:tplc="84DC64E0" w:tentative="1">
      <w:start w:val="1"/>
      <w:numFmt w:val="decimal"/>
      <w:lvlText w:val="%4."/>
      <w:lvlJc w:val="left"/>
      <w:pPr>
        <w:ind w:left="2880" w:hanging="360"/>
      </w:pPr>
    </w:lvl>
    <w:lvl w:ilvl="4" w:tplc="516060C2" w:tentative="1">
      <w:start w:val="1"/>
      <w:numFmt w:val="lowerLetter"/>
      <w:lvlText w:val="%5."/>
      <w:lvlJc w:val="left"/>
      <w:pPr>
        <w:ind w:left="3600" w:hanging="360"/>
      </w:pPr>
    </w:lvl>
    <w:lvl w:ilvl="5" w:tplc="8304D104" w:tentative="1">
      <w:start w:val="1"/>
      <w:numFmt w:val="lowerRoman"/>
      <w:lvlText w:val="%6."/>
      <w:lvlJc w:val="right"/>
      <w:pPr>
        <w:ind w:left="4320" w:hanging="180"/>
      </w:pPr>
    </w:lvl>
    <w:lvl w:ilvl="6" w:tplc="10A6F65A" w:tentative="1">
      <w:start w:val="1"/>
      <w:numFmt w:val="decimal"/>
      <w:lvlText w:val="%7."/>
      <w:lvlJc w:val="left"/>
      <w:pPr>
        <w:ind w:left="5040" w:hanging="360"/>
      </w:pPr>
    </w:lvl>
    <w:lvl w:ilvl="7" w:tplc="7B782080" w:tentative="1">
      <w:start w:val="1"/>
      <w:numFmt w:val="lowerLetter"/>
      <w:lvlText w:val="%8."/>
      <w:lvlJc w:val="left"/>
      <w:pPr>
        <w:ind w:left="5760" w:hanging="360"/>
      </w:pPr>
    </w:lvl>
    <w:lvl w:ilvl="8" w:tplc="4C8AB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211F3"/>
    <w:multiLevelType w:val="hybridMultilevel"/>
    <w:tmpl w:val="14B855FA"/>
    <w:lvl w:ilvl="0" w:tplc="1F847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68D4C" w:tentative="1">
      <w:start w:val="1"/>
      <w:numFmt w:val="lowerLetter"/>
      <w:lvlText w:val="%2."/>
      <w:lvlJc w:val="left"/>
      <w:pPr>
        <w:ind w:left="1440" w:hanging="360"/>
      </w:pPr>
    </w:lvl>
    <w:lvl w:ilvl="2" w:tplc="40E61A14" w:tentative="1">
      <w:start w:val="1"/>
      <w:numFmt w:val="lowerRoman"/>
      <w:lvlText w:val="%3."/>
      <w:lvlJc w:val="right"/>
      <w:pPr>
        <w:ind w:left="2160" w:hanging="180"/>
      </w:pPr>
    </w:lvl>
    <w:lvl w:ilvl="3" w:tplc="E4C84D50" w:tentative="1">
      <w:start w:val="1"/>
      <w:numFmt w:val="decimal"/>
      <w:lvlText w:val="%4."/>
      <w:lvlJc w:val="left"/>
      <w:pPr>
        <w:ind w:left="2880" w:hanging="360"/>
      </w:pPr>
    </w:lvl>
    <w:lvl w:ilvl="4" w:tplc="8CF043D0" w:tentative="1">
      <w:start w:val="1"/>
      <w:numFmt w:val="lowerLetter"/>
      <w:lvlText w:val="%5."/>
      <w:lvlJc w:val="left"/>
      <w:pPr>
        <w:ind w:left="3600" w:hanging="360"/>
      </w:pPr>
    </w:lvl>
    <w:lvl w:ilvl="5" w:tplc="D6C25D42" w:tentative="1">
      <w:start w:val="1"/>
      <w:numFmt w:val="lowerRoman"/>
      <w:lvlText w:val="%6."/>
      <w:lvlJc w:val="right"/>
      <w:pPr>
        <w:ind w:left="4320" w:hanging="180"/>
      </w:pPr>
    </w:lvl>
    <w:lvl w:ilvl="6" w:tplc="2682A9BE" w:tentative="1">
      <w:start w:val="1"/>
      <w:numFmt w:val="decimal"/>
      <w:lvlText w:val="%7."/>
      <w:lvlJc w:val="left"/>
      <w:pPr>
        <w:ind w:left="5040" w:hanging="360"/>
      </w:pPr>
    </w:lvl>
    <w:lvl w:ilvl="7" w:tplc="67FC8514" w:tentative="1">
      <w:start w:val="1"/>
      <w:numFmt w:val="lowerLetter"/>
      <w:lvlText w:val="%8."/>
      <w:lvlJc w:val="left"/>
      <w:pPr>
        <w:ind w:left="5760" w:hanging="360"/>
      </w:pPr>
    </w:lvl>
    <w:lvl w:ilvl="8" w:tplc="EA0ECE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32D01"/>
    <w:rsid w:val="001440AB"/>
    <w:rsid w:val="00150919"/>
    <w:rsid w:val="00181D76"/>
    <w:rsid w:val="001E5FA4"/>
    <w:rsid w:val="001F7A01"/>
    <w:rsid w:val="00201A27"/>
    <w:rsid w:val="00201A52"/>
    <w:rsid w:val="002159B2"/>
    <w:rsid w:val="00245AA4"/>
    <w:rsid w:val="00265F75"/>
    <w:rsid w:val="00320495"/>
    <w:rsid w:val="003272E4"/>
    <w:rsid w:val="00340C2E"/>
    <w:rsid w:val="00345881"/>
    <w:rsid w:val="00352559"/>
    <w:rsid w:val="003810A5"/>
    <w:rsid w:val="003903DC"/>
    <w:rsid w:val="00397BA0"/>
    <w:rsid w:val="003A32E9"/>
    <w:rsid w:val="003C27D2"/>
    <w:rsid w:val="003C77C0"/>
    <w:rsid w:val="003E45C2"/>
    <w:rsid w:val="00423D91"/>
    <w:rsid w:val="0043735F"/>
    <w:rsid w:val="00442699"/>
    <w:rsid w:val="00442F87"/>
    <w:rsid w:val="00465355"/>
    <w:rsid w:val="00470BDF"/>
    <w:rsid w:val="00486F1B"/>
    <w:rsid w:val="0049546A"/>
    <w:rsid w:val="004A2D56"/>
    <w:rsid w:val="004C4F20"/>
    <w:rsid w:val="004E3209"/>
    <w:rsid w:val="004F0D3F"/>
    <w:rsid w:val="00514E1D"/>
    <w:rsid w:val="00555134"/>
    <w:rsid w:val="005717F8"/>
    <w:rsid w:val="00572A14"/>
    <w:rsid w:val="005B4C18"/>
    <w:rsid w:val="005E7EA1"/>
    <w:rsid w:val="006119F4"/>
    <w:rsid w:val="0062353D"/>
    <w:rsid w:val="00630907"/>
    <w:rsid w:val="00640C8C"/>
    <w:rsid w:val="00652748"/>
    <w:rsid w:val="00652C5E"/>
    <w:rsid w:val="006B5A0C"/>
    <w:rsid w:val="006B66DC"/>
    <w:rsid w:val="006E2ACB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6158E"/>
    <w:rsid w:val="008706FC"/>
    <w:rsid w:val="0087674F"/>
    <w:rsid w:val="00885F6E"/>
    <w:rsid w:val="008B1374"/>
    <w:rsid w:val="008C06E2"/>
    <w:rsid w:val="008D63AD"/>
    <w:rsid w:val="008D750B"/>
    <w:rsid w:val="008E2E34"/>
    <w:rsid w:val="008F441F"/>
    <w:rsid w:val="00935FFB"/>
    <w:rsid w:val="00953AB3"/>
    <w:rsid w:val="00960620"/>
    <w:rsid w:val="00975498"/>
    <w:rsid w:val="0098294A"/>
    <w:rsid w:val="009C0B16"/>
    <w:rsid w:val="00A24D8D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B3662"/>
    <w:rsid w:val="00BC2E73"/>
    <w:rsid w:val="00BD13C5"/>
    <w:rsid w:val="00BD7B45"/>
    <w:rsid w:val="00BE39EC"/>
    <w:rsid w:val="00BF6E12"/>
    <w:rsid w:val="00C11CA4"/>
    <w:rsid w:val="00C41738"/>
    <w:rsid w:val="00C6206D"/>
    <w:rsid w:val="00C86ADB"/>
    <w:rsid w:val="00C91F11"/>
    <w:rsid w:val="00C93AF6"/>
    <w:rsid w:val="00CA3E79"/>
    <w:rsid w:val="00CA54D8"/>
    <w:rsid w:val="00CE765E"/>
    <w:rsid w:val="00D066F0"/>
    <w:rsid w:val="00D07469"/>
    <w:rsid w:val="00D1179D"/>
    <w:rsid w:val="00D2720D"/>
    <w:rsid w:val="00D45009"/>
    <w:rsid w:val="00D45E56"/>
    <w:rsid w:val="00D71111"/>
    <w:rsid w:val="00D85CFD"/>
    <w:rsid w:val="00DB2A58"/>
    <w:rsid w:val="00DC3159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A25A0"/>
    <w:rsid w:val="00F04730"/>
    <w:rsid w:val="00F179C9"/>
    <w:rsid w:val="00F445EC"/>
    <w:rsid w:val="00F821FE"/>
    <w:rsid w:val="00F97DB8"/>
    <w:rsid w:val="00FE350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0AB8-EEF7-4D8F-944D-EA4EB43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Tajčová Libuše</cp:lastModifiedBy>
  <cp:revision>2</cp:revision>
  <dcterms:created xsi:type="dcterms:W3CDTF">2023-04-18T04:48:00Z</dcterms:created>
  <dcterms:modified xsi:type="dcterms:W3CDTF">2023-04-18T04:48:00Z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UZSVM/S/3140/2014-PSLO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Nesvačily u Bystřice - Dodatek č. 1 k BÚP - upravená verze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Tajčová Libuše, Bc.</vt:lpwstr>
  </property>
  <property fmtid="{D5CDD505-2E9C-101B-9397-08002B2CF9AE}" pid="41" name="CUSTOM.VLASTNIK_JMENO_TISK">
    <vt:lpwstr/>
  </property>
  <property fmtid="{D5CDD505-2E9C-101B-9397-08002B2CF9AE}" pid="42" name="CUSTOM.VLASTNIK_MAIL">
    <vt:lpwstr>Libuse.Tajcova@uzsvm.cz</vt:lpwstr>
  </property>
  <property fmtid="{D5CDD505-2E9C-101B-9397-08002B2CF9AE}" pid="43" name="CUSTOM.VLASTNIK_TELEFON">
    <vt:lpwstr>+420 225 776 853</vt:lpwstr>
  </property>
  <property fmtid="{D5CDD505-2E9C-101B-9397-08002B2CF9AE}" pid="44" name="CUSTOM.VYTVOREN_DNE">
    <vt:lpwstr>30.03.2023</vt:lpwstr>
  </property>
  <property fmtid="{D5CDD505-2E9C-101B-9397-08002B2CF9AE}" pid="45" name="KOD.KOD_CJ">
    <vt:lpwstr>UZSVM/S/5781/2023-PSLO</vt:lpwstr>
  </property>
  <property fmtid="{D5CDD505-2E9C-101B-9397-08002B2CF9AE}" pid="46" name="KOD.KOD_EVC">
    <vt:lpwstr>9416/S/2023-PSLO</vt:lpwstr>
  </property>
  <property fmtid="{D5CDD505-2E9C-101B-9397-08002B2CF9AE}" pid="47" name="KOD.KOD_EVC_BARCODE">
    <vt:lpwstr>µ#9416/S/2023-PSLO@G¸</vt:lpwstr>
  </property>
  <property fmtid="{D5CDD505-2E9C-101B-9397-08002B2CF9AE}" pid="48" name="KOD.KOD_IU_CODE">
    <vt:lpwstr>2022</vt:lpwstr>
  </property>
  <property fmtid="{D5CDD505-2E9C-101B-9397-08002B2CF9AE}" pid="49" name="KOD.KOD_IU_SHORT">
    <vt:lpwstr>PSLO</vt:lpwstr>
  </property>
  <property fmtid="{D5CDD505-2E9C-101B-9397-08002B2CF9AE}" pid="50" name="KOD.KOD_IU_TXT">
    <vt:lpwstr>oddělení Pohledávek a IBV</vt:lpwstr>
  </property>
  <property fmtid="{D5CDD505-2E9C-101B-9397-08002B2CF9AE}" pid="51" name="KOD.OBJECT_GUID">
    <vt:lpwstr>d0024b7c-93b3-439b-8a3d-f9713490fcba</vt:lpwstr>
  </property>
  <property fmtid="{D5CDD505-2E9C-101B-9397-08002B2CF9AE}" pid="52" name="KrbDmsIdForm">
    <vt:lpwstr>d0024b7c-93b3-439b-8a3d-f9713490fcba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