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BC6BB" w14:textId="77777777" w:rsidR="00EC40EC" w:rsidRPr="00D941EC" w:rsidRDefault="00EC40EC" w:rsidP="005F690C">
      <w:pPr>
        <w:pStyle w:val="SSNzev1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D941EC">
        <w:rPr>
          <w:rFonts w:ascii="Tahoma" w:hAnsi="Tahoma" w:cs="Tahoma"/>
          <w:sz w:val="18"/>
          <w:szCs w:val="18"/>
        </w:rPr>
        <w:t xml:space="preserve">smlouva o poskytování služeb podpory </w:t>
      </w:r>
      <w:r w:rsidR="00971500" w:rsidRPr="00D941EC">
        <w:rPr>
          <w:rFonts w:ascii="Tahoma" w:hAnsi="Tahoma" w:cs="Tahoma"/>
          <w:sz w:val="18"/>
          <w:szCs w:val="18"/>
        </w:rPr>
        <w:t>PRO hp TECHNOLOGI</w:t>
      </w:r>
      <w:r w:rsidR="00047F06" w:rsidRPr="00D941EC">
        <w:rPr>
          <w:rFonts w:ascii="Tahoma" w:hAnsi="Tahoma" w:cs="Tahoma"/>
          <w:sz w:val="18"/>
          <w:szCs w:val="18"/>
        </w:rPr>
        <w:t>E</w:t>
      </w:r>
      <w:r w:rsidR="003C28A6" w:rsidRPr="00D941EC">
        <w:rPr>
          <w:rFonts w:ascii="Tahoma" w:hAnsi="Tahoma" w:cs="Tahoma"/>
          <w:sz w:val="18"/>
          <w:szCs w:val="18"/>
        </w:rPr>
        <w:t xml:space="preserve"> </w:t>
      </w:r>
    </w:p>
    <w:p w14:paraId="6023C3E1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571E87AC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32CA22A6" w14:textId="77777777" w:rsidR="00632C7C" w:rsidRDefault="00632C7C" w:rsidP="00632C7C">
      <w:pPr>
        <w:pStyle w:val="Default"/>
      </w:pPr>
    </w:p>
    <w:p w14:paraId="7D0A55FD" w14:textId="37C4EC0A" w:rsidR="00F17EAB" w:rsidRPr="00D941EC" w:rsidRDefault="005B17F1" w:rsidP="00F17EAB">
      <w:pPr>
        <w:jc w:val="both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</w:rPr>
        <w:t>TresTech s.r.o.</w:t>
      </w:r>
    </w:p>
    <w:p w14:paraId="1091BA68" w14:textId="6A16F614" w:rsidR="00F17EAB" w:rsidRPr="00D941EC" w:rsidRDefault="00F17EAB" w:rsidP="00F17EAB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color w:val="000000"/>
          <w:sz w:val="16"/>
          <w:szCs w:val="16"/>
        </w:rPr>
        <w:t xml:space="preserve">Zapsán </w:t>
      </w:r>
      <w:r w:rsidRPr="00D941EC">
        <w:rPr>
          <w:rFonts w:ascii="Tahoma" w:hAnsi="Tahoma" w:cs="Tahoma"/>
          <w:sz w:val="16"/>
          <w:szCs w:val="16"/>
        </w:rPr>
        <w:t xml:space="preserve">v obchodním rejstříku </w:t>
      </w:r>
      <w:r w:rsidR="005B17F1">
        <w:rPr>
          <w:rFonts w:ascii="Tahoma" w:hAnsi="Tahoma" w:cs="Tahoma"/>
          <w:sz w:val="16"/>
          <w:szCs w:val="16"/>
        </w:rPr>
        <w:t xml:space="preserve">vedeném Městským soudem v Praze, oddíl C, vložka </w:t>
      </w:r>
      <w:r w:rsidR="007A3937">
        <w:rPr>
          <w:rFonts w:ascii="Tahoma" w:hAnsi="Tahoma" w:cs="Tahoma"/>
          <w:sz w:val="16"/>
          <w:szCs w:val="16"/>
        </w:rPr>
        <w:t>244853</w:t>
      </w:r>
    </w:p>
    <w:p w14:paraId="41A8E60C" w14:textId="505E51E3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se sídlem: </w:t>
      </w:r>
      <w:r w:rsidR="00F847FF">
        <w:rPr>
          <w:rFonts w:ascii="Tahoma" w:hAnsi="Tahoma" w:cs="Tahoma"/>
          <w:sz w:val="16"/>
          <w:szCs w:val="16"/>
        </w:rPr>
        <w:tab/>
      </w:r>
      <w:r w:rsidR="007A3937">
        <w:rPr>
          <w:rFonts w:ascii="Tahoma" w:hAnsi="Tahoma" w:cs="Tahoma"/>
          <w:sz w:val="16"/>
          <w:szCs w:val="16"/>
        </w:rPr>
        <w:t>Hornokrčská 707/7, 140 00 Praha 4</w:t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  <w:t xml:space="preserve">   </w:t>
      </w:r>
    </w:p>
    <w:p w14:paraId="078E3207" w14:textId="4D7862AE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IČ:</w:t>
      </w:r>
      <w:r w:rsidR="007A3937">
        <w:rPr>
          <w:rFonts w:ascii="Tahoma" w:hAnsi="Tahoma" w:cs="Tahoma"/>
          <w:sz w:val="16"/>
          <w:szCs w:val="16"/>
        </w:rPr>
        <w:t xml:space="preserve"> 04262719</w:t>
      </w:r>
      <w:r w:rsidRPr="00D941EC">
        <w:rPr>
          <w:rFonts w:ascii="Tahoma" w:hAnsi="Tahoma" w:cs="Tahoma"/>
          <w:sz w:val="16"/>
          <w:szCs w:val="16"/>
        </w:rPr>
        <w:t xml:space="preserve">         DIČ: </w:t>
      </w:r>
      <w:r w:rsidR="007A3937">
        <w:rPr>
          <w:rFonts w:ascii="Tahoma" w:hAnsi="Tahoma" w:cs="Tahoma"/>
          <w:sz w:val="16"/>
          <w:szCs w:val="16"/>
        </w:rPr>
        <w:t>CZ04262719</w:t>
      </w:r>
    </w:p>
    <w:p w14:paraId="7521FDF2" w14:textId="04FA7051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zastoupený: </w:t>
      </w:r>
      <w:r w:rsidRPr="00D941EC">
        <w:rPr>
          <w:rFonts w:ascii="Tahoma" w:hAnsi="Tahoma" w:cs="Tahoma"/>
          <w:sz w:val="16"/>
          <w:szCs w:val="16"/>
        </w:rPr>
        <w:tab/>
      </w:r>
      <w:r w:rsidR="00F847FF">
        <w:rPr>
          <w:rFonts w:ascii="Tahoma" w:hAnsi="Tahoma" w:cs="Tahoma"/>
          <w:sz w:val="16"/>
          <w:szCs w:val="16"/>
        </w:rPr>
        <w:t>Tomášem Hauznerem, jednatelem</w:t>
      </w:r>
      <w:r w:rsidRPr="00D941EC">
        <w:rPr>
          <w:rFonts w:ascii="Tahoma" w:hAnsi="Tahoma" w:cs="Tahoma"/>
          <w:sz w:val="16"/>
          <w:szCs w:val="16"/>
        </w:rPr>
        <w:tab/>
        <w:t xml:space="preserve">  </w:t>
      </w:r>
    </w:p>
    <w:p w14:paraId="34183117" w14:textId="2B3049B8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bankovní spojení: </w:t>
      </w:r>
      <w:r w:rsidRPr="00D941EC">
        <w:rPr>
          <w:rFonts w:ascii="Tahoma" w:hAnsi="Tahoma" w:cs="Tahoma"/>
          <w:sz w:val="16"/>
          <w:szCs w:val="16"/>
        </w:rPr>
        <w:tab/>
      </w:r>
      <w:r w:rsidR="00124D04">
        <w:rPr>
          <w:rFonts w:ascii="Tahoma" w:hAnsi="Tahoma" w:cs="Tahoma"/>
          <w:sz w:val="16"/>
          <w:szCs w:val="16"/>
        </w:rPr>
        <w:t>xxxxx</w:t>
      </w:r>
      <w:r w:rsidRPr="00D941EC">
        <w:rPr>
          <w:rFonts w:ascii="Tahoma" w:hAnsi="Tahoma" w:cs="Tahoma"/>
          <w:sz w:val="16"/>
          <w:szCs w:val="16"/>
        </w:rPr>
        <w:t xml:space="preserve"> </w:t>
      </w:r>
    </w:p>
    <w:p w14:paraId="1F2002B8" w14:textId="6EE228E2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číslo účtu: </w:t>
      </w:r>
      <w:r w:rsidRPr="00D941EC">
        <w:rPr>
          <w:rFonts w:ascii="Tahoma" w:hAnsi="Tahoma" w:cs="Tahoma"/>
          <w:sz w:val="16"/>
          <w:szCs w:val="16"/>
        </w:rPr>
        <w:tab/>
      </w:r>
      <w:r w:rsidR="00124D04">
        <w:rPr>
          <w:rFonts w:ascii="Tahoma" w:hAnsi="Tahoma" w:cs="Tahoma"/>
          <w:sz w:val="16"/>
          <w:szCs w:val="16"/>
        </w:rPr>
        <w:t>xxxxx</w:t>
      </w:r>
    </w:p>
    <w:p w14:paraId="2A150BA3" w14:textId="77777777" w:rsidR="00F17EAB" w:rsidRPr="00D941EC" w:rsidRDefault="00F17EAB" w:rsidP="00F17EAB">
      <w:pPr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poskytovatel </w:t>
      </w:r>
      <w:r w:rsidRPr="00D941EC">
        <w:rPr>
          <w:rFonts w:ascii="Tahoma" w:hAnsi="Tahoma" w:cs="Tahoma"/>
          <w:sz w:val="16"/>
          <w:szCs w:val="16"/>
        </w:rPr>
        <w:t>na straně jedné (dále jen „poskytovatel“)</w:t>
      </w:r>
    </w:p>
    <w:p w14:paraId="046C27F0" w14:textId="77777777" w:rsidR="00F17EAB" w:rsidRPr="00D941EC" w:rsidRDefault="00F17EAB" w:rsidP="00F17EAB">
      <w:pPr>
        <w:jc w:val="center"/>
        <w:rPr>
          <w:rFonts w:ascii="Tahoma" w:hAnsi="Tahoma" w:cs="Tahoma"/>
          <w:b/>
          <w:sz w:val="16"/>
          <w:szCs w:val="16"/>
        </w:rPr>
      </w:pPr>
    </w:p>
    <w:p w14:paraId="4444CCBF" w14:textId="77777777" w:rsidR="00F17EAB" w:rsidRPr="00D941EC" w:rsidRDefault="00F17EAB" w:rsidP="00F17EAB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a</w:t>
      </w:r>
    </w:p>
    <w:p w14:paraId="1E6F9BD2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3AB9985D" w14:textId="77777777" w:rsidR="00F17EAB" w:rsidRDefault="00F17EAB" w:rsidP="00F17EAB">
      <w:pPr>
        <w:rPr>
          <w:rFonts w:ascii="Tahoma" w:hAnsi="Tahoma" w:cs="Tahoma"/>
          <w:b/>
          <w:kern w:val="0"/>
          <w:sz w:val="16"/>
          <w:szCs w:val="16"/>
          <w:lang w:eastAsia="cs-CZ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D16EFCA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 sídlem:  </w:t>
      </w:r>
      <w:r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73FA0793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   </w:t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5A018185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          </w:t>
      </w:r>
      <w:r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06D2B38C" w14:textId="77777777" w:rsidR="00F17EAB" w:rsidRDefault="00F17EAB" w:rsidP="00F17EAB">
      <w:pPr>
        <w:pStyle w:val="Nadpis4"/>
        <w:numPr>
          <w:ilvl w:val="0"/>
          <w:numId w:val="0"/>
        </w:numPr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bankovní spojení: </w:t>
      </w:r>
      <w:r>
        <w:rPr>
          <w:rFonts w:ascii="Tahoma" w:eastAsia="Calibri" w:hAnsi="Tahoma" w:cs="Tahoma"/>
          <w:sz w:val="16"/>
          <w:szCs w:val="16"/>
        </w:rPr>
        <w:tab/>
        <w:t>ČNB</w:t>
      </w:r>
    </w:p>
    <w:p w14:paraId="5C3EA85F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6ACE2C49" w14:textId="77777777" w:rsidR="00F17EAB" w:rsidRPr="00D941EC" w:rsidRDefault="00F17EAB" w:rsidP="00F17EAB">
      <w:pPr>
        <w:ind w:firstLine="708"/>
        <w:rPr>
          <w:rFonts w:ascii="Tahoma" w:hAnsi="Tahoma" w:cs="Tahoma"/>
          <w:sz w:val="16"/>
          <w:szCs w:val="16"/>
        </w:rPr>
      </w:pPr>
    </w:p>
    <w:p w14:paraId="0285DC51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objednatel </w:t>
      </w:r>
      <w:r w:rsidRPr="00D941EC">
        <w:rPr>
          <w:rFonts w:ascii="Tahoma" w:hAnsi="Tahoma" w:cs="Tahoma"/>
          <w:sz w:val="16"/>
          <w:szCs w:val="16"/>
        </w:rPr>
        <w:t>na straně druhé (dále jen „objednatel“)</w:t>
      </w:r>
    </w:p>
    <w:p w14:paraId="6461C333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2A8BD7ED" w14:textId="4A833E2D" w:rsidR="005F690C" w:rsidRPr="00D941EC" w:rsidRDefault="002F6022" w:rsidP="005F690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a objednatel společně též jako „smluvní strany“</w:t>
      </w:r>
    </w:p>
    <w:p w14:paraId="35E3FA35" w14:textId="77777777" w:rsidR="00EC40EC" w:rsidRPr="00D941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F3CC5DF" w14:textId="3CB750C5" w:rsidR="00CF7927" w:rsidRPr="005F690C" w:rsidRDefault="00CF7927" w:rsidP="00CF7927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5F690C">
        <w:rPr>
          <w:rFonts w:ascii="Tahoma" w:hAnsi="Tahoma" w:cs="Tahoma"/>
          <w:b/>
          <w:sz w:val="16"/>
          <w:szCs w:val="16"/>
        </w:rPr>
        <w:t>veřejné zakázky</w:t>
      </w:r>
      <w:r>
        <w:rPr>
          <w:rFonts w:ascii="Tahoma" w:hAnsi="Tahoma" w:cs="Tahoma"/>
          <w:b/>
          <w:sz w:val="16"/>
          <w:szCs w:val="16"/>
        </w:rPr>
        <w:t xml:space="preserve"> malého rozsahu</w:t>
      </w:r>
      <w:r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s názvem </w:t>
      </w:r>
      <w:r w:rsidRPr="00DA75B0">
        <w:rPr>
          <w:rFonts w:ascii="Tahoma" w:hAnsi="Tahoma" w:cs="Tahoma"/>
          <w:b/>
          <w:sz w:val="16"/>
          <w:szCs w:val="16"/>
        </w:rPr>
        <w:t>„</w:t>
      </w:r>
      <w:r w:rsidRPr="61C8735C">
        <w:rPr>
          <w:rFonts w:ascii="Tahoma" w:hAnsi="Tahoma" w:cs="Tahoma"/>
          <w:b/>
          <w:bCs/>
          <w:sz w:val="16"/>
          <w:szCs w:val="16"/>
        </w:rPr>
        <w:t>Podpora</w:t>
      </w:r>
      <w:r w:rsidR="00802A2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61C8735C">
        <w:rPr>
          <w:rFonts w:ascii="Tahoma" w:hAnsi="Tahoma" w:cs="Tahoma"/>
          <w:b/>
          <w:bCs/>
          <w:sz w:val="16"/>
          <w:szCs w:val="16"/>
        </w:rPr>
        <w:t>HP technologií</w:t>
      </w:r>
      <w:r w:rsidRPr="00DA75B0">
        <w:rPr>
          <w:rFonts w:ascii="Tahoma" w:hAnsi="Tahoma" w:cs="Tahoma"/>
          <w:b/>
          <w:sz w:val="16"/>
          <w:szCs w:val="16"/>
        </w:rPr>
        <w:t>“</w:t>
      </w:r>
      <w:r w:rsidRPr="00E61A03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 xml:space="preserve">zadávané na elektronickém tržišti Tendermarket pod systémovým číslem </w:t>
      </w:r>
      <w:r w:rsidR="00931B74" w:rsidRPr="00931B74">
        <w:rPr>
          <w:rFonts w:ascii="Tahoma" w:hAnsi="Tahoma" w:cs="Tahoma"/>
          <w:sz w:val="16"/>
          <w:szCs w:val="16"/>
        </w:rPr>
        <w:t>T004/23V/</w:t>
      </w:r>
      <w:r w:rsidR="00931B74" w:rsidRPr="000E3EFB">
        <w:rPr>
          <w:rFonts w:ascii="Tahoma" w:hAnsi="Tahoma" w:cs="Tahoma"/>
          <w:sz w:val="16"/>
          <w:szCs w:val="16"/>
        </w:rPr>
        <w:t>00002519</w:t>
      </w:r>
      <w:r w:rsidR="00931B74" w:rsidRPr="000E3EFB" w:rsidDel="00931B74">
        <w:rPr>
          <w:rFonts w:ascii="Tahoma" w:hAnsi="Tahoma" w:cs="Tahoma"/>
          <w:sz w:val="16"/>
          <w:szCs w:val="16"/>
        </w:rPr>
        <w:t xml:space="preserve"> </w:t>
      </w:r>
      <w:r w:rsidRPr="000E3EFB">
        <w:rPr>
          <w:rFonts w:ascii="Tahoma" w:hAnsi="Tahoma" w:cs="Tahoma"/>
          <w:sz w:val="16"/>
          <w:szCs w:val="16"/>
        </w:rPr>
        <w:t>v</w:t>
      </w:r>
      <w:r w:rsidRPr="004438C8">
        <w:rPr>
          <w:rFonts w:ascii="Tahoma" w:hAnsi="Tahoma" w:cs="Tahoma"/>
          <w:sz w:val="16"/>
          <w:szCs w:val="16"/>
        </w:rPr>
        <w:t> </w:t>
      </w:r>
      <w:r w:rsidR="00C82242">
        <w:rPr>
          <w:rFonts w:ascii="Tahoma" w:hAnsi="Tahoma" w:cs="Tahoma"/>
          <w:sz w:val="16"/>
          <w:szCs w:val="16"/>
        </w:rPr>
        <w:t>poptávkovém</w:t>
      </w:r>
      <w:r w:rsidRPr="004438C8">
        <w:rPr>
          <w:rFonts w:ascii="Tahoma" w:hAnsi="Tahoma" w:cs="Tahoma"/>
          <w:sz w:val="16"/>
          <w:szCs w:val="16"/>
        </w:rPr>
        <w:t xml:space="preserve"> řízení (dále jen „veřejná zakázka“)</w:t>
      </w:r>
      <w:r w:rsidRPr="005F690C">
        <w:rPr>
          <w:rFonts w:ascii="Tahoma" w:hAnsi="Tahoma" w:cs="Tahoma"/>
          <w:sz w:val="16"/>
          <w:szCs w:val="16"/>
        </w:rPr>
        <w:t xml:space="preserve">, v souladu s ustanovením </w:t>
      </w:r>
      <w:r w:rsidRPr="005F690C">
        <w:rPr>
          <w:rFonts w:ascii="Tahoma" w:hAnsi="Tahoma" w:cs="Tahoma"/>
          <w:iCs/>
          <w:sz w:val="16"/>
          <w:szCs w:val="16"/>
        </w:rPr>
        <w:t>§ 1746 odst. 2. zákona č. 89/2012 Sb., občanský zákoník</w:t>
      </w:r>
      <w:r w:rsidRPr="005F690C">
        <w:rPr>
          <w:rFonts w:ascii="Tahoma" w:hAnsi="Tahoma" w:cs="Tahoma"/>
          <w:sz w:val="16"/>
          <w:szCs w:val="16"/>
        </w:rPr>
        <w:t>, v</w:t>
      </w:r>
      <w:r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platném znění, (dále jen „občanský zákoník“), tuto</w:t>
      </w:r>
    </w:p>
    <w:p w14:paraId="06029EBF" w14:textId="77777777" w:rsidR="005F690C" w:rsidRPr="00D941E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2D90B08C" w14:textId="77777777" w:rsidR="00EC40EC" w:rsidRPr="00D941EC" w:rsidRDefault="00EC40E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 xml:space="preserve">smlouvu o poskytování služeb podpory </w:t>
      </w:r>
      <w:r w:rsidR="00EB785A" w:rsidRPr="00D941EC">
        <w:rPr>
          <w:rFonts w:ascii="Tahoma" w:hAnsi="Tahoma" w:cs="Tahoma"/>
          <w:b/>
          <w:sz w:val="16"/>
          <w:szCs w:val="16"/>
        </w:rPr>
        <w:t xml:space="preserve">pro HP technologie </w:t>
      </w:r>
      <w:r w:rsidRPr="00D941EC">
        <w:rPr>
          <w:rFonts w:ascii="Tahoma" w:hAnsi="Tahoma" w:cs="Tahoma"/>
          <w:b/>
          <w:sz w:val="16"/>
          <w:szCs w:val="16"/>
        </w:rPr>
        <w:t>(dále jen „smlouva“):</w:t>
      </w:r>
    </w:p>
    <w:p w14:paraId="22D1B650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24BF187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67DB96A" w14:textId="77777777" w:rsidR="00EC40EC" w:rsidRPr="00D941E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I. Předmět smlouvy</w:t>
      </w:r>
    </w:p>
    <w:p w14:paraId="703EC42A" w14:textId="77777777" w:rsidR="00990E40" w:rsidRPr="00D941E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32F862FD" w14:textId="5FA2715A" w:rsidR="00715AEA" w:rsidRPr="005F690C" w:rsidRDefault="00715AEA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Poskytovatel je certifikovaným partnerem společnosti Hewlett-Packard s.r.o. (dále jen </w:t>
      </w:r>
      <w:r w:rsidR="00443E6F">
        <w:rPr>
          <w:rFonts w:ascii="Tahoma" w:hAnsi="Tahoma" w:cs="Tahoma"/>
          <w:sz w:val="16"/>
          <w:szCs w:val="16"/>
        </w:rPr>
        <w:t>„</w:t>
      </w:r>
      <w:r w:rsidRPr="005F690C">
        <w:rPr>
          <w:rFonts w:ascii="Tahoma" w:hAnsi="Tahoma" w:cs="Tahoma"/>
          <w:sz w:val="16"/>
          <w:szCs w:val="16"/>
        </w:rPr>
        <w:t>HP</w:t>
      </w:r>
      <w:r w:rsidR="00443E6F">
        <w:rPr>
          <w:rFonts w:ascii="Tahoma" w:hAnsi="Tahoma" w:cs="Tahoma"/>
          <w:sz w:val="16"/>
          <w:szCs w:val="16"/>
        </w:rPr>
        <w:t>“</w:t>
      </w:r>
      <w:r w:rsidRPr="005F690C">
        <w:rPr>
          <w:rFonts w:ascii="Tahoma" w:hAnsi="Tahoma" w:cs="Tahoma"/>
          <w:sz w:val="16"/>
          <w:szCs w:val="16"/>
        </w:rPr>
        <w:t xml:space="preserve">). Poskytovatel se touto smlouvou zavazuje zajistit objednateli poskytování služby </w:t>
      </w:r>
      <w:r w:rsidRPr="005F690C">
        <w:rPr>
          <w:rFonts w:ascii="Tahoma" w:hAnsi="Tahoma" w:cs="Tahoma"/>
          <w:b/>
          <w:sz w:val="16"/>
          <w:szCs w:val="16"/>
        </w:rPr>
        <w:t xml:space="preserve">podpory pro </w:t>
      </w:r>
      <w:r w:rsidR="00045DD9">
        <w:rPr>
          <w:rFonts w:ascii="Tahoma" w:hAnsi="Tahoma" w:cs="Tahoma"/>
          <w:b/>
          <w:sz w:val="16"/>
          <w:szCs w:val="16"/>
        </w:rPr>
        <w:t xml:space="preserve">HP </w:t>
      </w:r>
      <w:r w:rsidRPr="005F690C">
        <w:rPr>
          <w:rFonts w:ascii="Tahoma" w:hAnsi="Tahoma" w:cs="Tahoma"/>
          <w:b/>
          <w:sz w:val="16"/>
          <w:szCs w:val="16"/>
        </w:rPr>
        <w:t xml:space="preserve">technologie (dále jen „podpora“) </w:t>
      </w:r>
      <w:r>
        <w:rPr>
          <w:rFonts w:ascii="Tahoma" w:hAnsi="Tahoma" w:cs="Tahoma"/>
          <w:sz w:val="16"/>
          <w:szCs w:val="16"/>
        </w:rPr>
        <w:t>prodloužením podpory výrobce</w:t>
      </w:r>
      <w:r w:rsidR="00443E6F"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sz w:val="16"/>
          <w:szCs w:val="16"/>
        </w:rPr>
        <w:t>zajistit její aktivaci a úhradu a objednatel se zavazuje uhradit poskytovateli sjednanou odměnu</w:t>
      </w:r>
      <w:r w:rsidR="00443E6F">
        <w:rPr>
          <w:rFonts w:ascii="Tahoma" w:hAnsi="Tahoma" w:cs="Tahoma"/>
          <w:sz w:val="16"/>
          <w:szCs w:val="16"/>
        </w:rPr>
        <w:t xml:space="preserve">. Předmětem smlouvy jsou rovněž </w:t>
      </w:r>
      <w:r w:rsidRPr="005F690C">
        <w:rPr>
          <w:rFonts w:ascii="Tahoma" w:hAnsi="Tahoma" w:cs="Tahoma"/>
          <w:sz w:val="16"/>
          <w:szCs w:val="16"/>
        </w:rPr>
        <w:t xml:space="preserve">i další závazky a práva smluvních stran </w:t>
      </w:r>
      <w:r w:rsidR="00443E6F">
        <w:rPr>
          <w:rFonts w:ascii="Tahoma" w:hAnsi="Tahoma" w:cs="Tahoma"/>
          <w:sz w:val="16"/>
          <w:szCs w:val="16"/>
        </w:rPr>
        <w:t xml:space="preserve">plynoucích </w:t>
      </w:r>
      <w:r w:rsidRPr="005F690C">
        <w:rPr>
          <w:rFonts w:ascii="Tahoma" w:hAnsi="Tahoma" w:cs="Tahoma"/>
          <w:sz w:val="16"/>
          <w:szCs w:val="16"/>
        </w:rPr>
        <w:t>z této smlouvy.</w:t>
      </w:r>
    </w:p>
    <w:p w14:paraId="7DFA54C1" w14:textId="77777777" w:rsidR="00715AEA" w:rsidRPr="005F690C" w:rsidRDefault="00715AEA" w:rsidP="00270618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07926FF2" w14:textId="77777777" w:rsidR="001D32C5" w:rsidRDefault="001D32C5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D32C5">
        <w:rPr>
          <w:rFonts w:ascii="Tahoma" w:hAnsi="Tahoma" w:cs="Tahoma"/>
          <w:sz w:val="16"/>
          <w:szCs w:val="16"/>
        </w:rPr>
        <w:t>Vzhledem k tomu, že dodávané služby podpory výrobce, jsou poskytované na systémy a technologie nezbytné pro zajištění základní služby: Poskytování zdravotních služeb dle Zákona č. 181/2014 Sb., o kybernetické bezpečnosti a o změně souvisejících zákonů (dále jen „ZKB“), se orgán nebo osoba (</w:t>
      </w:r>
      <w:r w:rsidR="00D22DCF">
        <w:rPr>
          <w:rFonts w:ascii="Tahoma" w:hAnsi="Tahoma" w:cs="Tahoma"/>
          <w:sz w:val="16"/>
          <w:szCs w:val="16"/>
        </w:rPr>
        <w:t>poskyto</w:t>
      </w:r>
      <w:r w:rsidRPr="001D32C5">
        <w:rPr>
          <w:rFonts w:ascii="Tahoma" w:hAnsi="Tahoma" w:cs="Tahoma"/>
          <w:sz w:val="16"/>
          <w:szCs w:val="16"/>
        </w:rPr>
        <w:t xml:space="preserve">vatel) poskytující služby podpory stává provozovatelem základní služby podle ZKB § 3 písm. f). </w:t>
      </w:r>
    </w:p>
    <w:p w14:paraId="17DD45E6" w14:textId="77777777" w:rsidR="001D32C5" w:rsidRDefault="001D32C5" w:rsidP="001D32C5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1ECF37C3" w14:textId="4B9391BB" w:rsidR="00715AEA" w:rsidRPr="005F690C" w:rsidRDefault="00715AEA">
      <w:pPr>
        <w:pStyle w:val="rove2Oddl"/>
        <w:numPr>
          <w:ilvl w:val="0"/>
          <w:numId w:val="5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Rozsah a technická specifikace podpory je uvedena v </w:t>
      </w:r>
      <w:r w:rsidR="00243F5E" w:rsidRPr="005F690C">
        <w:rPr>
          <w:rFonts w:ascii="Tahoma" w:hAnsi="Tahoma" w:cs="Tahoma"/>
          <w:sz w:val="16"/>
          <w:szCs w:val="16"/>
        </w:rPr>
        <w:t>příloze</w:t>
      </w:r>
      <w:r w:rsidRPr="005F690C">
        <w:rPr>
          <w:rFonts w:ascii="Tahoma" w:hAnsi="Tahoma" w:cs="Tahoma"/>
          <w:sz w:val="16"/>
          <w:szCs w:val="16"/>
        </w:rPr>
        <w:t xml:space="preserve"> č. </w:t>
      </w:r>
      <w:r w:rsidR="00920C87">
        <w:rPr>
          <w:rFonts w:ascii="Tahoma" w:hAnsi="Tahoma" w:cs="Tahoma"/>
          <w:sz w:val="16"/>
          <w:szCs w:val="16"/>
          <w:lang w:val="cs-CZ"/>
        </w:rPr>
        <w:t>1</w:t>
      </w:r>
      <w:r w:rsidRPr="005F690C">
        <w:rPr>
          <w:rFonts w:ascii="Tahoma" w:hAnsi="Tahoma" w:cs="Tahoma"/>
          <w:sz w:val="16"/>
          <w:szCs w:val="16"/>
        </w:rPr>
        <w:t xml:space="preserve"> této smlouvy, která je nedílnou součástí této smlouvy. Platnost a rozsah podpory od HP na technologi</w:t>
      </w:r>
      <w:r>
        <w:rPr>
          <w:rFonts w:ascii="Tahoma" w:hAnsi="Tahoma" w:cs="Tahoma"/>
          <w:sz w:val="16"/>
          <w:szCs w:val="16"/>
          <w:lang w:val="cs-CZ"/>
        </w:rPr>
        <w:t>e</w:t>
      </w:r>
      <w:r w:rsidRPr="005F690C">
        <w:rPr>
          <w:rFonts w:ascii="Tahoma" w:hAnsi="Tahoma" w:cs="Tahoma"/>
          <w:sz w:val="16"/>
          <w:szCs w:val="16"/>
        </w:rPr>
        <w:t xml:space="preserve"> dle specifikace uvedené v příloze č. </w:t>
      </w:r>
      <w:r w:rsidR="00920C87">
        <w:rPr>
          <w:rFonts w:ascii="Tahoma" w:hAnsi="Tahoma" w:cs="Tahoma"/>
          <w:sz w:val="16"/>
          <w:szCs w:val="16"/>
          <w:lang w:val="cs-CZ"/>
        </w:rPr>
        <w:t>1</w:t>
      </w:r>
      <w:r w:rsidRPr="005F690C">
        <w:rPr>
          <w:rFonts w:ascii="Tahoma" w:hAnsi="Tahoma" w:cs="Tahoma"/>
          <w:sz w:val="16"/>
          <w:szCs w:val="16"/>
        </w:rPr>
        <w:t xml:space="preserve"> této smlouvy lze zkontrolovat na</w:t>
      </w:r>
      <w:r w:rsidR="0074047A">
        <w:rPr>
          <w:rFonts w:ascii="Tahoma" w:hAnsi="Tahoma" w:cs="Tahoma"/>
          <w:sz w:val="16"/>
          <w:szCs w:val="16"/>
          <w:lang w:val="cs-CZ"/>
        </w:rPr>
        <w:t> </w:t>
      </w:r>
      <w:r w:rsidRPr="005F690C">
        <w:rPr>
          <w:rFonts w:ascii="Tahoma" w:hAnsi="Tahoma" w:cs="Tahoma"/>
          <w:sz w:val="16"/>
          <w:szCs w:val="16"/>
        </w:rPr>
        <w:t>příslušném webovém portálu společnosti HP po přihlášení se již existujícím účtem</w:t>
      </w:r>
      <w:r>
        <w:rPr>
          <w:rFonts w:ascii="Tahoma" w:hAnsi="Tahoma" w:cs="Tahoma"/>
          <w:sz w:val="16"/>
          <w:szCs w:val="16"/>
        </w:rPr>
        <w:t xml:space="preserve"> objednatele</w:t>
      </w:r>
      <w:r w:rsidRPr="005F690C">
        <w:rPr>
          <w:rFonts w:ascii="Tahoma" w:hAnsi="Tahoma" w:cs="Tahoma"/>
          <w:sz w:val="16"/>
          <w:szCs w:val="16"/>
        </w:rPr>
        <w:t>.</w:t>
      </w:r>
    </w:p>
    <w:p w14:paraId="0E9AF7F4" w14:textId="77777777" w:rsidR="00E30EDF" w:rsidRDefault="00E30EDF" w:rsidP="00E30EDF">
      <w:pPr>
        <w:rPr>
          <w:rFonts w:ascii="Tahoma" w:hAnsi="Tahoma" w:cs="Tahoma"/>
          <w:sz w:val="16"/>
          <w:szCs w:val="16"/>
        </w:rPr>
      </w:pPr>
    </w:p>
    <w:p w14:paraId="6A270363" w14:textId="77777777" w:rsidR="00FD3C30" w:rsidRPr="00F54E2E" w:rsidRDefault="00FD3C30" w:rsidP="00E30EDF">
      <w:pPr>
        <w:rPr>
          <w:rFonts w:ascii="Tahoma" w:hAnsi="Tahoma" w:cs="Tahoma"/>
          <w:sz w:val="16"/>
          <w:szCs w:val="16"/>
        </w:rPr>
      </w:pPr>
    </w:p>
    <w:p w14:paraId="73DB9532" w14:textId="2ADEC91F" w:rsidR="005F690C" w:rsidRPr="00D941EC" w:rsidRDefault="00EC40EC" w:rsidP="61C8735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61C8735C">
        <w:rPr>
          <w:rFonts w:ascii="Tahoma" w:hAnsi="Tahoma" w:cs="Tahoma"/>
          <w:b/>
          <w:bCs/>
          <w:sz w:val="16"/>
          <w:szCs w:val="16"/>
        </w:rPr>
        <w:t xml:space="preserve">II. Způsob poskytování </w:t>
      </w:r>
      <w:r w:rsidR="005F690C" w:rsidRPr="61C8735C">
        <w:rPr>
          <w:rFonts w:ascii="Tahoma" w:hAnsi="Tahoma" w:cs="Tahoma"/>
          <w:b/>
          <w:bCs/>
          <w:sz w:val="16"/>
          <w:szCs w:val="16"/>
        </w:rPr>
        <w:t xml:space="preserve">podpory, záruky </w:t>
      </w:r>
    </w:p>
    <w:p w14:paraId="49F782E5" w14:textId="77777777" w:rsidR="005F690C" w:rsidRPr="00D941EC" w:rsidRDefault="005F690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37655C0A" w14:textId="4D2B164F" w:rsidR="0050201F" w:rsidRDefault="00990E40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54E2E">
        <w:rPr>
          <w:rFonts w:ascii="Tahoma" w:hAnsi="Tahoma" w:cs="Tahoma"/>
          <w:sz w:val="16"/>
          <w:szCs w:val="16"/>
        </w:rPr>
        <w:t>Poskytovatel</w:t>
      </w:r>
      <w:r w:rsidR="00AA1C9A" w:rsidRPr="00F54E2E">
        <w:rPr>
          <w:rFonts w:ascii="Tahoma" w:hAnsi="Tahoma" w:cs="Tahoma"/>
          <w:sz w:val="16"/>
          <w:szCs w:val="16"/>
        </w:rPr>
        <w:t xml:space="preserve"> se zavazuje zajistit podporu </w:t>
      </w:r>
      <w:r w:rsidR="00026E4C" w:rsidRPr="00F54E2E">
        <w:rPr>
          <w:rFonts w:ascii="Tahoma" w:hAnsi="Tahoma" w:cs="Tahoma"/>
          <w:sz w:val="16"/>
          <w:szCs w:val="16"/>
        </w:rPr>
        <w:t xml:space="preserve">jednotlivých HP technologií </w:t>
      </w:r>
      <w:r w:rsidRPr="00F54E2E">
        <w:rPr>
          <w:rFonts w:ascii="Tahoma" w:hAnsi="Tahoma" w:cs="Tahoma"/>
          <w:sz w:val="16"/>
          <w:szCs w:val="16"/>
        </w:rPr>
        <w:t xml:space="preserve">specifikovanou v článku I. a </w:t>
      </w:r>
      <w:r w:rsidR="0050201F" w:rsidRPr="00F54E2E">
        <w:rPr>
          <w:rFonts w:ascii="Tahoma" w:hAnsi="Tahoma" w:cs="Tahoma"/>
          <w:sz w:val="16"/>
          <w:szCs w:val="16"/>
        </w:rPr>
        <w:t>p</w:t>
      </w:r>
      <w:r w:rsidR="00AA1C9A" w:rsidRPr="00F54E2E">
        <w:rPr>
          <w:rFonts w:ascii="Tahoma" w:hAnsi="Tahoma" w:cs="Tahoma"/>
          <w:sz w:val="16"/>
          <w:szCs w:val="16"/>
        </w:rPr>
        <w:t xml:space="preserve">říloze č. </w:t>
      </w:r>
      <w:r w:rsidR="00E901AB">
        <w:rPr>
          <w:rFonts w:ascii="Tahoma" w:hAnsi="Tahoma" w:cs="Tahoma"/>
          <w:sz w:val="16"/>
          <w:szCs w:val="16"/>
        </w:rPr>
        <w:t>2</w:t>
      </w:r>
      <w:r w:rsidR="00AA1C9A" w:rsidRPr="00F54E2E">
        <w:rPr>
          <w:rFonts w:ascii="Tahoma" w:hAnsi="Tahoma" w:cs="Tahoma"/>
          <w:sz w:val="16"/>
          <w:szCs w:val="16"/>
        </w:rPr>
        <w:t xml:space="preserve"> této smlouvy </w:t>
      </w:r>
      <w:r w:rsidR="00026E4C" w:rsidRPr="00F54E2E">
        <w:rPr>
          <w:rFonts w:ascii="Tahoma" w:hAnsi="Tahoma" w:cs="Tahoma"/>
          <w:sz w:val="16"/>
          <w:szCs w:val="16"/>
        </w:rPr>
        <w:t xml:space="preserve">po období, které je uvedené u jednotlivých HP technologií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026E4C" w:rsidRPr="00F54E2E">
        <w:rPr>
          <w:rFonts w:ascii="Tahoma" w:hAnsi="Tahoma" w:cs="Tahoma"/>
          <w:sz w:val="16"/>
          <w:szCs w:val="16"/>
        </w:rPr>
        <w:t xml:space="preserve"> této smlouvy</w:t>
      </w:r>
      <w:r w:rsidR="00E869E8">
        <w:rPr>
          <w:rFonts w:ascii="Tahoma" w:hAnsi="Tahoma" w:cs="Tahoma"/>
          <w:sz w:val="16"/>
          <w:szCs w:val="16"/>
        </w:rPr>
        <w:t xml:space="preserve">, </w:t>
      </w:r>
      <w:r w:rsidR="00923718">
        <w:rPr>
          <w:rFonts w:ascii="Tahoma" w:hAnsi="Tahoma" w:cs="Tahoma"/>
          <w:sz w:val="16"/>
          <w:szCs w:val="16"/>
        </w:rPr>
        <w:t xml:space="preserve">tzn. </w:t>
      </w:r>
      <w:r w:rsidR="00C33D01">
        <w:rPr>
          <w:rFonts w:ascii="Tahoma" w:hAnsi="Tahoma" w:cs="Tahoma"/>
          <w:sz w:val="16"/>
          <w:szCs w:val="16"/>
        </w:rPr>
        <w:t>o</w:t>
      </w:r>
      <w:r w:rsidR="00075F9A">
        <w:rPr>
          <w:rFonts w:ascii="Tahoma" w:hAnsi="Tahoma" w:cs="Tahoma"/>
          <w:sz w:val="16"/>
          <w:szCs w:val="16"/>
        </w:rPr>
        <w:t xml:space="preserve">d </w:t>
      </w:r>
      <w:r w:rsidR="00267512">
        <w:rPr>
          <w:rFonts w:ascii="Tahoma" w:hAnsi="Tahoma" w:cs="Tahoma"/>
          <w:sz w:val="16"/>
          <w:szCs w:val="16"/>
        </w:rPr>
        <w:t xml:space="preserve">1. 1. 2024 </w:t>
      </w:r>
      <w:r w:rsidR="00923718">
        <w:rPr>
          <w:rFonts w:ascii="Tahoma" w:hAnsi="Tahoma" w:cs="Tahoma"/>
          <w:sz w:val="16"/>
          <w:szCs w:val="16"/>
        </w:rPr>
        <w:t>do 31. 12. 202</w:t>
      </w:r>
      <w:r w:rsidR="00FC4620">
        <w:rPr>
          <w:rFonts w:ascii="Tahoma" w:hAnsi="Tahoma" w:cs="Tahoma"/>
          <w:sz w:val="16"/>
          <w:szCs w:val="16"/>
        </w:rPr>
        <w:t>4</w:t>
      </w:r>
      <w:r w:rsidR="00267512">
        <w:rPr>
          <w:rFonts w:ascii="Tahoma" w:hAnsi="Tahoma" w:cs="Tahoma"/>
          <w:sz w:val="16"/>
          <w:szCs w:val="16"/>
        </w:rPr>
        <w:t>.</w:t>
      </w:r>
    </w:p>
    <w:p w14:paraId="4688C519" w14:textId="77777777" w:rsidR="00923718" w:rsidRDefault="00923718" w:rsidP="00923718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3BE8DC6D" w14:textId="085AE195" w:rsidR="00990E40" w:rsidRDefault="00990E40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Základní formou podpory je přímý přístup k webovému portálu HP, popřípadě služba Hot Line na tel. čísle</w:t>
      </w:r>
      <w:r w:rsidR="002F22BC" w:rsidRPr="002F22BC">
        <w:t xml:space="preserve"> </w:t>
      </w:r>
      <w:r w:rsidR="00243F5E">
        <w:rPr>
          <w:rFonts w:ascii="Tahoma" w:hAnsi="Tahoma" w:cs="Tahoma"/>
          <w:sz w:val="16"/>
          <w:szCs w:val="16"/>
        </w:rPr>
        <w:t>xxxxx</w:t>
      </w:r>
      <w:r w:rsidR="002F22BC">
        <w:rPr>
          <w:rFonts w:ascii="Tahoma" w:hAnsi="Tahoma" w:cs="Tahoma"/>
          <w:sz w:val="16"/>
          <w:szCs w:val="16"/>
        </w:rPr>
        <w:t>,</w:t>
      </w:r>
      <w:r w:rsidR="005F20E2" w:rsidRPr="005F20E2">
        <w:t xml:space="preserve"> </w:t>
      </w:r>
      <w:r w:rsidR="005F20E2" w:rsidRPr="005F20E2">
        <w:rPr>
          <w:rFonts w:ascii="Tahoma" w:hAnsi="Tahoma" w:cs="Tahoma"/>
          <w:sz w:val="16"/>
          <w:szCs w:val="16"/>
        </w:rPr>
        <w:t>e-mail:</w:t>
      </w:r>
      <w:r w:rsidR="00FA7223">
        <w:rPr>
          <w:rFonts w:ascii="Tahoma" w:hAnsi="Tahoma" w:cs="Tahoma"/>
          <w:sz w:val="16"/>
          <w:szCs w:val="16"/>
        </w:rPr>
        <w:t xml:space="preserve"> </w:t>
      </w:r>
      <w:r w:rsidR="00243F5E">
        <w:rPr>
          <w:rFonts w:ascii="Tahoma" w:hAnsi="Tahoma" w:cs="Tahoma"/>
          <w:sz w:val="16"/>
          <w:szCs w:val="16"/>
        </w:rPr>
        <w:t>xxxxx</w:t>
      </w:r>
      <w:r w:rsidR="00550633">
        <w:rPr>
          <w:rFonts w:ascii="Tahoma" w:hAnsi="Tahoma" w:cs="Tahoma"/>
          <w:sz w:val="16"/>
          <w:szCs w:val="16"/>
        </w:rPr>
        <w:t xml:space="preserve"> </w:t>
      </w:r>
      <w:r w:rsidRPr="61C8735C">
        <w:rPr>
          <w:rFonts w:ascii="Tahoma" w:hAnsi="Tahoma" w:cs="Tahoma"/>
          <w:sz w:val="16"/>
          <w:szCs w:val="16"/>
        </w:rPr>
        <w:t>nebo elektronický systém poskytovatele</w:t>
      </w:r>
      <w:r w:rsidR="00444FD2" w:rsidRPr="61C8735C">
        <w:rPr>
          <w:rFonts w:ascii="Tahoma" w:hAnsi="Tahoma" w:cs="Tahoma"/>
          <w:sz w:val="16"/>
          <w:szCs w:val="16"/>
        </w:rPr>
        <w:t xml:space="preserve"> v režimu 24x7</w:t>
      </w:r>
      <w:r w:rsidRPr="61C8735C">
        <w:rPr>
          <w:rFonts w:ascii="Tahoma" w:hAnsi="Tahoma" w:cs="Tahoma"/>
          <w:sz w:val="16"/>
          <w:szCs w:val="16"/>
        </w:rPr>
        <w:t xml:space="preserve"> (dále jen Helpdesk), dostupný prostřednictvím webového přístupu na </w:t>
      </w:r>
      <w:r w:rsidRPr="005F20E2">
        <w:rPr>
          <w:rFonts w:ascii="Tahoma" w:hAnsi="Tahoma" w:cs="Tahoma"/>
          <w:sz w:val="16"/>
          <w:szCs w:val="16"/>
        </w:rPr>
        <w:t>adrese</w:t>
      </w:r>
      <w:r w:rsidR="00D5188B" w:rsidRPr="005F20E2">
        <w:rPr>
          <w:rFonts w:ascii="Tahoma" w:hAnsi="Tahoma" w:cs="Tahoma"/>
          <w:sz w:val="16"/>
          <w:szCs w:val="16"/>
        </w:rPr>
        <w:t xml:space="preserve"> </w:t>
      </w:r>
      <w:r w:rsidR="00243F5E">
        <w:rPr>
          <w:rFonts w:ascii="Tahoma" w:hAnsi="Tahoma" w:cs="Tahoma"/>
          <w:sz w:val="16"/>
          <w:szCs w:val="16"/>
        </w:rPr>
        <w:t>xxxxx</w:t>
      </w:r>
      <w:r w:rsidR="005F20E2">
        <w:t xml:space="preserve">. </w:t>
      </w:r>
      <w:r w:rsidRPr="61C8735C">
        <w:rPr>
          <w:rFonts w:ascii="Tahoma" w:hAnsi="Tahoma" w:cs="Tahoma"/>
          <w:sz w:val="16"/>
          <w:szCs w:val="16"/>
        </w:rPr>
        <w:t xml:space="preserve">Součástí Helpdesku je popis procesu zpracování požadavku. </w:t>
      </w:r>
    </w:p>
    <w:p w14:paraId="6F5D0DF2" w14:textId="77777777" w:rsidR="00B24C4A" w:rsidRDefault="00B24C4A" w:rsidP="0027061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5FED00A3" w14:textId="4ADDAB7A" w:rsidR="00E53389" w:rsidRDefault="00E53389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Objednatel si nárokuje zahájení činností vedoucích k odstranění vad </w:t>
      </w:r>
      <w:r w:rsidR="00B510C5" w:rsidRPr="61C8735C">
        <w:rPr>
          <w:rFonts w:ascii="Tahoma" w:hAnsi="Tahoma" w:cs="Tahoma"/>
          <w:sz w:val="16"/>
          <w:szCs w:val="16"/>
        </w:rPr>
        <w:t xml:space="preserve">podporovaných technologií uvedených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B510C5" w:rsidRPr="61C8735C">
        <w:rPr>
          <w:rFonts w:ascii="Tahoma" w:hAnsi="Tahoma" w:cs="Tahoma"/>
          <w:sz w:val="16"/>
          <w:szCs w:val="16"/>
        </w:rPr>
        <w:t xml:space="preserve"> této smlouvy</w:t>
      </w:r>
      <w:r w:rsidRPr="61C8735C">
        <w:rPr>
          <w:rFonts w:ascii="Tahoma" w:hAnsi="Tahoma" w:cs="Tahoma"/>
          <w:sz w:val="16"/>
          <w:szCs w:val="16"/>
        </w:rPr>
        <w:t xml:space="preserve"> do 4 hodin v režimu 24x7 od nahlášení vady objednatelem poskytovateli na hot-line poskytovatele s následným písemným potvrzením na helpdesk poskytovatele</w:t>
      </w:r>
      <w:r w:rsidR="00C57FC0" w:rsidRPr="61C8735C">
        <w:rPr>
          <w:rFonts w:ascii="Tahoma" w:hAnsi="Tahoma" w:cs="Tahoma"/>
          <w:sz w:val="16"/>
          <w:szCs w:val="16"/>
        </w:rPr>
        <w:t>, popř. přímo na webový portál společnosti HP</w:t>
      </w:r>
      <w:r w:rsidR="000F59B3" w:rsidRPr="61C8735C">
        <w:rPr>
          <w:rFonts w:ascii="Tahoma" w:hAnsi="Tahoma" w:cs="Tahoma"/>
          <w:sz w:val="16"/>
          <w:szCs w:val="16"/>
        </w:rPr>
        <w:t>.</w:t>
      </w:r>
    </w:p>
    <w:p w14:paraId="223E53A5" w14:textId="77777777" w:rsidR="00B37A6F" w:rsidRDefault="00B37A6F" w:rsidP="00B37A6F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4C1BA008" w14:textId="045D2280" w:rsidR="00B37A6F" w:rsidRDefault="00B37A6F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 případě, že je na zařízení platná a registrovaná proaktivní podpora výrobce, u kritického incidentu si objednatel nárokuje zahájení činností vedoucích k odstranění vad předmětu plnění do 15 minut v režimu 24x7 od nahlášení vady objednatelem poskytovateli</w:t>
      </w:r>
      <w:r w:rsidR="00045DD9">
        <w:rPr>
          <w:rFonts w:ascii="Tahoma" w:hAnsi="Tahoma" w:cs="Tahoma"/>
          <w:sz w:val="16"/>
          <w:szCs w:val="16"/>
        </w:rPr>
        <w:t>, a to jakýmkoliv způsobem hlášení, který je blíže specifikován v bodě 2. tohoto článku</w:t>
      </w:r>
      <w:r w:rsidRPr="61C8735C">
        <w:rPr>
          <w:rFonts w:ascii="Tahoma" w:hAnsi="Tahoma" w:cs="Tahoma"/>
          <w:sz w:val="16"/>
          <w:szCs w:val="16"/>
        </w:rPr>
        <w:t>.</w:t>
      </w:r>
    </w:p>
    <w:p w14:paraId="5AD72A7F" w14:textId="77777777" w:rsidR="00843BB1" w:rsidRDefault="00843BB1" w:rsidP="00843BB1">
      <w:pPr>
        <w:jc w:val="both"/>
        <w:rPr>
          <w:rFonts w:ascii="Tahoma" w:hAnsi="Tahoma" w:cs="Tahoma"/>
          <w:sz w:val="16"/>
          <w:szCs w:val="16"/>
        </w:rPr>
      </w:pPr>
    </w:p>
    <w:p w14:paraId="0B8630F1" w14:textId="6E0954BA" w:rsidR="00843BB1" w:rsidRPr="00843BB1" w:rsidRDefault="00843BB1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Poskytovatel se zavazuje k vyřešení závady nejpozději do 48 hodin od nahlášení vady objednatelem </w:t>
      </w:r>
      <w:r w:rsidR="002F6022">
        <w:rPr>
          <w:rFonts w:ascii="Tahoma" w:hAnsi="Tahoma" w:cs="Tahoma"/>
          <w:sz w:val="16"/>
          <w:szCs w:val="16"/>
        </w:rPr>
        <w:t xml:space="preserve">poskytovateli </w:t>
      </w:r>
      <w:r w:rsidRPr="61C8735C">
        <w:rPr>
          <w:rFonts w:ascii="Tahoma" w:hAnsi="Tahoma" w:cs="Tahoma"/>
          <w:sz w:val="16"/>
          <w:szCs w:val="16"/>
        </w:rPr>
        <w:t xml:space="preserve">na hot-line </w:t>
      </w:r>
      <w:r w:rsidR="002F6022">
        <w:rPr>
          <w:rFonts w:ascii="Tahoma" w:hAnsi="Tahoma" w:cs="Tahoma"/>
          <w:sz w:val="16"/>
          <w:szCs w:val="16"/>
        </w:rPr>
        <w:t xml:space="preserve">poskytovatele </w:t>
      </w:r>
      <w:r w:rsidRPr="61C8735C">
        <w:rPr>
          <w:rFonts w:ascii="Tahoma" w:hAnsi="Tahoma" w:cs="Tahoma"/>
          <w:sz w:val="16"/>
          <w:szCs w:val="16"/>
        </w:rPr>
        <w:t xml:space="preserve">tel: </w:t>
      </w:r>
      <w:r w:rsidR="005834F5">
        <w:rPr>
          <w:rFonts w:ascii="Tahoma" w:hAnsi="Tahoma" w:cs="Tahoma"/>
          <w:sz w:val="16"/>
          <w:szCs w:val="16"/>
        </w:rPr>
        <w:t>xxxxx</w:t>
      </w:r>
      <w:r w:rsidR="002F22BC" w:rsidRPr="002F22BC">
        <w:rPr>
          <w:rFonts w:ascii="Tahoma" w:hAnsi="Tahoma" w:cs="Tahoma"/>
          <w:sz w:val="16"/>
          <w:szCs w:val="16"/>
        </w:rPr>
        <w:t>,</w:t>
      </w:r>
      <w:r w:rsidR="00EF0521">
        <w:rPr>
          <w:rFonts w:ascii="Tahoma" w:hAnsi="Tahoma" w:cs="Tahoma"/>
          <w:sz w:val="16"/>
          <w:szCs w:val="16"/>
        </w:rPr>
        <w:t xml:space="preserve"> s</w:t>
      </w:r>
      <w:r w:rsidRPr="61C8735C">
        <w:rPr>
          <w:rFonts w:ascii="Tahoma" w:hAnsi="Tahoma" w:cs="Tahoma"/>
          <w:sz w:val="16"/>
          <w:szCs w:val="16"/>
        </w:rPr>
        <w:t xml:space="preserve"> následným písemným potvrzením na helpdesk </w:t>
      </w:r>
      <w:r w:rsidR="002F6022">
        <w:rPr>
          <w:rFonts w:ascii="Tahoma" w:hAnsi="Tahoma" w:cs="Tahoma"/>
          <w:sz w:val="16"/>
          <w:szCs w:val="16"/>
        </w:rPr>
        <w:t>poskytovatele</w:t>
      </w:r>
      <w:r w:rsidRPr="61C8735C">
        <w:rPr>
          <w:rFonts w:ascii="Tahoma" w:hAnsi="Tahoma" w:cs="Tahoma"/>
          <w:sz w:val="16"/>
          <w:szCs w:val="16"/>
        </w:rPr>
        <w:t xml:space="preserve">: </w:t>
      </w:r>
      <w:r w:rsidR="005834F5" w:rsidRPr="005834F5">
        <w:rPr>
          <w:rFonts w:ascii="Tahoma" w:hAnsi="Tahoma" w:cs="Tahoma"/>
          <w:sz w:val="16"/>
          <w:szCs w:val="16"/>
        </w:rPr>
        <w:t>xxxxx</w:t>
      </w:r>
      <w:r w:rsidR="005F20E2" w:rsidRPr="005F20E2">
        <w:rPr>
          <w:rFonts w:ascii="Tahoma" w:hAnsi="Tahoma" w:cs="Tahoma"/>
          <w:sz w:val="16"/>
          <w:szCs w:val="16"/>
        </w:rPr>
        <w:t>.</w:t>
      </w:r>
      <w:r w:rsidR="005F20E2">
        <w:rPr>
          <w:rFonts w:ascii="Tahoma" w:hAnsi="Tahoma" w:cs="Tahoma"/>
          <w:sz w:val="16"/>
          <w:szCs w:val="16"/>
        </w:rPr>
        <w:t xml:space="preserve"> </w:t>
      </w:r>
    </w:p>
    <w:p w14:paraId="3610491F" w14:textId="77777777" w:rsidR="00232851" w:rsidRDefault="00232851" w:rsidP="00232851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29D1ED40" w14:textId="77777777" w:rsidR="00232851" w:rsidRDefault="00232851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lastRenderedPageBreak/>
        <w:t>V rámci podpory je:</w:t>
      </w:r>
    </w:p>
    <w:p w14:paraId="7587728F" w14:textId="77777777" w:rsidR="00232851" w:rsidRDefault="00232851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bezplatná výměna dílů v místě plnění</w:t>
      </w:r>
      <w:r w:rsidR="00862582">
        <w:rPr>
          <w:rFonts w:ascii="Tahoma" w:hAnsi="Tahoma" w:cs="Tahoma"/>
          <w:sz w:val="16"/>
          <w:szCs w:val="16"/>
        </w:rPr>
        <w:t>,</w:t>
      </w:r>
    </w:p>
    <w:p w14:paraId="6842CEA2" w14:textId="77777777" w:rsidR="00232851" w:rsidRDefault="0086258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232851">
        <w:rPr>
          <w:rFonts w:ascii="Tahoma" w:hAnsi="Tahoma" w:cs="Tahoma"/>
          <w:sz w:val="16"/>
          <w:szCs w:val="16"/>
        </w:rPr>
        <w:t xml:space="preserve">polupráce techniků poskytovatele s IT administrátory objednatele při řešení </w:t>
      </w:r>
      <w:r w:rsidR="00232851" w:rsidRPr="00862582">
        <w:rPr>
          <w:rFonts w:ascii="Tahoma" w:hAnsi="Tahoma" w:cs="Tahoma"/>
          <w:sz w:val="16"/>
          <w:szCs w:val="16"/>
        </w:rPr>
        <w:t>provozních p</w:t>
      </w:r>
      <w:r w:rsidR="00232851">
        <w:rPr>
          <w:rFonts w:ascii="Tahoma" w:hAnsi="Tahoma" w:cs="Tahoma"/>
          <w:sz w:val="16"/>
          <w:szCs w:val="16"/>
        </w:rPr>
        <w:t>roblémů</w:t>
      </w:r>
      <w:r>
        <w:rPr>
          <w:rFonts w:ascii="Tahoma" w:hAnsi="Tahoma" w:cs="Tahoma"/>
          <w:sz w:val="16"/>
          <w:szCs w:val="16"/>
        </w:rPr>
        <w:t>,</w:t>
      </w:r>
    </w:p>
    <w:p w14:paraId="65FE1243" w14:textId="77777777" w:rsidR="00232851" w:rsidRPr="00E53389" w:rsidRDefault="0086258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232851">
        <w:rPr>
          <w:rFonts w:ascii="Tahoma" w:hAnsi="Tahoma" w:cs="Tahoma"/>
          <w:sz w:val="16"/>
          <w:szCs w:val="16"/>
        </w:rPr>
        <w:t>omoc při diagnostice a řešení HW problémů</w:t>
      </w:r>
      <w:r>
        <w:rPr>
          <w:rFonts w:ascii="Tahoma" w:hAnsi="Tahoma" w:cs="Tahoma"/>
          <w:sz w:val="16"/>
          <w:szCs w:val="16"/>
        </w:rPr>
        <w:t>.</w:t>
      </w:r>
    </w:p>
    <w:p w14:paraId="5F0F8661" w14:textId="77777777" w:rsidR="00E53389" w:rsidRDefault="00E53389" w:rsidP="00E53389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1A3229C" w14:textId="77777777" w:rsidR="005F690C" w:rsidRDefault="00AA1C9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Případné změny v konfiguraci je možno provádět jen se souhlasem obou smluvních stran.</w:t>
      </w:r>
      <w:r w:rsidR="005F690C" w:rsidRPr="61C8735C">
        <w:rPr>
          <w:rFonts w:ascii="Tahoma" w:hAnsi="Tahoma" w:cs="Tahoma"/>
          <w:sz w:val="16"/>
          <w:szCs w:val="16"/>
        </w:rPr>
        <w:t xml:space="preserve"> </w:t>
      </w:r>
    </w:p>
    <w:p w14:paraId="1A739FAE" w14:textId="77777777" w:rsidR="006B5866" w:rsidRDefault="006B5866" w:rsidP="00270618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60C183FE" w14:textId="410421DD" w:rsidR="006B5866" w:rsidRPr="00D941EC" w:rsidRDefault="006B5866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  <w:lang w:val="cs-CZ"/>
        </w:rPr>
        <w:t>Poskytovatel zajistí přímý přístup a možnost stažení aktuálního software, update software</w:t>
      </w:r>
      <w:r w:rsidR="00920C87">
        <w:rPr>
          <w:rFonts w:ascii="Tahoma" w:hAnsi="Tahoma" w:cs="Tahoma"/>
          <w:sz w:val="16"/>
          <w:szCs w:val="16"/>
          <w:lang w:val="cs-CZ"/>
        </w:rPr>
        <w:t>,</w:t>
      </w:r>
      <w:r w:rsidRPr="61C8735C">
        <w:rPr>
          <w:rFonts w:ascii="Tahoma" w:hAnsi="Tahoma" w:cs="Tahoma"/>
          <w:sz w:val="16"/>
          <w:szCs w:val="16"/>
          <w:lang w:val="cs-CZ"/>
        </w:rPr>
        <w:t xml:space="preserve"> anebo firmware přímo z oficiálních zdrojů výrobce.</w:t>
      </w:r>
    </w:p>
    <w:p w14:paraId="7AF1806F" w14:textId="77777777" w:rsidR="005F690C" w:rsidRPr="00D941EC" w:rsidRDefault="005F690C" w:rsidP="00270618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1DD92860" w14:textId="56A5BD80" w:rsidR="00AA1C9A" w:rsidRPr="00D941EC" w:rsidRDefault="00AA1C9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b/>
          <w:bCs/>
          <w:sz w:val="16"/>
          <w:szCs w:val="16"/>
        </w:rPr>
      </w:pPr>
      <w:r w:rsidRPr="178C5D6C">
        <w:rPr>
          <w:rFonts w:ascii="Tahoma" w:hAnsi="Tahoma" w:cs="Tahoma"/>
          <w:sz w:val="16"/>
          <w:szCs w:val="16"/>
        </w:rPr>
        <w:t xml:space="preserve">Technologie </w:t>
      </w:r>
      <w:r w:rsidR="00990E40" w:rsidRPr="178C5D6C">
        <w:rPr>
          <w:rFonts w:ascii="Tahoma" w:hAnsi="Tahoma" w:cs="Tahoma"/>
          <w:sz w:val="16"/>
          <w:szCs w:val="16"/>
        </w:rPr>
        <w:t>objednatele</w:t>
      </w:r>
      <w:r w:rsidRPr="178C5D6C">
        <w:rPr>
          <w:rFonts w:ascii="Tahoma" w:hAnsi="Tahoma" w:cs="Tahoma"/>
          <w:sz w:val="16"/>
          <w:szCs w:val="16"/>
        </w:rPr>
        <w:t xml:space="preserve"> jsou umístěny v sídle </w:t>
      </w:r>
      <w:r w:rsidR="00990E40" w:rsidRPr="178C5D6C">
        <w:rPr>
          <w:rFonts w:ascii="Tahoma" w:hAnsi="Tahoma" w:cs="Tahoma"/>
          <w:sz w:val="16"/>
          <w:szCs w:val="16"/>
        </w:rPr>
        <w:t>objednatele</w:t>
      </w:r>
      <w:r w:rsidRPr="178C5D6C">
        <w:rPr>
          <w:rFonts w:ascii="Tahoma" w:hAnsi="Tahoma" w:cs="Tahoma"/>
          <w:sz w:val="16"/>
          <w:szCs w:val="16"/>
        </w:rPr>
        <w:t xml:space="preserve"> na adrese:</w:t>
      </w:r>
      <w:r w:rsidR="005F690C" w:rsidRPr="178C5D6C">
        <w:rPr>
          <w:rFonts w:ascii="Tahoma" w:hAnsi="Tahoma" w:cs="Tahoma"/>
          <w:sz w:val="16"/>
          <w:szCs w:val="16"/>
        </w:rPr>
        <w:t xml:space="preserve"> </w:t>
      </w:r>
      <w:r w:rsidRPr="178C5D6C">
        <w:rPr>
          <w:rFonts w:ascii="Tahoma" w:hAnsi="Tahoma" w:cs="Tahoma"/>
          <w:sz w:val="16"/>
          <w:szCs w:val="16"/>
        </w:rPr>
        <w:t>Všeobecná fakultní nemocnice v</w:t>
      </w:r>
      <w:r w:rsidR="005F690C" w:rsidRPr="178C5D6C">
        <w:rPr>
          <w:rFonts w:ascii="Tahoma" w:hAnsi="Tahoma" w:cs="Tahoma"/>
          <w:sz w:val="16"/>
          <w:szCs w:val="16"/>
        </w:rPr>
        <w:t> </w:t>
      </w:r>
      <w:r w:rsidRPr="178C5D6C">
        <w:rPr>
          <w:rFonts w:ascii="Tahoma" w:hAnsi="Tahoma" w:cs="Tahoma"/>
          <w:sz w:val="16"/>
          <w:szCs w:val="16"/>
        </w:rPr>
        <w:t>Praze</w:t>
      </w:r>
      <w:r w:rsidR="005F690C" w:rsidRPr="178C5D6C">
        <w:rPr>
          <w:rFonts w:ascii="Tahoma" w:hAnsi="Tahoma" w:cs="Tahoma"/>
          <w:sz w:val="16"/>
          <w:szCs w:val="16"/>
        </w:rPr>
        <w:t xml:space="preserve">, </w:t>
      </w:r>
      <w:r w:rsidRPr="178C5D6C">
        <w:rPr>
          <w:rFonts w:ascii="Tahoma" w:hAnsi="Tahoma" w:cs="Tahoma"/>
          <w:b/>
          <w:bCs/>
          <w:sz w:val="16"/>
          <w:szCs w:val="16"/>
        </w:rPr>
        <w:t>U</w:t>
      </w:r>
      <w:r w:rsidR="0074047A" w:rsidRPr="178C5D6C">
        <w:rPr>
          <w:rFonts w:ascii="Tahoma" w:hAnsi="Tahoma" w:cs="Tahoma"/>
          <w:b/>
          <w:bCs/>
          <w:sz w:val="16"/>
          <w:szCs w:val="16"/>
          <w:lang w:val="cs-CZ"/>
        </w:rPr>
        <w:t> </w:t>
      </w:r>
      <w:r w:rsidRPr="178C5D6C">
        <w:rPr>
          <w:rFonts w:ascii="Tahoma" w:hAnsi="Tahoma" w:cs="Tahoma"/>
          <w:b/>
          <w:bCs/>
          <w:sz w:val="16"/>
          <w:szCs w:val="16"/>
        </w:rPr>
        <w:t>Nemocnice 499/2, 128 08 Praha 2</w:t>
      </w:r>
      <w:r w:rsidR="00B142A5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B142A5" w:rsidRPr="005A3DB2">
        <w:rPr>
          <w:rFonts w:ascii="Tahoma" w:hAnsi="Tahoma" w:cs="Tahoma"/>
          <w:sz w:val="16"/>
          <w:szCs w:val="16"/>
        </w:rPr>
        <w:t xml:space="preserve">a </w:t>
      </w:r>
      <w:r w:rsidR="005A3DB2" w:rsidRPr="005A3DB2">
        <w:rPr>
          <w:rFonts w:ascii="Tahoma" w:hAnsi="Tahoma" w:cs="Tahoma"/>
          <w:sz w:val="16"/>
          <w:szCs w:val="16"/>
        </w:rPr>
        <w:t>v budově polikliniky</w:t>
      </w:r>
      <w:r w:rsidR="005A3DB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5A3DB2" w:rsidRPr="005A3DB2">
        <w:rPr>
          <w:rFonts w:ascii="Tahoma" w:hAnsi="Tahoma" w:cs="Tahoma"/>
          <w:b/>
          <w:bCs/>
          <w:sz w:val="16"/>
          <w:szCs w:val="16"/>
        </w:rPr>
        <w:t>Karlovo náměstí 554/32, 120 00 Praha 2</w:t>
      </w:r>
      <w:r w:rsidR="005A3DB2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14:paraId="2EEE9CB4" w14:textId="77777777" w:rsidR="00AA1C9A" w:rsidRPr="00D941EC" w:rsidRDefault="00AA1C9A" w:rsidP="00270618">
      <w:pPr>
        <w:pStyle w:val="rove1lnek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12FE7737" w14:textId="4A8886B2" w:rsidR="00AA1C9A" w:rsidRPr="00D941EC" w:rsidRDefault="00172667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  <w:lang w:val="cs-CZ"/>
        </w:rPr>
        <w:t>Podpora</w:t>
      </w:r>
      <w:r w:rsidRPr="61C8735C">
        <w:rPr>
          <w:rFonts w:ascii="Tahoma" w:hAnsi="Tahoma" w:cs="Tahoma"/>
          <w:sz w:val="16"/>
          <w:szCs w:val="16"/>
        </w:rPr>
        <w:t xml:space="preserve"> </w:t>
      </w:r>
      <w:r w:rsidR="00AA1C9A" w:rsidRPr="61C8735C">
        <w:rPr>
          <w:rFonts w:ascii="Tahoma" w:hAnsi="Tahoma" w:cs="Tahoma"/>
          <w:sz w:val="16"/>
          <w:szCs w:val="16"/>
        </w:rPr>
        <w:t>se nevztahuje na poruchy, které byly způsobeny neodbornou obsluhou a údržbou, živelnou pohromou, nedodržením návodu od výrobce, nedodržením provozních podmínek nebo jiným způsobem než obvyklým provozem.</w:t>
      </w:r>
    </w:p>
    <w:p w14:paraId="473039F1" w14:textId="77777777" w:rsidR="00AA1C9A" w:rsidRPr="00D941EC" w:rsidRDefault="00AA1C9A" w:rsidP="005F690C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202BBEE6" w14:textId="77777777" w:rsidR="00AA1C9A" w:rsidRDefault="00AA1C9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Po dobu </w:t>
      </w:r>
      <w:r w:rsidR="00F97739" w:rsidRPr="61C8735C">
        <w:rPr>
          <w:rFonts w:ascii="Tahoma" w:hAnsi="Tahoma" w:cs="Tahoma"/>
          <w:sz w:val="16"/>
          <w:szCs w:val="16"/>
          <w:lang w:val="cs-CZ"/>
        </w:rPr>
        <w:t>podpory</w:t>
      </w:r>
      <w:r w:rsidRPr="61C8735C">
        <w:rPr>
          <w:rFonts w:ascii="Tahoma" w:hAnsi="Tahoma" w:cs="Tahoma"/>
          <w:sz w:val="16"/>
          <w:szCs w:val="16"/>
        </w:rPr>
        <w:t xml:space="preserve"> je </w:t>
      </w:r>
      <w:r w:rsidR="005F690C" w:rsidRPr="61C8735C">
        <w:rPr>
          <w:rFonts w:ascii="Tahoma" w:hAnsi="Tahoma" w:cs="Tahoma"/>
          <w:sz w:val="16"/>
          <w:szCs w:val="16"/>
        </w:rPr>
        <w:t>objednatel</w:t>
      </w:r>
      <w:r w:rsidRPr="61C8735C">
        <w:rPr>
          <w:rFonts w:ascii="Tahoma" w:hAnsi="Tahoma" w:cs="Tahoma"/>
          <w:sz w:val="16"/>
          <w:szCs w:val="16"/>
        </w:rPr>
        <w:t xml:space="preserve"> povinen využívat dodaná zařízení dle pokynů </w:t>
      </w:r>
      <w:r w:rsidR="005F690C" w:rsidRPr="61C8735C">
        <w:rPr>
          <w:rFonts w:ascii="Tahoma" w:hAnsi="Tahoma" w:cs="Tahoma"/>
          <w:sz w:val="16"/>
          <w:szCs w:val="16"/>
        </w:rPr>
        <w:t xml:space="preserve">poskytovatele, popřípadě dle pokynů </w:t>
      </w:r>
      <w:r w:rsidRPr="61C8735C">
        <w:rPr>
          <w:rFonts w:ascii="Tahoma" w:hAnsi="Tahoma" w:cs="Tahoma"/>
          <w:sz w:val="16"/>
          <w:szCs w:val="16"/>
        </w:rPr>
        <w:t xml:space="preserve">HP, výlučně v souladu s jejich </w:t>
      </w:r>
      <w:r w:rsidR="00746A8B" w:rsidRPr="61C8735C">
        <w:rPr>
          <w:rFonts w:ascii="Tahoma" w:hAnsi="Tahoma" w:cs="Tahoma"/>
          <w:sz w:val="16"/>
          <w:szCs w:val="16"/>
          <w:lang w:val="cs-CZ"/>
        </w:rPr>
        <w:t>určením</w:t>
      </w:r>
      <w:r w:rsidRPr="61C8735C">
        <w:rPr>
          <w:rFonts w:ascii="Tahoma" w:hAnsi="Tahoma" w:cs="Tahoma"/>
          <w:sz w:val="16"/>
          <w:szCs w:val="16"/>
        </w:rPr>
        <w:t xml:space="preserve"> a příslušnými technickými podmínkami. Případná technická zlepšení nebo úpravy může </w:t>
      </w:r>
      <w:r w:rsidR="00F97739" w:rsidRPr="61C8735C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61C8735C">
        <w:rPr>
          <w:rFonts w:ascii="Tahoma" w:hAnsi="Tahoma" w:cs="Tahoma"/>
          <w:sz w:val="16"/>
          <w:szCs w:val="16"/>
        </w:rPr>
        <w:t xml:space="preserve">vykonat jen na základě písemného souhlasu </w:t>
      </w:r>
      <w:r w:rsidR="005F690C" w:rsidRPr="61C8735C">
        <w:rPr>
          <w:rFonts w:ascii="Tahoma" w:hAnsi="Tahoma" w:cs="Tahoma"/>
          <w:sz w:val="16"/>
          <w:szCs w:val="16"/>
        </w:rPr>
        <w:t>poskytovatele</w:t>
      </w:r>
      <w:r w:rsidRPr="61C8735C">
        <w:rPr>
          <w:rFonts w:ascii="Tahoma" w:hAnsi="Tahoma" w:cs="Tahoma"/>
          <w:sz w:val="16"/>
          <w:szCs w:val="16"/>
        </w:rPr>
        <w:t>.</w:t>
      </w:r>
    </w:p>
    <w:p w14:paraId="49474A0E" w14:textId="77777777" w:rsidR="00B24C4A" w:rsidRDefault="00B24C4A" w:rsidP="00270618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</w:p>
    <w:p w14:paraId="4EF0E662" w14:textId="77777777" w:rsidR="00B24C4A" w:rsidRPr="00322E47" w:rsidRDefault="00B24C4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61C8735C">
        <w:rPr>
          <w:rFonts w:ascii="Tahoma" w:hAnsi="Tahoma" w:cs="Tahoma"/>
          <w:sz w:val="16"/>
          <w:szCs w:val="16"/>
          <w:lang w:val="cs-CZ"/>
        </w:rPr>
        <w:t>Veškeré poskytované služby nesmí být provozované na technických nebo programových prostředcích označených Národním centrem kybernetické bezpečnosti za hrozbu.</w:t>
      </w:r>
    </w:p>
    <w:p w14:paraId="0AC31BA4" w14:textId="77777777" w:rsidR="00B24C4A" w:rsidRPr="00322E47" w:rsidRDefault="00B24C4A" w:rsidP="00270618">
      <w:pPr>
        <w:pStyle w:val="rove2Oddl"/>
        <w:numPr>
          <w:ilvl w:val="0"/>
          <w:numId w:val="0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</w:p>
    <w:p w14:paraId="7A08147A" w14:textId="5F78762B" w:rsidR="00B24C4A" w:rsidRDefault="00B24C4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61C8735C">
        <w:rPr>
          <w:rFonts w:ascii="Tahoma" w:hAnsi="Tahoma" w:cs="Tahoma"/>
          <w:sz w:val="16"/>
          <w:szCs w:val="16"/>
          <w:lang w:val="cs-CZ"/>
        </w:rPr>
        <w:t xml:space="preserve">Poskytovatel je povinen neprodleně informovat objednatele prostřednictvím poskytovatelem určené odpovědné osoby: Manažera kybernetické bezpečnosti, e-mail: </w:t>
      </w:r>
      <w:hyperlink r:id="rId12">
        <w:r w:rsidR="00C53F44">
          <w:rPr>
            <w:rFonts w:ascii="Tahoma" w:hAnsi="Tahoma" w:cs="Tahoma"/>
            <w:sz w:val="16"/>
            <w:szCs w:val="16"/>
            <w:lang w:val="cs-CZ"/>
          </w:rPr>
          <w:t>xxxxx</w:t>
        </w:r>
      </w:hyperlink>
      <w:r w:rsidRPr="61C8735C">
        <w:rPr>
          <w:rFonts w:ascii="Tahoma" w:hAnsi="Tahoma" w:cs="Tahoma"/>
          <w:sz w:val="16"/>
          <w:szCs w:val="16"/>
          <w:lang w:val="cs-CZ"/>
        </w:rPr>
        <w:t xml:space="preserve"> o kybernetických bezpečnostních incidentech souvisejících s poskytováním služeb podpory. </w:t>
      </w:r>
    </w:p>
    <w:p w14:paraId="23068B7A" w14:textId="77777777" w:rsidR="001D32C5" w:rsidRDefault="001D32C5" w:rsidP="001D32C5">
      <w:pPr>
        <w:pStyle w:val="Odstavecseseznamem"/>
        <w:rPr>
          <w:rFonts w:ascii="Tahoma" w:hAnsi="Tahoma" w:cs="Tahoma"/>
          <w:sz w:val="16"/>
          <w:szCs w:val="16"/>
        </w:rPr>
      </w:pPr>
    </w:p>
    <w:p w14:paraId="4D21843D" w14:textId="19E6ADBF" w:rsidR="001D32C5" w:rsidRDefault="001D32C5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61C8735C">
        <w:rPr>
          <w:rFonts w:ascii="Tahoma" w:hAnsi="Tahoma" w:cs="Tahoma"/>
          <w:sz w:val="16"/>
          <w:szCs w:val="16"/>
          <w:lang w:val="cs-CZ"/>
        </w:rPr>
        <w:t>Poskytovatel je povinen objednatele informovat prostřednictvím Manažer</w:t>
      </w:r>
      <w:r w:rsidR="00931B74">
        <w:rPr>
          <w:rFonts w:ascii="Tahoma" w:hAnsi="Tahoma" w:cs="Tahoma"/>
          <w:sz w:val="16"/>
          <w:szCs w:val="16"/>
          <w:lang w:val="cs-CZ"/>
        </w:rPr>
        <w:t>a</w:t>
      </w:r>
      <w:r w:rsidRPr="61C8735C">
        <w:rPr>
          <w:rFonts w:ascii="Tahoma" w:hAnsi="Tahoma" w:cs="Tahoma"/>
          <w:sz w:val="16"/>
          <w:szCs w:val="16"/>
          <w:lang w:val="cs-CZ"/>
        </w:rPr>
        <w:t xml:space="preserve"> kybernetické bezpečnosti o způsobu řízení rizik na</w:t>
      </w:r>
      <w:r w:rsidR="00220F24">
        <w:rPr>
          <w:rFonts w:ascii="Tahoma" w:hAnsi="Tahoma" w:cs="Tahoma"/>
          <w:sz w:val="16"/>
          <w:szCs w:val="16"/>
          <w:lang w:val="cs-CZ"/>
        </w:rPr>
        <w:t> </w:t>
      </w:r>
      <w:r w:rsidRPr="61C8735C">
        <w:rPr>
          <w:rFonts w:ascii="Tahoma" w:hAnsi="Tahoma" w:cs="Tahoma"/>
          <w:sz w:val="16"/>
          <w:szCs w:val="16"/>
          <w:lang w:val="cs-CZ"/>
        </w:rPr>
        <w:t>straně poskytovatele a o zbytkových rizicích souvisejících s plněním smlouvy v ročním intervalu nebo v případě zjištění nových rizik nebo změn stávajících rizik informuje bezodkladně.</w:t>
      </w:r>
    </w:p>
    <w:p w14:paraId="19DAE57D" w14:textId="77777777" w:rsidR="001D32C5" w:rsidRDefault="001D32C5" w:rsidP="001D32C5">
      <w:pPr>
        <w:pStyle w:val="Odstavecseseznamem"/>
        <w:rPr>
          <w:rFonts w:ascii="Tahoma" w:hAnsi="Tahoma" w:cs="Tahoma"/>
          <w:sz w:val="16"/>
          <w:szCs w:val="16"/>
        </w:rPr>
      </w:pPr>
    </w:p>
    <w:p w14:paraId="7DA2B144" w14:textId="797FFCF1" w:rsidR="001D32C5" w:rsidRDefault="001D32C5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178C5D6C">
        <w:rPr>
          <w:rFonts w:ascii="Tahoma" w:hAnsi="Tahoma" w:cs="Tahoma"/>
          <w:sz w:val="16"/>
          <w:szCs w:val="16"/>
          <w:lang w:val="cs-CZ"/>
        </w:rPr>
        <w:t>Poskytovatel je povinen objednatele informovat prostřednictvím Manažer</w:t>
      </w:r>
      <w:r w:rsidR="00004D30" w:rsidRPr="178C5D6C">
        <w:rPr>
          <w:rFonts w:ascii="Tahoma" w:hAnsi="Tahoma" w:cs="Tahoma"/>
          <w:sz w:val="16"/>
          <w:szCs w:val="16"/>
          <w:lang w:val="cs-CZ"/>
        </w:rPr>
        <w:t>a</w:t>
      </w:r>
      <w:r w:rsidRPr="178C5D6C">
        <w:rPr>
          <w:rFonts w:ascii="Tahoma" w:hAnsi="Tahoma" w:cs="Tahoma"/>
          <w:sz w:val="16"/>
          <w:szCs w:val="16"/>
          <w:lang w:val="cs-CZ"/>
        </w:rPr>
        <w:t xml:space="preserve"> kybernetické bezpečnosti o</w:t>
      </w:r>
      <w:r w:rsidR="00D22DCF" w:rsidRPr="178C5D6C">
        <w:rPr>
          <w:rFonts w:ascii="Tahoma" w:hAnsi="Tahoma" w:cs="Tahoma"/>
          <w:sz w:val="16"/>
          <w:szCs w:val="16"/>
          <w:lang w:val="cs-CZ"/>
        </w:rPr>
        <w:t> </w:t>
      </w:r>
      <w:r w:rsidRPr="178C5D6C">
        <w:rPr>
          <w:rFonts w:ascii="Tahoma" w:hAnsi="Tahoma" w:cs="Tahoma"/>
          <w:sz w:val="16"/>
          <w:szCs w:val="16"/>
          <w:lang w:val="cs-CZ"/>
        </w:rPr>
        <w:t>významné změně tohoto poskytovatele dle § 71 a násl. zákona č. 90/2012 Sb., o obchodních korporacích, či ekvivalentní</w:t>
      </w:r>
      <w:r w:rsidR="005C07A2" w:rsidRPr="178C5D6C">
        <w:rPr>
          <w:rFonts w:ascii="Tahoma" w:hAnsi="Tahoma" w:cs="Tahoma"/>
          <w:sz w:val="16"/>
          <w:szCs w:val="16"/>
          <w:lang w:val="cs-CZ"/>
        </w:rPr>
        <w:t>m</w:t>
      </w:r>
      <w:r w:rsidRPr="178C5D6C">
        <w:rPr>
          <w:rFonts w:ascii="Tahoma" w:hAnsi="Tahoma" w:cs="Tahoma"/>
          <w:sz w:val="16"/>
          <w:szCs w:val="16"/>
          <w:lang w:val="cs-CZ"/>
        </w:rPr>
        <w:t xml:space="preserve"> postavení, nebo o</w:t>
      </w:r>
      <w:r w:rsidR="002F6022">
        <w:rPr>
          <w:rFonts w:ascii="Tahoma" w:hAnsi="Tahoma" w:cs="Tahoma"/>
          <w:sz w:val="16"/>
          <w:szCs w:val="16"/>
          <w:lang w:val="cs-CZ"/>
        </w:rPr>
        <w:t xml:space="preserve"> </w:t>
      </w:r>
      <w:r w:rsidRPr="178C5D6C">
        <w:rPr>
          <w:rFonts w:ascii="Tahoma" w:hAnsi="Tahoma" w:cs="Tahoma"/>
          <w:sz w:val="16"/>
          <w:szCs w:val="16"/>
          <w:lang w:val="cs-CZ"/>
        </w:rPr>
        <w:t xml:space="preserve">změně vlastnictví zásadních aktiv, popřípadě změně oprávnění nakládat s těmito aktivy, využívaných tímto poskytovatelem </w:t>
      </w:r>
      <w:r w:rsidR="00A53CC4" w:rsidRPr="178C5D6C">
        <w:rPr>
          <w:rFonts w:ascii="Tahoma" w:hAnsi="Tahoma" w:cs="Tahoma"/>
          <w:sz w:val="16"/>
          <w:szCs w:val="16"/>
          <w:lang w:val="cs-CZ"/>
        </w:rPr>
        <w:t>služeb podpory</w:t>
      </w:r>
      <w:r w:rsidRPr="178C5D6C">
        <w:rPr>
          <w:rFonts w:ascii="Tahoma" w:hAnsi="Tahoma" w:cs="Tahoma"/>
          <w:sz w:val="16"/>
          <w:szCs w:val="16"/>
          <w:lang w:val="cs-CZ"/>
        </w:rPr>
        <w:t>. </w:t>
      </w:r>
    </w:p>
    <w:p w14:paraId="65777B22" w14:textId="77777777" w:rsidR="00F6488A" w:rsidRDefault="00F6488A" w:rsidP="00F6488A">
      <w:pPr>
        <w:pStyle w:val="Odstavecseseznamem"/>
        <w:rPr>
          <w:rFonts w:ascii="Tahoma" w:hAnsi="Tahoma" w:cs="Tahoma"/>
          <w:sz w:val="16"/>
          <w:szCs w:val="16"/>
        </w:rPr>
      </w:pPr>
    </w:p>
    <w:p w14:paraId="33BBA3E4" w14:textId="5693E3D1" w:rsidR="00F6488A" w:rsidRPr="00F6488A" w:rsidRDefault="00F6488A">
      <w:pPr>
        <w:pStyle w:val="rove2Oddl"/>
        <w:numPr>
          <w:ilvl w:val="0"/>
          <w:numId w:val="6"/>
        </w:numPr>
        <w:spacing w:before="0" w:after="0"/>
        <w:ind w:left="357" w:hanging="357"/>
        <w:rPr>
          <w:rFonts w:ascii="Tahoma" w:hAnsi="Tahoma" w:cs="Tahoma"/>
          <w:sz w:val="16"/>
          <w:szCs w:val="16"/>
          <w:lang w:val="cs-CZ"/>
        </w:rPr>
      </w:pPr>
      <w:r w:rsidRPr="61C8735C">
        <w:rPr>
          <w:rFonts w:ascii="Tahoma" w:hAnsi="Tahoma" w:cs="Tahoma"/>
          <w:sz w:val="16"/>
          <w:szCs w:val="16"/>
          <w:lang w:val="cs-CZ"/>
        </w:rPr>
        <w:t xml:space="preserve">Poskytovatel se zavazuje splňovat/dodržet relevantní požadavky na řízení bezpečnosti informací uvedené v příloze č. </w:t>
      </w:r>
      <w:r w:rsidR="00DA711F">
        <w:rPr>
          <w:rFonts w:ascii="Tahoma" w:hAnsi="Tahoma" w:cs="Tahoma"/>
          <w:sz w:val="16"/>
          <w:szCs w:val="16"/>
          <w:lang w:val="cs-CZ"/>
        </w:rPr>
        <w:t>4</w:t>
      </w:r>
      <w:r w:rsidRPr="61C8735C">
        <w:rPr>
          <w:rFonts w:ascii="Tahoma" w:hAnsi="Tahoma" w:cs="Tahoma"/>
          <w:sz w:val="16"/>
          <w:szCs w:val="16"/>
          <w:lang w:val="cs-CZ"/>
        </w:rPr>
        <w:t xml:space="preserve"> této smlouvy „Požadavky systému řízení bezpečnosti informací na dodavatele“ vztahující se na prostředí a činnosti </w:t>
      </w:r>
      <w:r w:rsidR="002F6022">
        <w:rPr>
          <w:rFonts w:ascii="Tahoma" w:hAnsi="Tahoma" w:cs="Tahoma"/>
          <w:sz w:val="16"/>
          <w:szCs w:val="16"/>
          <w:lang w:val="cs-CZ"/>
        </w:rPr>
        <w:t>p</w:t>
      </w:r>
      <w:r w:rsidRPr="61C8735C">
        <w:rPr>
          <w:rFonts w:ascii="Tahoma" w:hAnsi="Tahoma" w:cs="Tahoma"/>
          <w:sz w:val="16"/>
          <w:szCs w:val="16"/>
          <w:lang w:val="cs-CZ"/>
        </w:rPr>
        <w:t xml:space="preserve">oskytovatele. </w:t>
      </w:r>
    </w:p>
    <w:p w14:paraId="408B21D1" w14:textId="77777777" w:rsidR="00B24C4A" w:rsidRPr="00B24C4A" w:rsidRDefault="00B24C4A" w:rsidP="00B24C4A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/>
        </w:rPr>
      </w:pPr>
    </w:p>
    <w:p w14:paraId="349D2D69" w14:textId="77777777" w:rsidR="00AA1C9A" w:rsidRPr="00B24C4A" w:rsidRDefault="00AA1C9A" w:rsidP="00B24C4A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/>
        </w:rPr>
      </w:pPr>
    </w:p>
    <w:p w14:paraId="1F9BE7FD" w14:textId="4BEE4230" w:rsidR="00EC40EC" w:rsidRPr="00D941EC" w:rsidRDefault="00EC40EC" w:rsidP="61C8735C">
      <w:pPr>
        <w:pStyle w:val="SSlnek-zkladntext"/>
        <w:spacing w:before="0"/>
        <w:ind w:left="426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III. Cena a platební podmínky</w:t>
      </w:r>
    </w:p>
    <w:p w14:paraId="3B1F9400" w14:textId="77777777" w:rsidR="00C7559D" w:rsidRPr="00D941EC" w:rsidRDefault="00C7559D" w:rsidP="005F690C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457D9B97" w14:textId="02979C2D" w:rsidR="00C7559D" w:rsidRPr="00D941EC" w:rsidRDefault="00F54E2E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Objednatel</w:t>
      </w:r>
      <w:r w:rsidR="00C7559D" w:rsidRPr="00D941EC">
        <w:rPr>
          <w:rFonts w:ascii="Tahoma" w:hAnsi="Tahoma" w:cs="Tahoma"/>
          <w:sz w:val="16"/>
          <w:szCs w:val="16"/>
        </w:rPr>
        <w:t xml:space="preserve"> se zavazuje zaplatit </w:t>
      </w:r>
      <w:r w:rsidR="008E7E22" w:rsidRPr="00D941EC">
        <w:rPr>
          <w:rFonts w:ascii="Tahoma" w:hAnsi="Tahoma" w:cs="Tahoma"/>
          <w:sz w:val="16"/>
          <w:szCs w:val="16"/>
          <w:lang w:val="cs-CZ"/>
        </w:rPr>
        <w:t>poskytovateli</w:t>
      </w:r>
      <w:r w:rsidR="00C7559D" w:rsidRPr="00D941EC">
        <w:rPr>
          <w:rFonts w:ascii="Tahoma" w:hAnsi="Tahoma" w:cs="Tahoma"/>
          <w:sz w:val="16"/>
          <w:szCs w:val="16"/>
        </w:rPr>
        <w:t xml:space="preserve"> za plnění smlouvy cenu </w:t>
      </w:r>
      <w:r w:rsidR="00652B04">
        <w:rPr>
          <w:rFonts w:ascii="Tahoma" w:hAnsi="Tahoma" w:cs="Tahoma"/>
          <w:sz w:val="16"/>
          <w:szCs w:val="16"/>
          <w:lang w:val="cs-CZ"/>
        </w:rPr>
        <w:t>specifikovanou v </w:t>
      </w:r>
      <w:r w:rsidR="002F6022">
        <w:rPr>
          <w:rFonts w:ascii="Tahoma" w:hAnsi="Tahoma" w:cs="Tahoma"/>
          <w:sz w:val="16"/>
          <w:szCs w:val="16"/>
          <w:lang w:val="cs-CZ"/>
        </w:rPr>
        <w:t>p</w:t>
      </w:r>
      <w:r w:rsidR="00652B04">
        <w:rPr>
          <w:rFonts w:ascii="Tahoma" w:hAnsi="Tahoma" w:cs="Tahoma"/>
          <w:sz w:val="16"/>
          <w:szCs w:val="16"/>
          <w:lang w:val="cs-CZ"/>
        </w:rPr>
        <w:t xml:space="preserve">říloze č. </w:t>
      </w:r>
      <w:r w:rsidR="008F4E4D">
        <w:rPr>
          <w:rFonts w:ascii="Tahoma" w:hAnsi="Tahoma" w:cs="Tahoma"/>
          <w:sz w:val="16"/>
          <w:szCs w:val="16"/>
          <w:lang w:val="cs-CZ"/>
        </w:rPr>
        <w:t>1</w:t>
      </w:r>
      <w:r w:rsidR="00652B04">
        <w:rPr>
          <w:rFonts w:ascii="Tahoma" w:hAnsi="Tahoma" w:cs="Tahoma"/>
          <w:sz w:val="16"/>
          <w:szCs w:val="16"/>
          <w:lang w:val="cs-CZ"/>
        </w:rPr>
        <w:t xml:space="preserve"> této smlouvy. </w:t>
      </w:r>
      <w:r w:rsidR="00C7559D" w:rsidRPr="00D941EC">
        <w:rPr>
          <w:rFonts w:ascii="Tahoma" w:hAnsi="Tahoma" w:cs="Tahoma"/>
          <w:sz w:val="16"/>
          <w:szCs w:val="16"/>
        </w:rPr>
        <w:t xml:space="preserve"> </w:t>
      </w:r>
    </w:p>
    <w:p w14:paraId="7EC6D6A7" w14:textId="77777777" w:rsidR="00C7559D" w:rsidRPr="00D941EC" w:rsidRDefault="00C7559D" w:rsidP="005F690C">
      <w:pPr>
        <w:pStyle w:val="rove2Oddl"/>
        <w:numPr>
          <w:ilvl w:val="0"/>
          <w:numId w:val="0"/>
        </w:numPr>
        <w:spacing w:before="0" w:after="0"/>
        <w:rPr>
          <w:rFonts w:ascii="Tahoma" w:hAnsi="Tahoma" w:cs="Tahoma"/>
          <w:sz w:val="16"/>
          <w:szCs w:val="16"/>
        </w:rPr>
      </w:pPr>
    </w:p>
    <w:p w14:paraId="2D25CCF7" w14:textId="0D4F1642" w:rsidR="00C7559D" w:rsidRPr="00D941EC" w:rsidRDefault="00C7559D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Cena je stanovena jako konečná a zahrnuje cenu uhrazenou  za poskytnutí podpory a veškeré náklady </w:t>
      </w:r>
      <w:r w:rsidR="00F639AD" w:rsidRPr="00D941EC">
        <w:rPr>
          <w:rFonts w:ascii="Tahoma" w:hAnsi="Tahoma" w:cs="Tahoma"/>
          <w:sz w:val="16"/>
          <w:szCs w:val="16"/>
        </w:rPr>
        <w:t>poskytovat</w:t>
      </w:r>
      <w:r w:rsidR="007C5028" w:rsidRPr="00D941EC">
        <w:rPr>
          <w:rFonts w:ascii="Tahoma" w:hAnsi="Tahoma" w:cs="Tahoma"/>
          <w:sz w:val="16"/>
          <w:szCs w:val="16"/>
        </w:rPr>
        <w:t>e</w:t>
      </w:r>
      <w:r w:rsidR="00F639AD" w:rsidRPr="00D941EC">
        <w:rPr>
          <w:rFonts w:ascii="Tahoma" w:hAnsi="Tahoma" w:cs="Tahoma"/>
          <w:sz w:val="16"/>
          <w:szCs w:val="16"/>
        </w:rPr>
        <w:t xml:space="preserve">le </w:t>
      </w:r>
      <w:r w:rsidR="001320B6" w:rsidRPr="00D941EC">
        <w:rPr>
          <w:rFonts w:ascii="Tahoma" w:hAnsi="Tahoma" w:cs="Tahoma"/>
          <w:sz w:val="16"/>
          <w:szCs w:val="16"/>
        </w:rPr>
        <w:t xml:space="preserve">na </w:t>
      </w:r>
      <w:r w:rsidR="00F639AD" w:rsidRPr="00D941EC">
        <w:rPr>
          <w:rFonts w:ascii="Tahoma" w:hAnsi="Tahoma" w:cs="Tahoma"/>
          <w:sz w:val="16"/>
          <w:szCs w:val="16"/>
        </w:rPr>
        <w:t>plnění dle této smlouvy</w:t>
      </w:r>
      <w:r w:rsidRPr="00D941EC">
        <w:rPr>
          <w:rFonts w:ascii="Tahoma" w:hAnsi="Tahoma" w:cs="Tahoma"/>
          <w:sz w:val="16"/>
          <w:szCs w:val="16"/>
        </w:rPr>
        <w:t>.</w:t>
      </w:r>
    </w:p>
    <w:p w14:paraId="1E34E2CB" w14:textId="77777777" w:rsidR="00C7559D" w:rsidRPr="00D941EC" w:rsidRDefault="00C7559D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6DED4F06" w14:textId="77777777" w:rsidR="00B24C4A" w:rsidRDefault="00C7559D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Podkladem pro placení je daňový doklad (faktura) vystavený </w:t>
      </w:r>
      <w:r w:rsidR="008E7E22" w:rsidRPr="00D941EC">
        <w:rPr>
          <w:rFonts w:ascii="Tahoma" w:hAnsi="Tahoma" w:cs="Tahoma"/>
          <w:sz w:val="16"/>
          <w:szCs w:val="16"/>
          <w:lang w:val="cs-CZ"/>
        </w:rPr>
        <w:t>poskytovatelem</w:t>
      </w:r>
      <w:r w:rsidRPr="00D941EC">
        <w:rPr>
          <w:rFonts w:ascii="Tahoma" w:hAnsi="Tahoma" w:cs="Tahoma"/>
          <w:sz w:val="16"/>
          <w:szCs w:val="16"/>
        </w:rPr>
        <w:t>.</w:t>
      </w:r>
    </w:p>
    <w:p w14:paraId="43FD8BBF" w14:textId="77777777" w:rsidR="00B24C4A" w:rsidRDefault="00B24C4A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70E6EDE2" w14:textId="46F2CDC8" w:rsidR="00C7559D" w:rsidRPr="005C0BE3" w:rsidRDefault="00B24C4A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5C0BE3">
        <w:rPr>
          <w:rFonts w:ascii="Tahoma" w:hAnsi="Tahoma" w:cs="Tahoma"/>
          <w:sz w:val="16"/>
          <w:szCs w:val="16"/>
        </w:rPr>
        <w:t>Cena za služby poskytované objednateli dle čl. I. této smlouvy bude objednatelem hrazena</w:t>
      </w:r>
      <w:r w:rsidR="00FC571E" w:rsidRPr="005C0BE3">
        <w:rPr>
          <w:rFonts w:ascii="Tahoma" w:hAnsi="Tahoma" w:cs="Tahoma"/>
          <w:sz w:val="16"/>
          <w:szCs w:val="16"/>
          <w:lang w:val="cs-CZ"/>
        </w:rPr>
        <w:t xml:space="preserve"> zpětně</w:t>
      </w:r>
      <w:r w:rsidR="005C0BE3" w:rsidRPr="005C0BE3">
        <w:rPr>
          <w:rFonts w:ascii="Tahoma" w:hAnsi="Tahoma" w:cs="Tahoma"/>
          <w:sz w:val="16"/>
          <w:szCs w:val="16"/>
          <w:lang w:val="cs-CZ"/>
        </w:rPr>
        <w:t xml:space="preserve"> </w:t>
      </w:r>
      <w:r w:rsidR="005C0BE3">
        <w:rPr>
          <w:rFonts w:ascii="Tahoma" w:hAnsi="Tahoma" w:cs="Tahoma"/>
          <w:sz w:val="16"/>
          <w:szCs w:val="16"/>
          <w:lang w:val="cs-CZ"/>
        </w:rPr>
        <w:t>v</w:t>
      </w:r>
      <w:r w:rsidR="0074047A" w:rsidRPr="005C0BE3">
        <w:rPr>
          <w:rFonts w:ascii="Tahoma" w:hAnsi="Tahoma" w:cs="Tahoma"/>
          <w:sz w:val="16"/>
          <w:szCs w:val="16"/>
          <w:lang w:val="cs-CZ"/>
        </w:rPr>
        <w:t> </w:t>
      </w:r>
      <w:r w:rsidRPr="005C0BE3">
        <w:rPr>
          <w:rFonts w:ascii="Tahoma" w:hAnsi="Tahoma" w:cs="Tahoma"/>
          <w:sz w:val="16"/>
          <w:szCs w:val="16"/>
        </w:rPr>
        <w:t>pravidelných </w:t>
      </w:r>
      <w:r w:rsidR="00642D8B" w:rsidRPr="005C0BE3">
        <w:rPr>
          <w:rFonts w:ascii="Tahoma" w:hAnsi="Tahoma" w:cs="Tahoma"/>
          <w:sz w:val="16"/>
          <w:szCs w:val="16"/>
          <w:lang w:val="cs-CZ"/>
        </w:rPr>
        <w:t>čtvrtletních</w:t>
      </w:r>
      <w:r w:rsidRPr="005C0BE3">
        <w:rPr>
          <w:rFonts w:ascii="Tahoma" w:hAnsi="Tahoma" w:cs="Tahoma"/>
          <w:sz w:val="16"/>
          <w:szCs w:val="16"/>
        </w:rPr>
        <w:t xml:space="preserve"> platbách. Výše jednotliv</w:t>
      </w:r>
      <w:r w:rsidRPr="005C0BE3">
        <w:rPr>
          <w:rFonts w:ascii="Tahoma" w:hAnsi="Tahoma" w:cs="Tahoma"/>
          <w:sz w:val="16"/>
          <w:szCs w:val="16"/>
          <w:lang w:val="cs-CZ"/>
        </w:rPr>
        <w:t xml:space="preserve">é </w:t>
      </w:r>
      <w:r w:rsidR="00642D8B" w:rsidRPr="005C0BE3">
        <w:rPr>
          <w:rFonts w:ascii="Tahoma" w:hAnsi="Tahoma" w:cs="Tahoma"/>
          <w:sz w:val="16"/>
          <w:szCs w:val="16"/>
          <w:lang w:val="cs-CZ"/>
        </w:rPr>
        <w:t>čtvrtletní</w:t>
      </w:r>
      <w:r w:rsidRPr="005C0BE3">
        <w:rPr>
          <w:rFonts w:ascii="Tahoma" w:hAnsi="Tahoma" w:cs="Tahoma"/>
          <w:sz w:val="16"/>
          <w:szCs w:val="16"/>
          <w:lang w:val="cs-CZ"/>
        </w:rPr>
        <w:t xml:space="preserve"> platby </w:t>
      </w:r>
      <w:r w:rsidR="00877ECC" w:rsidRPr="005C0BE3">
        <w:rPr>
          <w:rFonts w:ascii="Tahoma" w:hAnsi="Tahoma" w:cs="Tahoma"/>
          <w:sz w:val="16"/>
          <w:szCs w:val="16"/>
          <w:lang w:val="cs-CZ"/>
        </w:rPr>
        <w:t>za jednotliv</w:t>
      </w:r>
      <w:r w:rsidR="001106AE" w:rsidRPr="005C0BE3">
        <w:rPr>
          <w:rFonts w:ascii="Tahoma" w:hAnsi="Tahoma" w:cs="Tahoma"/>
          <w:sz w:val="16"/>
          <w:szCs w:val="16"/>
          <w:lang w:val="cs-CZ"/>
        </w:rPr>
        <w:t>á</w:t>
      </w:r>
      <w:r w:rsidR="00877ECC" w:rsidRPr="005C0BE3">
        <w:rPr>
          <w:rFonts w:ascii="Tahoma" w:hAnsi="Tahoma" w:cs="Tahoma"/>
          <w:sz w:val="16"/>
          <w:szCs w:val="16"/>
          <w:lang w:val="cs-CZ"/>
        </w:rPr>
        <w:t xml:space="preserve"> zařízení </w:t>
      </w:r>
      <w:r w:rsidRPr="005C0BE3">
        <w:rPr>
          <w:rFonts w:ascii="Tahoma" w:hAnsi="Tahoma" w:cs="Tahoma"/>
          <w:sz w:val="16"/>
          <w:szCs w:val="16"/>
          <w:lang w:val="cs-CZ"/>
        </w:rPr>
        <w:t>je</w:t>
      </w:r>
      <w:r w:rsidR="00877ECC" w:rsidRPr="005C0BE3">
        <w:rPr>
          <w:rFonts w:ascii="Tahoma" w:hAnsi="Tahoma" w:cs="Tahoma"/>
          <w:sz w:val="16"/>
          <w:szCs w:val="16"/>
          <w:lang w:val="cs-CZ"/>
        </w:rPr>
        <w:t xml:space="preserve"> uvedena v příloze č. </w:t>
      </w:r>
      <w:r w:rsidR="00FD516A">
        <w:rPr>
          <w:rFonts w:ascii="Tahoma" w:hAnsi="Tahoma" w:cs="Tahoma"/>
          <w:sz w:val="16"/>
          <w:szCs w:val="16"/>
          <w:lang w:val="cs-CZ"/>
        </w:rPr>
        <w:t>2</w:t>
      </w:r>
      <w:r w:rsidR="00877ECC" w:rsidRPr="005C0BE3">
        <w:rPr>
          <w:rFonts w:ascii="Tahoma" w:hAnsi="Tahoma" w:cs="Tahoma"/>
          <w:sz w:val="16"/>
          <w:szCs w:val="16"/>
          <w:lang w:val="cs-CZ"/>
        </w:rPr>
        <w:t xml:space="preserve"> této smlouvy</w:t>
      </w:r>
      <w:r w:rsidRPr="005C0BE3">
        <w:rPr>
          <w:rFonts w:ascii="Tahoma" w:hAnsi="Tahoma" w:cs="Tahoma"/>
          <w:sz w:val="16"/>
          <w:szCs w:val="16"/>
        </w:rPr>
        <w:t>.</w:t>
      </w:r>
    </w:p>
    <w:p w14:paraId="6640EC96" w14:textId="77777777" w:rsidR="00CE3D28" w:rsidRDefault="00CE3D28" w:rsidP="00372856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63C12F80" w14:textId="781070B0" w:rsidR="00CE3D28" w:rsidRDefault="00CE3D28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V případě, že objednatel nebude využívat služeb podpory pro všechna zařízení</w:t>
      </w:r>
      <w:r w:rsidR="004A13DB">
        <w:rPr>
          <w:rFonts w:ascii="Tahoma" w:hAnsi="Tahoma" w:cs="Tahoma"/>
          <w:sz w:val="16"/>
          <w:szCs w:val="16"/>
          <w:lang w:val="cs-CZ"/>
        </w:rPr>
        <w:t>, je poskytovatel povinen fakturovat pouze poměrnou část ze čtvrtletní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A13DB">
        <w:rPr>
          <w:rFonts w:ascii="Tahoma" w:hAnsi="Tahoma" w:cs="Tahoma"/>
          <w:sz w:val="16"/>
          <w:szCs w:val="16"/>
          <w:lang w:val="cs-CZ"/>
        </w:rPr>
        <w:t>platby, a to za skutečně využív</w:t>
      </w:r>
      <w:r w:rsidR="00372856">
        <w:rPr>
          <w:rFonts w:ascii="Tahoma" w:hAnsi="Tahoma" w:cs="Tahoma"/>
          <w:sz w:val="16"/>
          <w:szCs w:val="16"/>
          <w:lang w:val="cs-CZ"/>
        </w:rPr>
        <w:t>a</w:t>
      </w:r>
      <w:r w:rsidR="004A13DB">
        <w:rPr>
          <w:rFonts w:ascii="Tahoma" w:hAnsi="Tahoma" w:cs="Tahoma"/>
          <w:sz w:val="16"/>
          <w:szCs w:val="16"/>
          <w:lang w:val="cs-CZ"/>
        </w:rPr>
        <w:t>né služby podpory jednotlivých zařízení. Cena bude vypočítána na základě jednotkových cen</w:t>
      </w:r>
      <w:r w:rsidR="006219E0">
        <w:rPr>
          <w:rFonts w:ascii="Tahoma" w:hAnsi="Tahoma" w:cs="Tahoma"/>
          <w:sz w:val="16"/>
          <w:szCs w:val="16"/>
          <w:lang w:val="cs-CZ"/>
        </w:rPr>
        <w:t xml:space="preserve"> podpory k jednotlivým zařízením uvedených v příloze č. </w:t>
      </w:r>
      <w:r w:rsidR="00A15AB7">
        <w:rPr>
          <w:rFonts w:ascii="Tahoma" w:hAnsi="Tahoma" w:cs="Tahoma"/>
          <w:sz w:val="16"/>
          <w:szCs w:val="16"/>
          <w:lang w:val="cs-CZ"/>
        </w:rPr>
        <w:t>2</w:t>
      </w:r>
      <w:r w:rsidR="006219E0">
        <w:rPr>
          <w:rFonts w:ascii="Tahoma" w:hAnsi="Tahoma" w:cs="Tahoma"/>
          <w:sz w:val="16"/>
          <w:szCs w:val="16"/>
          <w:lang w:val="cs-CZ"/>
        </w:rPr>
        <w:t xml:space="preserve"> této smlouvy.</w:t>
      </w:r>
    </w:p>
    <w:p w14:paraId="054828C1" w14:textId="77777777" w:rsidR="00652B04" w:rsidRDefault="00652B04" w:rsidP="00132524">
      <w:pPr>
        <w:pStyle w:val="Odstavecseseznamem"/>
        <w:rPr>
          <w:rFonts w:ascii="Tahoma" w:hAnsi="Tahoma" w:cs="Tahoma"/>
          <w:sz w:val="16"/>
          <w:szCs w:val="16"/>
        </w:rPr>
      </w:pPr>
    </w:p>
    <w:p w14:paraId="3C503321" w14:textId="23760768" w:rsidR="00C7559D" w:rsidRPr="00D941EC" w:rsidRDefault="00C7559D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Daňový doklad (faktura) bude </w:t>
      </w:r>
      <w:r w:rsidR="00F639AD" w:rsidRPr="00D941EC">
        <w:rPr>
          <w:rFonts w:ascii="Tahoma" w:hAnsi="Tahoma" w:cs="Tahoma"/>
          <w:sz w:val="16"/>
          <w:szCs w:val="16"/>
        </w:rPr>
        <w:t>objednatelem</w:t>
      </w:r>
      <w:r w:rsidRPr="00D941EC">
        <w:rPr>
          <w:rFonts w:ascii="Tahoma" w:hAnsi="Tahoma" w:cs="Tahoma"/>
          <w:sz w:val="16"/>
          <w:szCs w:val="16"/>
        </w:rPr>
        <w:t xml:space="preserve"> vystaven, v souladu s ustanovením § 29 zákona č. 235/2004  Sb. o dani z</w:t>
      </w:r>
      <w:r w:rsidR="008D1282">
        <w:rPr>
          <w:rFonts w:ascii="Tahoma" w:hAnsi="Tahoma" w:cs="Tahoma"/>
          <w:sz w:val="16"/>
          <w:szCs w:val="16"/>
          <w:lang w:val="cs-CZ"/>
        </w:rPr>
        <w:t> </w:t>
      </w:r>
      <w:r w:rsidRPr="00D941EC">
        <w:rPr>
          <w:rFonts w:ascii="Tahoma" w:hAnsi="Tahoma" w:cs="Tahoma"/>
          <w:sz w:val="16"/>
          <w:szCs w:val="16"/>
        </w:rPr>
        <w:t xml:space="preserve">přidané hodnoty ve znění pozdějších předpisů, do 15 dnů od data uskutečnění zdanitelného plnění. Splatnost faktury je stanovena na </w:t>
      </w:r>
      <w:r w:rsidRPr="00D941EC">
        <w:rPr>
          <w:rFonts w:ascii="Tahoma" w:hAnsi="Tahoma" w:cs="Tahoma"/>
          <w:b/>
          <w:sz w:val="16"/>
          <w:szCs w:val="16"/>
        </w:rPr>
        <w:t>60 dní</w:t>
      </w:r>
      <w:r w:rsidRPr="00D941EC">
        <w:rPr>
          <w:rFonts w:ascii="Tahoma" w:hAnsi="Tahoma" w:cs="Tahoma"/>
          <w:sz w:val="16"/>
          <w:szCs w:val="16"/>
        </w:rPr>
        <w:t xml:space="preserve"> ode dne jejího vystavení. Faktura bude zaslána elektronicky ve formátu ISDOC nebo PDF na adresu </w:t>
      </w:r>
      <w:r w:rsidR="005C468E" w:rsidRPr="005C468E">
        <w:rPr>
          <w:rFonts w:ascii="Tahoma" w:hAnsi="Tahoma" w:cs="Tahoma"/>
          <w:sz w:val="16"/>
          <w:szCs w:val="16"/>
          <w:lang w:val="cs-CZ"/>
        </w:rPr>
        <w:t>xxxxx</w:t>
      </w:r>
      <w:r w:rsidR="005C468E">
        <w:rPr>
          <w:lang w:val="cs-CZ"/>
        </w:rPr>
        <w:t xml:space="preserve"> </w:t>
      </w:r>
      <w:r w:rsidRPr="00D941EC">
        <w:rPr>
          <w:rFonts w:ascii="Tahoma" w:hAnsi="Tahoma" w:cs="Tahoma"/>
          <w:sz w:val="16"/>
          <w:szCs w:val="16"/>
        </w:rPr>
        <w:t xml:space="preserve">nebo bude ve dvou vyhotoveních doručena na Ekonomický úsek </w:t>
      </w:r>
      <w:r w:rsidR="00931B74">
        <w:rPr>
          <w:rFonts w:ascii="Tahoma" w:hAnsi="Tahoma" w:cs="Tahoma"/>
          <w:sz w:val="16"/>
          <w:szCs w:val="16"/>
          <w:lang w:val="cs-CZ"/>
        </w:rPr>
        <w:t>objednatele</w:t>
      </w:r>
      <w:r w:rsidRPr="00D941EC">
        <w:rPr>
          <w:rFonts w:ascii="Tahoma" w:hAnsi="Tahoma" w:cs="Tahoma"/>
          <w:sz w:val="16"/>
          <w:szCs w:val="16"/>
        </w:rPr>
        <w:t>, odbor účetnictví.</w:t>
      </w:r>
    </w:p>
    <w:p w14:paraId="6BC6499C" w14:textId="77777777" w:rsidR="00F639AD" w:rsidRPr="00D941EC" w:rsidRDefault="00F639AD" w:rsidP="00270618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3102D099" w14:textId="54DCD04E" w:rsidR="00F639AD" w:rsidRPr="00D941EC" w:rsidRDefault="00F639AD">
      <w:pPr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</w:t>
      </w:r>
      <w:r w:rsidR="008D1282">
        <w:rPr>
          <w:rFonts w:ascii="Tahoma" w:hAnsi="Tahoma" w:cs="Tahoma"/>
          <w:sz w:val="16"/>
          <w:szCs w:val="16"/>
        </w:rPr>
        <w:t> </w:t>
      </w:r>
      <w:r w:rsidRPr="00D941EC">
        <w:rPr>
          <w:rFonts w:ascii="Tahoma" w:hAnsi="Tahoma" w:cs="Tahoma"/>
          <w:sz w:val="16"/>
          <w:szCs w:val="16"/>
        </w:rPr>
        <w:t>15 dnů od doručení vrátit poskytovateli s tím, že poskytovatel je poté povinen vystavit novou fakturu s novým termínem splatnosti. V takovém případě objednatel není v prodlení s úhradou faktury.</w:t>
      </w:r>
    </w:p>
    <w:p w14:paraId="540938D9" w14:textId="77777777" w:rsidR="00F639AD" w:rsidRPr="00D941EC" w:rsidRDefault="00F639AD" w:rsidP="00270618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0D6D0AD" w14:textId="77777777" w:rsidR="00F639AD" w:rsidRPr="00D941EC" w:rsidRDefault="00F639AD">
      <w:pPr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4C102948" w14:textId="77777777" w:rsidR="00C7559D" w:rsidRPr="00D941EC" w:rsidRDefault="00C7559D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230C7DFC" w14:textId="77777777" w:rsidR="00C7559D" w:rsidRPr="00D941EC" w:rsidRDefault="00C7559D">
      <w:pPr>
        <w:pStyle w:val="rove2Oddl"/>
        <w:numPr>
          <w:ilvl w:val="0"/>
          <w:numId w:val="7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Datem uskutečnění zdanitelného plnění je </w:t>
      </w:r>
      <w:r w:rsidR="00CE3D28">
        <w:rPr>
          <w:rFonts w:ascii="Tahoma" w:hAnsi="Tahoma" w:cs="Tahoma"/>
          <w:sz w:val="16"/>
          <w:szCs w:val="16"/>
          <w:lang w:val="cs-CZ"/>
        </w:rPr>
        <w:t>poslední kalendářní den příslušného čtvrtletí</w:t>
      </w:r>
      <w:r w:rsidR="00372856">
        <w:rPr>
          <w:rFonts w:ascii="Tahoma" w:hAnsi="Tahoma" w:cs="Tahoma"/>
          <w:sz w:val="16"/>
          <w:szCs w:val="16"/>
          <w:lang w:val="cs-CZ"/>
        </w:rPr>
        <w:t>.</w:t>
      </w:r>
      <w:r w:rsidR="003A6A11">
        <w:rPr>
          <w:rFonts w:ascii="Tahoma" w:hAnsi="Tahoma" w:cs="Tahoma"/>
          <w:sz w:val="16"/>
          <w:szCs w:val="16"/>
        </w:rPr>
        <w:t xml:space="preserve"> </w:t>
      </w:r>
    </w:p>
    <w:p w14:paraId="31E35C0C" w14:textId="3CD30A3B" w:rsidR="00FD3C30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073C5034" w14:textId="77777777" w:rsidR="00931B74" w:rsidRPr="00D941EC" w:rsidRDefault="00931B74" w:rsidP="005F690C">
      <w:pPr>
        <w:jc w:val="both"/>
        <w:rPr>
          <w:rFonts w:ascii="Tahoma" w:hAnsi="Tahoma" w:cs="Tahoma"/>
          <w:sz w:val="16"/>
          <w:szCs w:val="16"/>
        </w:rPr>
      </w:pPr>
    </w:p>
    <w:p w14:paraId="7A4F03CF" w14:textId="77777777" w:rsidR="00EC40EC" w:rsidRPr="00D941EC" w:rsidRDefault="00EC40EC" w:rsidP="00FD3C3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lastRenderedPageBreak/>
        <w:t>IV. Trvání smlouvy</w:t>
      </w:r>
    </w:p>
    <w:p w14:paraId="44521908" w14:textId="25B3FA9B" w:rsidR="00B24C4A" w:rsidRDefault="00B24C4A">
      <w:pPr>
        <w:keepNext/>
        <w:numPr>
          <w:ilvl w:val="0"/>
          <w:numId w:val="9"/>
        </w:numPr>
        <w:suppressAutoHyphens w:val="0"/>
        <w:jc w:val="both"/>
        <w:rPr>
          <w:rFonts w:ascii="Tahoma" w:hAnsi="Tahoma" w:cs="Tahoma"/>
          <w:kern w:val="0"/>
          <w:sz w:val="16"/>
          <w:szCs w:val="16"/>
          <w:lang w:eastAsia="cs-CZ"/>
        </w:rPr>
      </w:pPr>
      <w:r>
        <w:rPr>
          <w:rFonts w:ascii="Tahoma" w:hAnsi="Tahoma" w:cs="Tahoma"/>
          <w:sz w:val="16"/>
          <w:szCs w:val="16"/>
        </w:rPr>
        <w:t xml:space="preserve">Tato smlouva se uzavírá </w:t>
      </w:r>
      <w:r w:rsidR="002F6022">
        <w:rPr>
          <w:rFonts w:ascii="Tahoma" w:hAnsi="Tahoma" w:cs="Tahoma"/>
          <w:sz w:val="16"/>
          <w:szCs w:val="16"/>
        </w:rPr>
        <w:t xml:space="preserve">na dobu určitou </w:t>
      </w:r>
      <w:r w:rsidR="00877ECC">
        <w:rPr>
          <w:rFonts w:ascii="Tahoma" w:hAnsi="Tahoma" w:cs="Tahoma"/>
          <w:sz w:val="16"/>
          <w:szCs w:val="16"/>
        </w:rPr>
        <w:t>do 31. 12. 202</w:t>
      </w:r>
      <w:r w:rsidR="00D921CC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1C971310" w14:textId="77777777" w:rsidR="00B24C4A" w:rsidRDefault="00B24C4A" w:rsidP="00FD3C30">
      <w:pPr>
        <w:keepNext/>
        <w:jc w:val="both"/>
        <w:rPr>
          <w:rFonts w:ascii="Tahoma" w:hAnsi="Tahoma" w:cs="Tahoma"/>
          <w:kern w:val="2"/>
          <w:sz w:val="16"/>
          <w:szCs w:val="16"/>
        </w:rPr>
      </w:pPr>
    </w:p>
    <w:p w14:paraId="6AC30767" w14:textId="77777777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Smlouva může být ukončena:</w:t>
      </w:r>
    </w:p>
    <w:p w14:paraId="56FFFC45" w14:textId="2FDD9B68" w:rsidR="00B24C4A" w:rsidRDefault="00B24C4A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písemnou dohodou smluvních stran</w:t>
      </w:r>
      <w:r w:rsidR="00931B74">
        <w:rPr>
          <w:rFonts w:ascii="Tahoma" w:hAnsi="Tahoma" w:cs="Tahoma"/>
          <w:sz w:val="16"/>
          <w:szCs w:val="16"/>
        </w:rPr>
        <w:t>;</w:t>
      </w:r>
    </w:p>
    <w:p w14:paraId="357DB497" w14:textId="36302E7B" w:rsidR="00B24C4A" w:rsidRDefault="00B24C4A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písemnou výpovědí ze strany objednatele nebo poskytovatele i bez udání důvodu; výpovědní doba činí jeden měsíc a počíná běžet od prvního dne měsíce následujícího po doručení písemné výpovědi druhé smluvní straně.</w:t>
      </w:r>
      <w:r w:rsidR="00642D8B" w:rsidRPr="61C8735C">
        <w:rPr>
          <w:rFonts w:ascii="Tahoma" w:hAnsi="Tahoma" w:cs="Tahoma"/>
          <w:sz w:val="16"/>
          <w:szCs w:val="16"/>
        </w:rPr>
        <w:t xml:space="preserve"> V případě ukončení smlouvy </w:t>
      </w:r>
      <w:r w:rsidR="009A2F96" w:rsidRPr="61C8735C">
        <w:rPr>
          <w:rFonts w:ascii="Tahoma" w:hAnsi="Tahoma" w:cs="Tahoma"/>
          <w:sz w:val="16"/>
          <w:szCs w:val="16"/>
        </w:rPr>
        <w:t xml:space="preserve">bude poskytovatel fakturovat poměrnou část </w:t>
      </w:r>
      <w:r w:rsidR="00344A33" w:rsidRPr="61C8735C">
        <w:rPr>
          <w:rFonts w:ascii="Tahoma" w:hAnsi="Tahoma" w:cs="Tahoma"/>
          <w:sz w:val="16"/>
          <w:szCs w:val="16"/>
        </w:rPr>
        <w:t>čtvrtletní platby dle skutečné doby plnění</w:t>
      </w:r>
      <w:r w:rsidR="00931B74">
        <w:rPr>
          <w:rFonts w:ascii="Tahoma" w:hAnsi="Tahoma" w:cs="Tahoma"/>
          <w:sz w:val="16"/>
          <w:szCs w:val="16"/>
        </w:rPr>
        <w:t>;</w:t>
      </w:r>
      <w:r w:rsidR="00344A33" w:rsidRPr="61C8735C">
        <w:rPr>
          <w:rFonts w:ascii="Tahoma" w:hAnsi="Tahoma" w:cs="Tahoma"/>
          <w:sz w:val="16"/>
          <w:szCs w:val="16"/>
        </w:rPr>
        <w:t xml:space="preserve"> </w:t>
      </w:r>
    </w:p>
    <w:p w14:paraId="3285D04F" w14:textId="77777777" w:rsidR="00B24C4A" w:rsidRDefault="00B24C4A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52953D2A" w14:textId="77777777" w:rsidR="00B24C4A" w:rsidRDefault="00B24C4A" w:rsidP="00B24C4A">
      <w:pPr>
        <w:jc w:val="both"/>
        <w:rPr>
          <w:rFonts w:ascii="Tahoma" w:hAnsi="Tahoma" w:cs="Tahoma"/>
          <w:sz w:val="16"/>
          <w:szCs w:val="16"/>
        </w:rPr>
      </w:pPr>
    </w:p>
    <w:p w14:paraId="425865A0" w14:textId="77777777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Kterákoliv ze smluvních stran je oprávněna odstoupit od smlouvy v případě, že druhá smluvní strana hrubě poruší nebo opakovaně porušuje své 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 zejména nefunkčnost nebo nedostupnost některé z klíčových aplikací v rozsahu delším než 30 dnů.</w:t>
      </w:r>
    </w:p>
    <w:p w14:paraId="543F7E25" w14:textId="77777777" w:rsidR="00B24C4A" w:rsidRDefault="00B24C4A" w:rsidP="00B24C4A">
      <w:pPr>
        <w:jc w:val="both"/>
        <w:rPr>
          <w:rFonts w:ascii="Tahoma" w:hAnsi="Tahoma" w:cs="Tahoma"/>
          <w:sz w:val="16"/>
          <w:szCs w:val="16"/>
        </w:rPr>
      </w:pPr>
    </w:p>
    <w:p w14:paraId="22D7352C" w14:textId="77777777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351FA9C2" w14:textId="77777777" w:rsidR="00EC40EC" w:rsidRPr="00D941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1AC049FA" w14:textId="77777777" w:rsidR="007625CC" w:rsidRPr="00D941EC" w:rsidRDefault="007625C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5C57A92F" w14:textId="66481672" w:rsidR="00EC40EC" w:rsidRPr="00D941E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V. Smluvní pokuty, sankce</w:t>
      </w:r>
    </w:p>
    <w:p w14:paraId="2A026650" w14:textId="77777777" w:rsidR="00F639AD" w:rsidRPr="00D941E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391BD6AA" w14:textId="30B05A92" w:rsidR="00AA1C9A" w:rsidRPr="00D941EC" w:rsidRDefault="00EC40E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Pro případ prodlení objednatele s úhradou ceny dle čl. III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</w:t>
      </w:r>
      <w:r w:rsidR="00A850F2" w:rsidRPr="61C8735C">
        <w:rPr>
          <w:rFonts w:ascii="Tahoma" w:hAnsi="Tahoma" w:cs="Tahoma"/>
          <w:sz w:val="16"/>
          <w:szCs w:val="16"/>
        </w:rPr>
        <w:t>od 31</w:t>
      </w:r>
      <w:r w:rsidR="00C2078F" w:rsidRPr="61C8735C">
        <w:rPr>
          <w:rFonts w:ascii="Tahoma" w:hAnsi="Tahoma" w:cs="Tahoma"/>
          <w:sz w:val="16"/>
          <w:szCs w:val="16"/>
        </w:rPr>
        <w:t>.</w:t>
      </w:r>
      <w:r w:rsidR="00A850F2" w:rsidRPr="61C8735C">
        <w:rPr>
          <w:rFonts w:ascii="Tahoma" w:hAnsi="Tahoma" w:cs="Tahoma"/>
          <w:sz w:val="16"/>
          <w:szCs w:val="16"/>
        </w:rPr>
        <w:t xml:space="preserve"> dne</w:t>
      </w:r>
      <w:r w:rsidRPr="61C8735C">
        <w:rPr>
          <w:rFonts w:ascii="Tahoma" w:hAnsi="Tahoma" w:cs="Tahoma"/>
          <w:sz w:val="16"/>
          <w:szCs w:val="16"/>
        </w:rPr>
        <w:t xml:space="preserve"> od sjednané lhůty splatnosti.</w:t>
      </w:r>
    </w:p>
    <w:p w14:paraId="7C071C29" w14:textId="77777777" w:rsidR="00F639AD" w:rsidRPr="00D941EC" w:rsidRDefault="00F639AD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37D03A05" w14:textId="77777777" w:rsidR="00F639AD" w:rsidRDefault="00F639AD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Poskytovatel</w:t>
      </w:r>
      <w:r w:rsidR="00AA1C9A" w:rsidRPr="00D941EC">
        <w:rPr>
          <w:rFonts w:ascii="Tahoma" w:hAnsi="Tahoma" w:cs="Tahoma"/>
          <w:sz w:val="16"/>
          <w:szCs w:val="16"/>
        </w:rPr>
        <w:t xml:space="preserve"> je v případě nedodržení termínu plnění dle čl. </w:t>
      </w:r>
      <w:r w:rsidR="00B41D69" w:rsidRPr="00D941EC">
        <w:rPr>
          <w:rFonts w:ascii="Tahoma" w:hAnsi="Tahoma" w:cs="Tahoma"/>
          <w:sz w:val="16"/>
          <w:szCs w:val="16"/>
        </w:rPr>
        <w:t>II</w:t>
      </w:r>
      <w:r w:rsidR="00AA1C9A" w:rsidRPr="00D941EC">
        <w:rPr>
          <w:rFonts w:ascii="Tahoma" w:hAnsi="Tahoma" w:cs="Tahoma"/>
          <w:sz w:val="16"/>
          <w:szCs w:val="16"/>
        </w:rPr>
        <w:t xml:space="preserve"> této smlouvy povinen uhradit </w:t>
      </w:r>
      <w:r w:rsidRPr="00D941EC">
        <w:rPr>
          <w:rFonts w:ascii="Tahoma" w:hAnsi="Tahoma" w:cs="Tahoma"/>
          <w:sz w:val="16"/>
          <w:szCs w:val="16"/>
        </w:rPr>
        <w:t>objednateli</w:t>
      </w:r>
      <w:r w:rsidR="00AA1C9A" w:rsidRPr="00D941EC">
        <w:rPr>
          <w:rFonts w:ascii="Tahoma" w:hAnsi="Tahoma" w:cs="Tahoma"/>
          <w:sz w:val="16"/>
          <w:szCs w:val="16"/>
        </w:rPr>
        <w:t xml:space="preserve"> smluvní pokutu ve výši 0,1% z celkové ceny za služby dle této smlouvy za každý i započatý den prodlení, jestliže se s</w:t>
      </w:r>
      <w:r w:rsidRPr="00D941EC">
        <w:rPr>
          <w:rFonts w:ascii="Tahoma" w:hAnsi="Tahoma" w:cs="Tahoma"/>
          <w:sz w:val="16"/>
          <w:szCs w:val="16"/>
        </w:rPr>
        <w:t xml:space="preserve"> objednatelem </w:t>
      </w:r>
      <w:r w:rsidR="00AA1C9A" w:rsidRPr="00D941EC">
        <w:rPr>
          <w:rFonts w:ascii="Tahoma" w:hAnsi="Tahoma" w:cs="Tahoma"/>
          <w:sz w:val="16"/>
          <w:szCs w:val="16"/>
        </w:rPr>
        <w:t xml:space="preserve">nedohodne jinak. </w:t>
      </w:r>
      <w:r w:rsidRPr="00D941EC">
        <w:rPr>
          <w:rFonts w:ascii="Tahoma" w:hAnsi="Tahoma" w:cs="Tahoma"/>
          <w:sz w:val="16"/>
          <w:szCs w:val="16"/>
        </w:rPr>
        <w:t>Objednatel</w:t>
      </w:r>
      <w:r w:rsidR="00AA1C9A" w:rsidRPr="00D941EC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4A4EA5A9" w14:textId="77777777" w:rsidR="00F43000" w:rsidRDefault="00F43000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4636280D" w14:textId="2E15A664" w:rsidR="00F43000" w:rsidRDefault="00F43000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nedodržení termínu uvedeného ve čl. II. odst. </w:t>
      </w:r>
      <w:r w:rsidR="00322E47">
        <w:rPr>
          <w:rFonts w:ascii="Tahoma" w:hAnsi="Tahoma" w:cs="Tahoma"/>
          <w:sz w:val="16"/>
          <w:szCs w:val="16"/>
          <w:lang w:val="cs-CZ"/>
        </w:rPr>
        <w:t>3</w:t>
      </w:r>
      <w:r>
        <w:rPr>
          <w:rFonts w:ascii="Tahoma" w:hAnsi="Tahoma" w:cs="Tahoma"/>
          <w:sz w:val="16"/>
          <w:szCs w:val="16"/>
        </w:rPr>
        <w:t xml:space="preserve"> smlouvy, tzn. nástupu na opravu/výměnu vadného zařízení, má objednatel právo účtovat smluvní pokutu ve výši 1.000 Kč za každou započatou hodinu prodlení.</w:t>
      </w:r>
    </w:p>
    <w:p w14:paraId="26AB4487" w14:textId="77777777" w:rsidR="00F43000" w:rsidRDefault="00F43000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1370C5AA" w14:textId="0F9D0E95" w:rsidR="00F43000" w:rsidRDefault="00F43000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nedodržení termínu uvedeného ve čl. II. odst. </w:t>
      </w:r>
      <w:r w:rsidR="00B37A6F">
        <w:rPr>
          <w:rFonts w:ascii="Tahoma" w:hAnsi="Tahoma" w:cs="Tahoma"/>
          <w:sz w:val="16"/>
          <w:szCs w:val="16"/>
          <w:lang w:val="cs-CZ"/>
        </w:rPr>
        <w:t>4</w:t>
      </w:r>
      <w:r>
        <w:rPr>
          <w:rFonts w:ascii="Tahoma" w:hAnsi="Tahoma" w:cs="Tahoma"/>
          <w:sz w:val="16"/>
          <w:szCs w:val="16"/>
        </w:rPr>
        <w:t xml:space="preserve"> smlouvy, tzn. nástupu na opravu/výměnu vadného zařízení, má objednatel právo účtovat smluvní pokutu ve výši 1.000 Kč za každou započatou čtvrthodinu prodlení.</w:t>
      </w:r>
    </w:p>
    <w:p w14:paraId="685BBD55" w14:textId="77777777" w:rsidR="00843BB1" w:rsidRDefault="00843BB1" w:rsidP="00843BB1">
      <w:pPr>
        <w:pStyle w:val="rove2Oddl"/>
        <w:numPr>
          <w:ilvl w:val="0"/>
          <w:numId w:val="0"/>
        </w:numPr>
        <w:spacing w:before="0" w:after="0"/>
        <w:rPr>
          <w:rFonts w:ascii="Tahoma" w:hAnsi="Tahoma" w:cs="Tahoma"/>
          <w:sz w:val="16"/>
          <w:szCs w:val="16"/>
        </w:rPr>
      </w:pPr>
    </w:p>
    <w:p w14:paraId="227B5706" w14:textId="17452091" w:rsidR="00843BB1" w:rsidRPr="007F222F" w:rsidRDefault="00843BB1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Za nedodržení termínu odstranění závady uvedeného ve čl. II. odst. </w:t>
      </w:r>
      <w:r w:rsidR="00B37A6F" w:rsidRPr="61C8735C">
        <w:rPr>
          <w:rFonts w:ascii="Tahoma" w:hAnsi="Tahoma" w:cs="Tahoma"/>
          <w:sz w:val="16"/>
          <w:szCs w:val="16"/>
          <w:lang w:val="cs-CZ"/>
        </w:rPr>
        <w:t>5</w:t>
      </w:r>
      <w:r w:rsidRPr="61C8735C">
        <w:rPr>
          <w:rFonts w:ascii="Tahoma" w:hAnsi="Tahoma" w:cs="Tahoma"/>
          <w:sz w:val="16"/>
          <w:szCs w:val="16"/>
        </w:rPr>
        <w:t xml:space="preserve"> má objednatel právo účtovat smluvní pokutu ve výši 10.000 Kč za každý započatý den prodlení.</w:t>
      </w:r>
    </w:p>
    <w:p w14:paraId="70C63F4B" w14:textId="77777777" w:rsidR="00F43000" w:rsidRDefault="00F43000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00771058" w14:textId="77777777" w:rsidR="00184F28" w:rsidRPr="00C12D45" w:rsidRDefault="00184F28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4A35C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27424">
        <w:rPr>
          <w:rFonts w:ascii="Tahoma" w:hAnsi="Tahoma" w:cs="Tahoma"/>
          <w:sz w:val="16"/>
          <w:szCs w:val="16"/>
          <w:lang w:val="cs-CZ"/>
        </w:rPr>
        <w:t>V</w:t>
      </w:r>
      <w:r w:rsidR="00322E47">
        <w:rPr>
          <w:rFonts w:ascii="Tahoma" w:hAnsi="Tahoma" w:cs="Tahoma"/>
          <w:sz w:val="16"/>
          <w:szCs w:val="16"/>
          <w:lang w:val="cs-CZ"/>
        </w:rPr>
        <w:t>I</w:t>
      </w:r>
      <w:r w:rsidR="00127424">
        <w:rPr>
          <w:rFonts w:ascii="Tahoma" w:hAnsi="Tahoma" w:cs="Tahoma"/>
          <w:sz w:val="16"/>
          <w:szCs w:val="16"/>
          <w:lang w:val="cs-CZ"/>
        </w:rPr>
        <w:t>I</w:t>
      </w:r>
      <w:r w:rsidRPr="004A35CE">
        <w:rPr>
          <w:rFonts w:ascii="Tahoma" w:hAnsi="Tahoma" w:cs="Tahoma"/>
          <w:sz w:val="16"/>
          <w:szCs w:val="16"/>
        </w:rPr>
        <w:t xml:space="preserve">. odst. </w:t>
      </w:r>
      <w:r w:rsidR="00127424">
        <w:rPr>
          <w:rFonts w:ascii="Tahoma" w:hAnsi="Tahoma" w:cs="Tahoma"/>
          <w:sz w:val="16"/>
          <w:szCs w:val="16"/>
          <w:lang w:val="cs-CZ"/>
        </w:rPr>
        <w:t>2</w:t>
      </w:r>
      <w:r w:rsidRPr="004A35CE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72BAA940" w14:textId="77777777" w:rsidR="00184F28" w:rsidRPr="00D941EC" w:rsidRDefault="00184F28" w:rsidP="00270618">
      <w:pPr>
        <w:pStyle w:val="rove2Oddl"/>
        <w:numPr>
          <w:ilvl w:val="0"/>
          <w:numId w:val="0"/>
        </w:numPr>
        <w:spacing w:before="0" w:after="0"/>
        <w:ind w:left="576" w:hanging="426"/>
        <w:rPr>
          <w:rFonts w:ascii="Tahoma" w:hAnsi="Tahoma" w:cs="Tahoma"/>
          <w:sz w:val="16"/>
          <w:szCs w:val="16"/>
        </w:rPr>
      </w:pPr>
    </w:p>
    <w:p w14:paraId="7DFBFFAC" w14:textId="51FF1FDF" w:rsidR="006E1537" w:rsidRDefault="006E1537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 případě nedodržení povinnosti poskytovatele dle čl. V</w:t>
      </w:r>
      <w:r w:rsidR="00322E47" w:rsidRPr="61C8735C">
        <w:rPr>
          <w:rFonts w:ascii="Tahoma" w:hAnsi="Tahoma" w:cs="Tahoma"/>
          <w:sz w:val="16"/>
          <w:szCs w:val="16"/>
          <w:lang w:val="cs-CZ"/>
        </w:rPr>
        <w:t>I</w:t>
      </w:r>
      <w:r w:rsidRPr="61C8735C">
        <w:rPr>
          <w:rFonts w:ascii="Tahoma" w:hAnsi="Tahoma" w:cs="Tahoma"/>
          <w:sz w:val="16"/>
          <w:szCs w:val="16"/>
        </w:rPr>
        <w:t>I</w:t>
      </w:r>
      <w:r w:rsidR="00014C0F" w:rsidRPr="61C8735C">
        <w:rPr>
          <w:rFonts w:ascii="Tahoma" w:hAnsi="Tahoma" w:cs="Tahoma"/>
          <w:sz w:val="16"/>
          <w:szCs w:val="16"/>
          <w:lang w:val="cs-CZ"/>
        </w:rPr>
        <w:t>.</w:t>
      </w:r>
      <w:r w:rsidRPr="61C8735C">
        <w:rPr>
          <w:rFonts w:ascii="Tahoma" w:hAnsi="Tahoma" w:cs="Tahoma"/>
          <w:sz w:val="16"/>
          <w:szCs w:val="16"/>
        </w:rPr>
        <w:t xml:space="preserve"> odst. </w:t>
      </w:r>
      <w:r w:rsidR="00525981" w:rsidRPr="61C8735C">
        <w:rPr>
          <w:rFonts w:ascii="Tahoma" w:hAnsi="Tahoma" w:cs="Tahoma"/>
          <w:sz w:val="16"/>
          <w:szCs w:val="16"/>
          <w:lang w:val="cs-CZ"/>
        </w:rPr>
        <w:t>6</w:t>
      </w:r>
      <w:r w:rsidR="00746A8B" w:rsidRPr="61C8735C">
        <w:rPr>
          <w:rFonts w:ascii="Tahoma" w:hAnsi="Tahoma" w:cs="Tahoma"/>
          <w:sz w:val="16"/>
          <w:szCs w:val="16"/>
          <w:lang w:val="cs-CZ"/>
        </w:rPr>
        <w:t xml:space="preserve"> </w:t>
      </w:r>
      <w:r w:rsidR="00E869E8" w:rsidRPr="61C8735C">
        <w:rPr>
          <w:rFonts w:ascii="Tahoma" w:hAnsi="Tahoma" w:cs="Tahoma"/>
          <w:sz w:val="16"/>
          <w:szCs w:val="16"/>
          <w:lang w:val="cs-CZ"/>
        </w:rPr>
        <w:t>- 7</w:t>
      </w:r>
      <w:r w:rsidRPr="61C8735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10</w:t>
      </w:r>
      <w:r w:rsidR="00014C0F" w:rsidRPr="61C8735C">
        <w:rPr>
          <w:rFonts w:ascii="Tahoma" w:hAnsi="Tahoma" w:cs="Tahoma"/>
          <w:sz w:val="16"/>
          <w:szCs w:val="16"/>
          <w:lang w:val="cs-CZ"/>
        </w:rPr>
        <w:t>.</w:t>
      </w:r>
      <w:r w:rsidRPr="61C8735C">
        <w:rPr>
          <w:rFonts w:ascii="Tahoma" w:hAnsi="Tahoma" w:cs="Tahoma"/>
          <w:sz w:val="16"/>
          <w:szCs w:val="16"/>
        </w:rPr>
        <w:t>000 Kč za každé jednotlivé porušení povinnosti.</w:t>
      </w:r>
    </w:p>
    <w:p w14:paraId="478C65CA" w14:textId="77777777" w:rsidR="00322E47" w:rsidRDefault="00322E47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7029DD68" w14:textId="43769141" w:rsidR="00322E47" w:rsidRPr="00322E47" w:rsidRDefault="00322E47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V případě nedodržení povinností poskytovatele dle čl. II. odst. </w:t>
      </w:r>
      <w:r w:rsidR="00D22DCF" w:rsidRPr="61C8735C">
        <w:rPr>
          <w:rFonts w:ascii="Tahoma" w:hAnsi="Tahoma" w:cs="Tahoma"/>
          <w:sz w:val="16"/>
          <w:szCs w:val="16"/>
          <w:lang w:val="cs-CZ"/>
        </w:rPr>
        <w:t>12</w:t>
      </w:r>
      <w:r w:rsidR="00F6488A" w:rsidRPr="61C8735C">
        <w:rPr>
          <w:rFonts w:ascii="Tahoma" w:hAnsi="Tahoma" w:cs="Tahoma"/>
          <w:sz w:val="16"/>
          <w:szCs w:val="16"/>
          <w:lang w:val="cs-CZ"/>
        </w:rPr>
        <w:t xml:space="preserve"> - </w:t>
      </w:r>
      <w:r w:rsidR="00D22DCF" w:rsidRPr="61C8735C">
        <w:rPr>
          <w:rFonts w:ascii="Tahoma" w:hAnsi="Tahoma" w:cs="Tahoma"/>
          <w:sz w:val="16"/>
          <w:szCs w:val="16"/>
          <w:lang w:val="cs-CZ"/>
        </w:rPr>
        <w:t>1</w:t>
      </w:r>
      <w:r w:rsidR="00A53CC4" w:rsidRPr="61C8735C">
        <w:rPr>
          <w:rFonts w:ascii="Tahoma" w:hAnsi="Tahoma" w:cs="Tahoma"/>
          <w:sz w:val="16"/>
          <w:szCs w:val="16"/>
          <w:lang w:val="cs-CZ"/>
        </w:rPr>
        <w:t>5</w:t>
      </w:r>
      <w:r w:rsidRPr="61C8735C">
        <w:rPr>
          <w:rFonts w:ascii="Tahoma" w:hAnsi="Tahoma" w:cs="Tahoma"/>
          <w:sz w:val="16"/>
          <w:szCs w:val="16"/>
        </w:rPr>
        <w:t xml:space="preserve"> a </w:t>
      </w:r>
      <w:r w:rsidR="00F6488A" w:rsidRPr="61C8735C">
        <w:rPr>
          <w:rFonts w:ascii="Tahoma" w:hAnsi="Tahoma" w:cs="Tahoma"/>
          <w:sz w:val="16"/>
          <w:szCs w:val="16"/>
        </w:rPr>
        <w:t xml:space="preserve">dle čl. </w:t>
      </w:r>
      <w:r w:rsidR="00F6488A" w:rsidRPr="61C8735C">
        <w:rPr>
          <w:rFonts w:ascii="Tahoma" w:hAnsi="Tahoma" w:cs="Tahoma"/>
          <w:sz w:val="16"/>
          <w:szCs w:val="16"/>
          <w:lang w:val="cs-CZ"/>
        </w:rPr>
        <w:t>V</w:t>
      </w:r>
      <w:r w:rsidR="00F6488A" w:rsidRPr="61C8735C">
        <w:rPr>
          <w:rFonts w:ascii="Tahoma" w:hAnsi="Tahoma" w:cs="Tahoma"/>
          <w:sz w:val="16"/>
          <w:szCs w:val="16"/>
        </w:rPr>
        <w:t xml:space="preserve">I. </w:t>
      </w:r>
      <w:r w:rsidRPr="61C8735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200</w:t>
      </w:r>
      <w:r w:rsidR="00014C0F" w:rsidRPr="61C8735C">
        <w:rPr>
          <w:rFonts w:ascii="Tahoma" w:hAnsi="Tahoma" w:cs="Tahoma"/>
          <w:sz w:val="16"/>
          <w:szCs w:val="16"/>
          <w:lang w:val="cs-CZ"/>
        </w:rPr>
        <w:t>.</w:t>
      </w:r>
      <w:r w:rsidRPr="61C8735C">
        <w:rPr>
          <w:rFonts w:ascii="Tahoma" w:hAnsi="Tahoma" w:cs="Tahoma"/>
          <w:sz w:val="16"/>
          <w:szCs w:val="16"/>
        </w:rPr>
        <w:t>000 Kč za každé jednotlivé porušení povinnosti.</w:t>
      </w:r>
    </w:p>
    <w:p w14:paraId="111FD59F" w14:textId="77777777" w:rsidR="00127424" w:rsidRPr="005C7404" w:rsidRDefault="00127424" w:rsidP="00270618">
      <w:pPr>
        <w:pStyle w:val="rove2Oddl"/>
        <w:numPr>
          <w:ilvl w:val="0"/>
          <w:numId w:val="0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</w:p>
    <w:p w14:paraId="0D52EB8A" w14:textId="77777777" w:rsidR="00127424" w:rsidRDefault="00127424">
      <w:pPr>
        <w:pStyle w:val="rove2Oddl"/>
        <w:numPr>
          <w:ilvl w:val="0"/>
          <w:numId w:val="8"/>
        </w:numPr>
        <w:spacing w:before="0" w:after="0"/>
        <w:ind w:left="426" w:hanging="426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4122B824" w14:textId="77777777" w:rsidR="006E1537" w:rsidRDefault="006E1537" w:rsidP="006E1537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6BFF20F5" w14:textId="77777777" w:rsidR="00FD3C30" w:rsidRDefault="00FD3C30" w:rsidP="006E1537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5E3977BC" w14:textId="71DB7E1E" w:rsidR="001106AE" w:rsidRPr="00FA5311" w:rsidRDefault="001106AE" w:rsidP="00FA5311">
      <w:pPr>
        <w:ind w:left="3966" w:firstLine="282"/>
        <w:rPr>
          <w:rFonts w:ascii="Tahoma" w:eastAsia="Calibri" w:hAnsi="Tahoma" w:cs="Tahoma"/>
          <w:b/>
          <w:sz w:val="16"/>
          <w:szCs w:val="16"/>
        </w:rPr>
      </w:pPr>
      <w:r w:rsidRPr="00FA5311">
        <w:rPr>
          <w:rFonts w:ascii="Tahoma" w:eastAsia="Calibri" w:hAnsi="Tahoma" w:cs="Tahoma"/>
          <w:b/>
          <w:sz w:val="16"/>
          <w:szCs w:val="16"/>
        </w:rPr>
        <w:t>VI. Mlčenlivost</w:t>
      </w:r>
    </w:p>
    <w:p w14:paraId="5DB3415C" w14:textId="77777777" w:rsidR="001106AE" w:rsidRDefault="001106AE" w:rsidP="001106AE">
      <w:pPr>
        <w:jc w:val="center"/>
        <w:rPr>
          <w:rFonts w:ascii="Tahoma" w:hAnsi="Tahoma" w:cs="Tahoma"/>
          <w:b/>
          <w:kern w:val="0"/>
          <w:sz w:val="16"/>
          <w:szCs w:val="16"/>
          <w:lang w:eastAsia="cs-CZ"/>
        </w:rPr>
      </w:pPr>
    </w:p>
    <w:p w14:paraId="0C059C0E" w14:textId="7173FEF8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Poskytovatel se zavazuje zachovávat mlčenlivost ve vztahu ke všem informacím a skutečnostem, které se dozví o </w:t>
      </w:r>
      <w:r w:rsidR="002F6022">
        <w:rPr>
          <w:rFonts w:ascii="Tahoma" w:eastAsia="MS Mincho" w:hAnsi="Tahoma" w:cs="Tahoma"/>
          <w:sz w:val="16"/>
          <w:szCs w:val="16"/>
        </w:rPr>
        <w:t>objednateli</w:t>
      </w:r>
      <w:r>
        <w:rPr>
          <w:rFonts w:ascii="Tahoma" w:eastAsia="MS Mincho" w:hAnsi="Tahoma" w:cs="Tahoma"/>
          <w:sz w:val="16"/>
          <w:szCs w:val="16"/>
        </w:rPr>
        <w:t xml:space="preserve">, jeho zaměstnancích, pacientech atd. v souvislosti s uzavřením a plněním smlouvy, pokud tyto informace mají povahu obchodního tajemství, osobních údajů nebo mají být z jiných důvodů chráněny před zveřejněním. Poskytovatel je povinen nakládat s osobními údaji </w:t>
      </w:r>
      <w:r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 110/2019 Sb., o zpracování osobních údajů.</w:t>
      </w:r>
    </w:p>
    <w:p w14:paraId="40AF2B29" w14:textId="77777777" w:rsidR="00755902" w:rsidRDefault="00755902" w:rsidP="00755902">
      <w:pPr>
        <w:suppressAutoHyphens w:val="0"/>
        <w:autoSpaceDN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4E40812E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 zdravotních službách), a o bezpečnostních opatřeních, jejichž zveřejnění by ohrozilo zabezpečení Osobních údajů. </w:t>
      </w:r>
    </w:p>
    <w:p w14:paraId="1BA88F1D" w14:textId="0A096B94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Pokud poskytovatel přijde při plnění Smlouvy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objednatelem </w:t>
      </w:r>
      <w:r>
        <w:rPr>
          <w:rFonts w:ascii="Tahoma" w:eastAsia="MS Mincho" w:hAnsi="Tahoma" w:cs="Tahoma"/>
          <w:sz w:val="16"/>
          <w:szCs w:val="16"/>
        </w:rPr>
        <w:t xml:space="preserve">a týkajících se </w:t>
      </w:r>
      <w:r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="002F6022">
        <w:rPr>
          <w:rFonts w:ascii="Tahoma" w:eastAsia="MS Mincho" w:hAnsi="Tahoma" w:cs="Tahoma"/>
          <w:sz w:val="16"/>
          <w:szCs w:val="16"/>
        </w:rPr>
        <w:t>objednatelem</w:t>
      </w:r>
      <w:r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poskytovány zdravotní </w:t>
      </w:r>
      <w:r>
        <w:rPr>
          <w:rFonts w:ascii="Tahoma" w:hAnsi="Tahoma" w:cs="Tahoma"/>
          <w:sz w:val="16"/>
          <w:szCs w:val="16"/>
        </w:rPr>
        <w:lastRenderedPageBreak/>
        <w:t xml:space="preserve">služby, a dále v rozsahu Osobních údajů zaměstnanců </w:t>
      </w:r>
      <w:r w:rsidR="002F6022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eastAsia="MS Mincho" w:hAnsi="Tahoma" w:cs="Tahoma"/>
          <w:sz w:val="16"/>
          <w:szCs w:val="16"/>
        </w:rPr>
        <w:t xml:space="preserve"> 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Poskytovatel se zavazuje za účelem ochrany osobních údajů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eastAsia="MS Mincho" w:hAnsi="Tahoma" w:cs="Tahoma"/>
          <w:sz w:val="16"/>
          <w:szCs w:val="16"/>
        </w:rPr>
        <w:t xml:space="preserve">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 </w:t>
      </w:r>
    </w:p>
    <w:p w14:paraId="71CC20D5" w14:textId="77777777" w:rsidR="00755902" w:rsidRDefault="00755902" w:rsidP="00755902">
      <w:pPr>
        <w:suppressAutoHyphens w:val="0"/>
        <w:autoSpaceDN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2C87175D" w14:textId="5085C56F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Poskytovatel se zavazuje zajistit informovanost svých pracovníků (včetně poddodavatelů) o povinnostech vyplývajících z této </w:t>
      </w:r>
      <w:r w:rsidR="002F6022">
        <w:rPr>
          <w:rFonts w:ascii="Tahoma" w:eastAsia="MS Mincho" w:hAnsi="Tahoma" w:cs="Tahoma"/>
          <w:sz w:val="16"/>
          <w:szCs w:val="16"/>
        </w:rPr>
        <w:t>s</w:t>
      </w:r>
      <w:r>
        <w:rPr>
          <w:rFonts w:ascii="Tahoma" w:eastAsia="MS Mincho" w:hAnsi="Tahoma" w:cs="Tahoma"/>
          <w:sz w:val="16"/>
          <w:szCs w:val="16"/>
        </w:rPr>
        <w:t>mlouvy. Poskytovatel se zavazuje zajistit, aby jeho pracovníci, kteří budou přicházet do styku s osobními údaji, byli smluvně vázáni povinností mlčenlivosti ve smyslu GDPR a Zákona o zpracování osobních údajů a poučeni o možných následcích porušení těchto povinností s tím, že povinnost důvěrnosti bude jimi dodržována i po skončení jejich smluvního vztahu k</w:t>
      </w:r>
      <w:r w:rsidR="00B50444">
        <w:rPr>
          <w:rFonts w:ascii="Tahoma" w:eastAsia="MS Mincho" w:hAnsi="Tahoma" w:cs="Tahoma"/>
          <w:sz w:val="16"/>
          <w:szCs w:val="16"/>
        </w:rPr>
        <w:t> objednateli</w:t>
      </w:r>
      <w:r>
        <w:rPr>
          <w:rFonts w:ascii="Tahoma" w:eastAsia="MS Mincho" w:hAnsi="Tahoma" w:cs="Tahoma"/>
          <w:sz w:val="16"/>
          <w:szCs w:val="16"/>
        </w:rPr>
        <w:t>. Toto ujednání je sjednáno ve smyslu ustanovení čl. 28 GDPR. Poskytovatel se zavazuje informovat své poddodavatele o</w:t>
      </w:r>
      <w:r w:rsidR="00BC52E3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povinnosti mlčenlivosti dle této smlouvy. V případě porušení mlčenlivosti za strany poddodavatele, odpovídá poskytovatel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>
        <w:rPr>
          <w:rFonts w:ascii="Tahoma" w:eastAsia="MS Mincho" w:hAnsi="Tahoma" w:cs="Tahoma"/>
          <w:sz w:val="16"/>
          <w:szCs w:val="16"/>
        </w:rPr>
        <w:t>za vzniklou škodu, jako kdyby povinnost porušil sám.</w:t>
      </w:r>
    </w:p>
    <w:p w14:paraId="0F3387CC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55981DBB" w14:textId="74CA8C58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</w:t>
      </w:r>
      <w:r w:rsidR="00B50444">
        <w:rPr>
          <w:rFonts w:ascii="Tahoma" w:eastAsia="MS Mincho" w:hAnsi="Tahoma" w:cs="Tahoma"/>
          <w:sz w:val="16"/>
          <w:szCs w:val="16"/>
        </w:rPr>
        <w:t>,</w:t>
      </w:r>
      <w:r>
        <w:rPr>
          <w:rFonts w:ascii="Tahoma" w:eastAsia="MS Mincho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3F2A5300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47B96BB2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této smlouvy, a nebudou zjišťovány informace, které nejsou nezbytně nutné ke splnění povinností vyplývajících z této smlouvy.</w:t>
      </w:r>
    </w:p>
    <w:p w14:paraId="7C33D43A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2F65608F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>
        <w:rPr>
          <w:rFonts w:ascii="Tahoma" w:hAnsi="Tahoma" w:cs="Tahoma"/>
          <w:sz w:val="16"/>
          <w:szCs w:val="16"/>
        </w:rPr>
        <w:t>notit.</w:t>
      </w:r>
    </w:p>
    <w:p w14:paraId="3272DF56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5F362012" w14:textId="4C22907F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se zavazuje plně respektovat bezpečnostní požadavky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hAnsi="Tahoma" w:cs="Tahoma"/>
          <w:sz w:val="16"/>
          <w:szCs w:val="16"/>
        </w:rPr>
        <w:t xml:space="preserve">k zajištění ochrany Osobních údajů pacientů a zaměstnanců </w:t>
      </w:r>
      <w:r w:rsidR="00B50444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>.</w:t>
      </w:r>
    </w:p>
    <w:p w14:paraId="78FFDF53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3A792F60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 informacích obsahujících Osobní údaje trvá bez časového omezení.</w:t>
      </w:r>
    </w:p>
    <w:p w14:paraId="7507BB05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561B51BC" w14:textId="42FC03E3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vylučují povinnosti jim uložené ve smyslu čl. </w:t>
      </w:r>
      <w:r w:rsidR="00A03AE9">
        <w:rPr>
          <w:rFonts w:ascii="Tahoma" w:hAnsi="Tahoma" w:cs="Tahoma"/>
          <w:sz w:val="16"/>
          <w:szCs w:val="16"/>
        </w:rPr>
        <w:t>VI</w:t>
      </w:r>
      <w:r>
        <w:rPr>
          <w:rFonts w:ascii="Tahoma" w:hAnsi="Tahoma" w:cs="Tahoma"/>
          <w:sz w:val="16"/>
          <w:szCs w:val="16"/>
        </w:rPr>
        <w:t>I,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</w:t>
      </w:r>
      <w:r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“).</w:t>
      </w:r>
    </w:p>
    <w:p w14:paraId="093865F9" w14:textId="77777777" w:rsidR="00F639AD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53ACC052" w14:textId="77777777" w:rsidR="00FD3C30" w:rsidRPr="00D941EC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2D22EEE9" w14:textId="6CA280CB" w:rsidR="00EC40EC" w:rsidRPr="00D941E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Ostatní ujednání</w:t>
      </w:r>
    </w:p>
    <w:p w14:paraId="30341B17" w14:textId="77777777" w:rsidR="00204E73" w:rsidRPr="00D941EC" w:rsidRDefault="00EC40E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Poskytovatel bere na vědomí, že objednatel je povinen </w:t>
      </w:r>
      <w:r w:rsidR="008813E0" w:rsidRPr="00D941EC">
        <w:rPr>
          <w:rFonts w:ascii="Tahoma" w:hAnsi="Tahoma" w:cs="Tahoma"/>
          <w:sz w:val="16"/>
          <w:szCs w:val="16"/>
        </w:rPr>
        <w:t xml:space="preserve">dle zákona č. 340/2015 Sb. o registru smluv </w:t>
      </w:r>
      <w:r w:rsidR="00F97739">
        <w:rPr>
          <w:rFonts w:ascii="Tahoma" w:hAnsi="Tahoma" w:cs="Tahoma"/>
          <w:sz w:val="16"/>
          <w:szCs w:val="16"/>
        </w:rPr>
        <w:t>u</w:t>
      </w:r>
      <w:r w:rsidR="008813E0" w:rsidRPr="00D941EC">
        <w:rPr>
          <w:rFonts w:ascii="Tahoma" w:hAnsi="Tahoma" w:cs="Tahoma"/>
          <w:sz w:val="16"/>
          <w:szCs w:val="16"/>
        </w:rPr>
        <w:t>veřejnit tuto smlouvu včetně případných dodatků zákonem stanoveným způsobem.</w:t>
      </w:r>
    </w:p>
    <w:p w14:paraId="5A000EE8" w14:textId="77777777" w:rsidR="00B41D69" w:rsidRPr="00D941EC" w:rsidRDefault="00B41D69" w:rsidP="00B41D69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4F48B40B" w14:textId="77777777" w:rsidR="008D2993" w:rsidRPr="00127424" w:rsidRDefault="008813E0">
      <w:pPr>
        <w:numPr>
          <w:ilvl w:val="0"/>
          <w:numId w:val="2"/>
        </w:numPr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Poskytovatel je oprávněn postoupit pohledávku vyplývající z plnění dle této smlouvy na třetí osobu pouze s předchozím písemným souhlasem nabyvatele.</w:t>
      </w:r>
      <w:r w:rsidR="00EC40EC" w:rsidRPr="00D941EC">
        <w:rPr>
          <w:rFonts w:ascii="Tahoma" w:hAnsi="Tahoma" w:cs="Tahoma"/>
          <w:sz w:val="16"/>
          <w:szCs w:val="16"/>
        </w:rPr>
        <w:t xml:space="preserve"> </w:t>
      </w:r>
    </w:p>
    <w:p w14:paraId="332FFB10" w14:textId="77777777" w:rsidR="00127424" w:rsidRPr="00127424" w:rsidRDefault="00127424" w:rsidP="00127424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52BF7252" w14:textId="77777777" w:rsidR="00127424" w:rsidRDefault="00127424">
      <w:pPr>
        <w:numPr>
          <w:ilvl w:val="0"/>
          <w:numId w:val="2"/>
        </w:numPr>
        <w:suppressAutoHyphens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>
        <w:rPr>
          <w:rFonts w:ascii="Tahoma" w:eastAsia="MS Mincho" w:hAnsi="Tahoma" w:cs="Tahoma"/>
          <w:sz w:val="16"/>
          <w:szCs w:val="16"/>
        </w:rPr>
        <w:t xml:space="preserve"> bere na vědomí, že objednatel je povinným subjektem podle zák. č. 106/1999 Sb., zákona o svobodném přístupu k informacím, ve znění pozdějších předpisů.</w:t>
      </w:r>
    </w:p>
    <w:p w14:paraId="1591A801" w14:textId="77777777" w:rsidR="00127424" w:rsidRDefault="00127424" w:rsidP="00127424">
      <w:pPr>
        <w:suppressAutoHyphens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0FE6FDA4" w14:textId="77777777" w:rsidR="00127424" w:rsidRDefault="00127424">
      <w:pPr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174E">
        <w:rPr>
          <w:rFonts w:ascii="Tahoma" w:hAnsi="Tahoma" w:cs="Tahoma"/>
          <w:sz w:val="16"/>
          <w:szCs w:val="16"/>
        </w:rPr>
        <w:t>Poskytovatel bere na vědomí, že služby poskytované dle této smlouvy nesmí být provozované na technických nebo programových prostředcích označených NÚKIB jako varování nebo hrozba.</w:t>
      </w:r>
      <w:r w:rsidR="005523B9">
        <w:rPr>
          <w:rFonts w:ascii="Tahoma" w:hAnsi="Tahoma" w:cs="Tahoma"/>
          <w:sz w:val="16"/>
          <w:szCs w:val="16"/>
        </w:rPr>
        <w:t xml:space="preserve"> </w:t>
      </w:r>
      <w:r w:rsidR="005523B9" w:rsidRPr="00D941EC">
        <w:rPr>
          <w:rFonts w:ascii="Tahoma" w:eastAsia="MS Mincho" w:hAnsi="Tahoma" w:cs="Tahoma"/>
          <w:sz w:val="16"/>
          <w:szCs w:val="16"/>
        </w:rPr>
        <w:t xml:space="preserve">V případě porušení této povinnosti je </w:t>
      </w:r>
      <w:r w:rsidR="00DE6A48">
        <w:rPr>
          <w:rFonts w:ascii="Tahoma" w:eastAsia="MS Mincho" w:hAnsi="Tahoma" w:cs="Tahoma"/>
          <w:sz w:val="16"/>
          <w:szCs w:val="16"/>
        </w:rPr>
        <w:t>objednatel</w:t>
      </w:r>
      <w:r w:rsidR="005523B9" w:rsidRPr="00D941EC">
        <w:rPr>
          <w:rFonts w:ascii="Tahoma" w:eastAsia="MS Mincho" w:hAnsi="Tahoma" w:cs="Tahoma"/>
          <w:sz w:val="16"/>
          <w:szCs w:val="16"/>
        </w:rPr>
        <w:t xml:space="preserve"> oprávněn od smlouvy</w:t>
      </w:r>
      <w:r w:rsidR="00DE6A48">
        <w:rPr>
          <w:rFonts w:ascii="Tahoma" w:eastAsia="MS Mincho" w:hAnsi="Tahoma" w:cs="Tahoma"/>
          <w:sz w:val="16"/>
          <w:szCs w:val="16"/>
        </w:rPr>
        <w:t xml:space="preserve"> </w:t>
      </w:r>
      <w:r w:rsidR="005523B9" w:rsidRPr="00D941EC">
        <w:rPr>
          <w:rFonts w:ascii="Tahoma" w:eastAsia="MS Mincho" w:hAnsi="Tahoma" w:cs="Tahoma"/>
          <w:sz w:val="16"/>
          <w:szCs w:val="16"/>
        </w:rPr>
        <w:t>odstoupit</w:t>
      </w:r>
      <w:r w:rsidR="008D1282">
        <w:rPr>
          <w:rFonts w:ascii="Tahoma" w:eastAsia="MS Mincho" w:hAnsi="Tahoma" w:cs="Tahoma"/>
          <w:sz w:val="16"/>
          <w:szCs w:val="16"/>
        </w:rPr>
        <w:t>.</w:t>
      </w:r>
    </w:p>
    <w:p w14:paraId="2B9D36CD" w14:textId="77777777" w:rsidR="00127424" w:rsidRPr="00DA174E" w:rsidRDefault="00127424" w:rsidP="00127424">
      <w:pPr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16"/>
          <w:szCs w:val="16"/>
        </w:rPr>
      </w:pPr>
    </w:p>
    <w:p w14:paraId="494C0F1E" w14:textId="77777777" w:rsidR="00127424" w:rsidRPr="00127424" w:rsidRDefault="00127424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5C7404">
        <w:rPr>
          <w:rFonts w:ascii="Tahoma" w:hAnsi="Tahoma" w:cs="Tahoma"/>
          <w:sz w:val="16"/>
          <w:szCs w:val="16"/>
        </w:rPr>
        <w:t xml:space="preserve"> se zavazuje dodržovat nařízení </w:t>
      </w:r>
      <w:r>
        <w:rPr>
          <w:rFonts w:ascii="Tahoma" w:hAnsi="Tahoma" w:cs="Tahoma"/>
          <w:sz w:val="16"/>
          <w:szCs w:val="16"/>
        </w:rPr>
        <w:t>objednatele</w:t>
      </w:r>
      <w:r w:rsidRPr="005C7404">
        <w:rPr>
          <w:rFonts w:ascii="Tahoma" w:hAnsi="Tahoma" w:cs="Tahoma"/>
          <w:sz w:val="16"/>
          <w:szCs w:val="16"/>
        </w:rPr>
        <w:t>, kterým je zakázáno kouření ve všech prostorách i plochách areálu nabyvatele s výjimkou vyhrazených míst.</w:t>
      </w:r>
    </w:p>
    <w:p w14:paraId="05ECD808" w14:textId="77777777" w:rsidR="00B41D69" w:rsidRPr="00D941EC" w:rsidRDefault="00B41D69" w:rsidP="00127424">
      <w:pPr>
        <w:pStyle w:val="Odstavecseseznamem"/>
        <w:ind w:left="0"/>
        <w:rPr>
          <w:rFonts w:ascii="Tahoma" w:eastAsia="MS Mincho" w:hAnsi="Tahoma" w:cs="Tahoma"/>
          <w:sz w:val="16"/>
          <w:szCs w:val="16"/>
        </w:rPr>
      </w:pPr>
    </w:p>
    <w:p w14:paraId="6A284E1F" w14:textId="5E7C7CC2" w:rsidR="00EC40EC" w:rsidRPr="00D941EC" w:rsidRDefault="00EC40EC">
      <w:pPr>
        <w:numPr>
          <w:ilvl w:val="0"/>
          <w:numId w:val="2"/>
        </w:numPr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zadavateli či třetím osobám při výkonu podnikatelské činnosti, která je předmětem této smlouvy, s limitem pojistného plnění v minimální výši </w:t>
      </w:r>
      <w:r w:rsidR="00204E73" w:rsidRPr="00D941EC">
        <w:rPr>
          <w:rFonts w:ascii="Tahoma" w:eastAsia="MS Mincho" w:hAnsi="Tahoma" w:cs="Tahoma"/>
          <w:sz w:val="16"/>
          <w:szCs w:val="16"/>
        </w:rPr>
        <w:t>1</w:t>
      </w:r>
      <w:r w:rsidR="00064F0F">
        <w:rPr>
          <w:rFonts w:ascii="Tahoma" w:eastAsia="MS Mincho" w:hAnsi="Tahoma" w:cs="Tahoma"/>
          <w:sz w:val="16"/>
          <w:szCs w:val="16"/>
        </w:rPr>
        <w:t>0</w:t>
      </w:r>
      <w:r w:rsidR="00204E73" w:rsidRPr="00D941EC">
        <w:rPr>
          <w:rFonts w:ascii="Tahoma" w:eastAsia="MS Mincho" w:hAnsi="Tahoma" w:cs="Tahoma"/>
          <w:sz w:val="16"/>
          <w:szCs w:val="16"/>
        </w:rPr>
        <w:t>.0</w:t>
      </w:r>
      <w:r w:rsidR="007625CC" w:rsidRPr="00D941EC">
        <w:rPr>
          <w:rFonts w:ascii="Tahoma" w:eastAsia="MS Mincho" w:hAnsi="Tahoma" w:cs="Tahoma"/>
          <w:sz w:val="16"/>
          <w:szCs w:val="16"/>
        </w:rPr>
        <w:t>00</w:t>
      </w:r>
      <w:r w:rsidR="00204E73" w:rsidRPr="00D941EC">
        <w:rPr>
          <w:rFonts w:ascii="Tahoma" w:eastAsia="MS Mincho" w:hAnsi="Tahoma" w:cs="Tahoma"/>
          <w:sz w:val="16"/>
          <w:szCs w:val="16"/>
        </w:rPr>
        <w:t>.</w:t>
      </w:r>
      <w:r w:rsidR="007625CC" w:rsidRPr="00D941EC">
        <w:rPr>
          <w:rFonts w:ascii="Tahoma" w:eastAsia="MS Mincho" w:hAnsi="Tahoma" w:cs="Tahoma"/>
          <w:sz w:val="16"/>
          <w:szCs w:val="16"/>
        </w:rPr>
        <w:t xml:space="preserve">000 </w:t>
      </w:r>
      <w:r w:rsidRPr="00D941EC">
        <w:rPr>
          <w:rFonts w:ascii="Tahoma" w:eastAsia="MS Mincho" w:hAnsi="Tahoma" w:cs="Tahoma"/>
          <w:sz w:val="16"/>
          <w:szCs w:val="16"/>
        </w:rPr>
        <w:t>Kč.</w:t>
      </w:r>
    </w:p>
    <w:p w14:paraId="2749E357" w14:textId="77777777" w:rsidR="00B41D69" w:rsidRPr="00D941EC" w:rsidRDefault="00B41D69" w:rsidP="00B41D69">
      <w:pPr>
        <w:pStyle w:val="Odstavecseseznamem"/>
        <w:rPr>
          <w:rFonts w:ascii="Tahoma" w:eastAsia="MS Mincho" w:hAnsi="Tahoma" w:cs="Tahoma"/>
          <w:sz w:val="16"/>
          <w:szCs w:val="16"/>
        </w:rPr>
      </w:pPr>
    </w:p>
    <w:p w14:paraId="58A33F8B" w14:textId="6F82497B" w:rsidR="00EC40EC" w:rsidRPr="005853A9" w:rsidRDefault="00EC40E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 </w:t>
      </w:r>
      <w:r w:rsidRPr="00D941EC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 w:rsidRPr="00D941EC">
        <w:rPr>
          <w:rFonts w:ascii="Tahoma" w:eastAsia="MS Mincho" w:hAnsi="Tahoma" w:cs="Tahoma"/>
          <w:sz w:val="16"/>
          <w:szCs w:val="16"/>
        </w:rPr>
        <w:t xml:space="preserve">je poskytovatel povinen předložit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 w:rsidRPr="00D941EC">
        <w:rPr>
          <w:rFonts w:ascii="Tahoma" w:eastAsia="MS Mincho" w:hAnsi="Tahoma" w:cs="Tahoma"/>
          <w:sz w:val="16"/>
          <w:szCs w:val="16"/>
        </w:rPr>
        <w:t xml:space="preserve">dokumenty prokazující, že pojištění v požadovaném rozsahu a výši trvá. Pokud by v důsledku pojistného plnění nebo jiné události mělo dojít k zániku </w:t>
      </w:r>
      <w:r w:rsidR="006D750B">
        <w:rPr>
          <w:rFonts w:ascii="Tahoma" w:eastAsia="MS Mincho" w:hAnsi="Tahoma" w:cs="Tahoma"/>
          <w:sz w:val="16"/>
          <w:szCs w:val="16"/>
        </w:rPr>
        <w:t>pojištění</w:t>
      </w:r>
      <w:r w:rsidRPr="00D941EC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D750B">
        <w:rPr>
          <w:rFonts w:ascii="Tahoma" w:eastAsia="MS Mincho" w:hAnsi="Tahoma" w:cs="Tahoma"/>
          <w:sz w:val="16"/>
          <w:szCs w:val="16"/>
        </w:rPr>
        <w:t>plnění</w:t>
      </w:r>
      <w:r w:rsidRPr="00D941EC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09C9A784" w14:textId="77777777" w:rsidR="005853A9" w:rsidRDefault="005853A9" w:rsidP="005853A9">
      <w:pPr>
        <w:pStyle w:val="Odstavecseseznamem"/>
        <w:rPr>
          <w:rFonts w:ascii="Tahoma" w:hAnsi="Tahoma" w:cs="Tahoma"/>
          <w:sz w:val="16"/>
          <w:szCs w:val="16"/>
        </w:rPr>
      </w:pPr>
    </w:p>
    <w:p w14:paraId="182C3BA3" w14:textId="7449F708" w:rsidR="005853A9" w:rsidRPr="00D941EC" w:rsidRDefault="005853A9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Poskytovatel se zavazuje, že při poskytování předmětu plnění této smlouvy, nedojde k žádnému porušení licenčních podmínek výrobce HP zařízení </w:t>
      </w:r>
      <w:r w:rsidR="00BD0641">
        <w:rPr>
          <w:rFonts w:ascii="Tahoma" w:hAnsi="Tahoma" w:cs="Tahoma"/>
          <w:sz w:val="16"/>
          <w:szCs w:val="16"/>
        </w:rPr>
        <w:t xml:space="preserve">nebo </w:t>
      </w:r>
      <w:r w:rsidR="00B50444">
        <w:rPr>
          <w:rFonts w:ascii="Tahoma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73F89708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22C6FE4D" w14:textId="77777777" w:rsidR="000F59B3" w:rsidRPr="00D941EC" w:rsidRDefault="000F59B3" w:rsidP="005F690C">
      <w:pPr>
        <w:rPr>
          <w:rFonts w:ascii="Tahoma" w:hAnsi="Tahoma" w:cs="Tahoma"/>
          <w:sz w:val="16"/>
          <w:szCs w:val="16"/>
        </w:rPr>
      </w:pPr>
    </w:p>
    <w:p w14:paraId="486405EE" w14:textId="14667783" w:rsidR="00EC40EC" w:rsidRPr="00D941EC" w:rsidRDefault="00B41D69" w:rsidP="00B7581F">
      <w:pPr>
        <w:pStyle w:val="SSlnek"/>
        <w:spacing w:before="0"/>
        <w:ind w:hanging="5322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Závěrečná ujednání</w:t>
      </w:r>
    </w:p>
    <w:p w14:paraId="4044475D" w14:textId="77777777" w:rsidR="00F639AD" w:rsidRPr="00D941EC" w:rsidRDefault="00F639AD" w:rsidP="00327B97">
      <w:pPr>
        <w:jc w:val="both"/>
        <w:rPr>
          <w:rFonts w:ascii="Tahoma" w:hAnsi="Tahoma" w:cs="Tahoma"/>
          <w:sz w:val="16"/>
          <w:szCs w:val="16"/>
        </w:rPr>
      </w:pPr>
    </w:p>
    <w:p w14:paraId="167294B4" w14:textId="6BB54782" w:rsidR="00EC40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43D4BE37" w14:textId="77777777" w:rsidR="00AF63BD" w:rsidRDefault="00AF63BD" w:rsidP="00AF63BD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24852876" w14:textId="748B5AEB" w:rsidR="00931B74" w:rsidRDefault="00931B74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nabývá platnosti podpisem smluvních stran a účinností uveřejněním v registru smluv.</w:t>
      </w:r>
    </w:p>
    <w:p w14:paraId="44BF6FAB" w14:textId="77777777" w:rsidR="00FD3C30" w:rsidRPr="00D941EC" w:rsidRDefault="00FD3C30" w:rsidP="00FD3C30">
      <w:pPr>
        <w:jc w:val="both"/>
        <w:rPr>
          <w:rFonts w:ascii="Tahoma" w:hAnsi="Tahoma" w:cs="Tahoma"/>
          <w:sz w:val="16"/>
          <w:szCs w:val="16"/>
        </w:rPr>
      </w:pPr>
    </w:p>
    <w:p w14:paraId="7F2BC863" w14:textId="77777777" w:rsidR="00EC40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</w:t>
      </w:r>
      <w:r w:rsidR="0074047A">
        <w:rPr>
          <w:rFonts w:ascii="Tahoma" w:hAnsi="Tahoma" w:cs="Tahoma"/>
          <w:sz w:val="16"/>
          <w:szCs w:val="16"/>
        </w:rPr>
        <w:t> </w:t>
      </w:r>
      <w:r w:rsidRPr="00D941EC">
        <w:rPr>
          <w:rFonts w:ascii="Tahoma" w:hAnsi="Tahoma" w:cs="Tahoma"/>
          <w:sz w:val="16"/>
          <w:szCs w:val="16"/>
        </w:rPr>
        <w:t>vyhotovení jsou rovnocenná a mají platnost originálu.</w:t>
      </w:r>
    </w:p>
    <w:p w14:paraId="4DB372ED" w14:textId="77777777" w:rsidR="00FD3C30" w:rsidRDefault="00FD3C30" w:rsidP="00FD3C30">
      <w:pPr>
        <w:pStyle w:val="Odstavecseseznamem"/>
        <w:rPr>
          <w:rFonts w:ascii="Tahoma" w:hAnsi="Tahoma" w:cs="Tahoma"/>
          <w:sz w:val="16"/>
          <w:szCs w:val="16"/>
        </w:rPr>
      </w:pPr>
    </w:p>
    <w:p w14:paraId="784CDCC3" w14:textId="77777777" w:rsidR="00EC40EC" w:rsidRPr="00D941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37BE2FE8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1640B5EB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4B8FBBA8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641EFA37" w14:textId="77777777" w:rsidR="00EC40EC" w:rsidRPr="00D941E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 Praze dne:</w:t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  <w:t xml:space="preserve">V </w:t>
      </w:r>
      <w:r w:rsidR="00A07684" w:rsidRPr="00D941EC">
        <w:rPr>
          <w:rFonts w:ascii="Tahoma" w:hAnsi="Tahoma" w:cs="Tahoma"/>
          <w:sz w:val="16"/>
          <w:szCs w:val="16"/>
        </w:rPr>
        <w:t>Praze</w:t>
      </w:r>
      <w:r w:rsidRPr="00D941EC">
        <w:rPr>
          <w:rFonts w:ascii="Tahoma" w:hAnsi="Tahoma" w:cs="Tahoma"/>
          <w:sz w:val="16"/>
          <w:szCs w:val="16"/>
        </w:rPr>
        <w:t xml:space="preserve"> dne:</w:t>
      </w:r>
      <w:r w:rsidR="00454C55" w:rsidRPr="00D941EC">
        <w:rPr>
          <w:rFonts w:ascii="Tahoma" w:hAnsi="Tahoma" w:cs="Tahoma"/>
          <w:sz w:val="16"/>
          <w:szCs w:val="16"/>
        </w:rPr>
        <w:t xml:space="preserve"> </w:t>
      </w:r>
    </w:p>
    <w:p w14:paraId="1371F63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5FE39A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54F56CB7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6588E28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528106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2CC3FB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675750" w14:textId="77777777" w:rsidR="00EC40EC" w:rsidRPr="00D941E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------------------------------------------------------------------                        </w:t>
      </w:r>
      <w:r w:rsidRPr="00D941EC">
        <w:rPr>
          <w:rFonts w:ascii="Tahoma" w:hAnsi="Tahoma" w:cs="Tahoma"/>
          <w:sz w:val="16"/>
          <w:szCs w:val="16"/>
        </w:rPr>
        <w:tab/>
        <w:t xml:space="preserve">---------------------------------------------------- </w:t>
      </w:r>
    </w:p>
    <w:p w14:paraId="058D7DE5" w14:textId="0E6AE1E7" w:rsidR="00EC40EC" w:rsidRPr="00D941EC" w:rsidRDefault="000F0967" w:rsidP="00DC224D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David Feltl, Ph.D., MBA</w:t>
      </w:r>
      <w:r w:rsidR="00EC40EC" w:rsidRPr="00D941EC">
        <w:rPr>
          <w:rFonts w:ascii="Tahoma" w:hAnsi="Tahoma" w:cs="Tahoma"/>
          <w:sz w:val="16"/>
          <w:szCs w:val="16"/>
        </w:rPr>
        <w:t xml:space="preserve">                                                      </w:t>
      </w:r>
      <w:r w:rsidR="00A07684" w:rsidRPr="00D941EC">
        <w:rPr>
          <w:rFonts w:ascii="Tahoma" w:hAnsi="Tahoma" w:cs="Tahoma"/>
          <w:sz w:val="16"/>
          <w:szCs w:val="16"/>
        </w:rPr>
        <w:tab/>
      </w:r>
      <w:r w:rsidR="00756B5B">
        <w:rPr>
          <w:rFonts w:ascii="Tahoma" w:hAnsi="Tahoma" w:cs="Tahoma"/>
          <w:sz w:val="16"/>
          <w:szCs w:val="16"/>
        </w:rPr>
        <w:t>Tomáš Hauzner</w:t>
      </w:r>
    </w:p>
    <w:p w14:paraId="202367E6" w14:textId="1E97C88A" w:rsidR="00EC40EC" w:rsidRPr="00D941EC" w:rsidRDefault="000F0967" w:rsidP="005F690C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ředitel</w:t>
      </w:r>
      <w:r w:rsidR="00EC40EC" w:rsidRPr="00D941EC">
        <w:rPr>
          <w:rFonts w:ascii="Tahoma" w:hAnsi="Tahoma" w:cs="Tahoma"/>
          <w:sz w:val="16"/>
          <w:szCs w:val="16"/>
        </w:rPr>
        <w:t xml:space="preserve"> </w:t>
      </w:r>
      <w:r w:rsidR="001144CE">
        <w:rPr>
          <w:rFonts w:ascii="Tahoma" w:hAnsi="Tahoma" w:cs="Tahoma"/>
          <w:sz w:val="16"/>
          <w:szCs w:val="16"/>
        </w:rPr>
        <w:tab/>
      </w:r>
      <w:r w:rsidR="001144CE">
        <w:rPr>
          <w:rFonts w:ascii="Tahoma" w:hAnsi="Tahoma" w:cs="Tahoma"/>
          <w:sz w:val="16"/>
          <w:szCs w:val="16"/>
        </w:rPr>
        <w:tab/>
      </w:r>
      <w:r w:rsidR="001144CE">
        <w:rPr>
          <w:rFonts w:ascii="Tahoma" w:hAnsi="Tahoma" w:cs="Tahoma"/>
          <w:sz w:val="16"/>
          <w:szCs w:val="16"/>
        </w:rPr>
        <w:tab/>
      </w:r>
      <w:r w:rsidR="001144CE">
        <w:rPr>
          <w:rFonts w:ascii="Tahoma" w:hAnsi="Tahoma" w:cs="Tahoma"/>
          <w:sz w:val="16"/>
          <w:szCs w:val="16"/>
        </w:rPr>
        <w:tab/>
      </w:r>
      <w:r w:rsidR="00EC40EC" w:rsidRPr="00D941EC">
        <w:rPr>
          <w:rFonts w:ascii="Tahoma" w:hAnsi="Tahoma" w:cs="Tahoma"/>
          <w:sz w:val="16"/>
          <w:szCs w:val="16"/>
        </w:rPr>
        <w:t xml:space="preserve">                              </w:t>
      </w:r>
      <w:r w:rsidR="00756B5B">
        <w:rPr>
          <w:rFonts w:ascii="Tahoma" w:hAnsi="Tahoma" w:cs="Tahoma"/>
          <w:sz w:val="16"/>
          <w:szCs w:val="16"/>
        </w:rPr>
        <w:tab/>
      </w:r>
      <w:r w:rsidR="00756B5B">
        <w:rPr>
          <w:rFonts w:ascii="Tahoma" w:hAnsi="Tahoma" w:cs="Tahoma"/>
          <w:sz w:val="16"/>
          <w:szCs w:val="16"/>
        </w:rPr>
        <w:tab/>
        <w:t>jednatel</w:t>
      </w:r>
    </w:p>
    <w:p w14:paraId="0955B4C1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8040D8E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0E88D855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2DFDCE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129F08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Přílohy:</w:t>
      </w:r>
    </w:p>
    <w:p w14:paraId="1078EE5C" w14:textId="23F5E1BC" w:rsidR="00A050EE" w:rsidRDefault="00A050EE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Přílo</w:t>
      </w:r>
      <w:r w:rsidR="00454C55" w:rsidRPr="00D941EC">
        <w:rPr>
          <w:rFonts w:ascii="Tahoma" w:hAnsi="Tahoma" w:cs="Tahoma"/>
          <w:sz w:val="16"/>
          <w:szCs w:val="16"/>
        </w:rPr>
        <w:t xml:space="preserve">ha č. </w:t>
      </w:r>
      <w:r w:rsidR="00A34322">
        <w:rPr>
          <w:rFonts w:ascii="Tahoma" w:hAnsi="Tahoma" w:cs="Tahoma"/>
          <w:sz w:val="16"/>
          <w:szCs w:val="16"/>
        </w:rPr>
        <w:t>1</w:t>
      </w:r>
      <w:r w:rsidR="00454C55" w:rsidRPr="00D941EC">
        <w:rPr>
          <w:rFonts w:ascii="Tahoma" w:hAnsi="Tahoma" w:cs="Tahoma"/>
          <w:sz w:val="16"/>
          <w:szCs w:val="16"/>
        </w:rPr>
        <w:t xml:space="preserve"> – Položkový ceník </w:t>
      </w:r>
      <w:r w:rsidR="003A6A11">
        <w:rPr>
          <w:rFonts w:ascii="Tahoma" w:hAnsi="Tahoma" w:cs="Tahoma"/>
          <w:sz w:val="16"/>
          <w:szCs w:val="16"/>
        </w:rPr>
        <w:t>– Cenová kalkulace</w:t>
      </w:r>
      <w:r w:rsidR="007B38EB">
        <w:rPr>
          <w:rFonts w:ascii="Tahoma" w:hAnsi="Tahoma" w:cs="Tahoma"/>
          <w:sz w:val="16"/>
          <w:szCs w:val="16"/>
        </w:rPr>
        <w:t xml:space="preserve"> </w:t>
      </w:r>
    </w:p>
    <w:p w14:paraId="0A5CE68A" w14:textId="2AE1A16B" w:rsidR="003319DA" w:rsidRDefault="003319DA" w:rsidP="005F690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</w:t>
      </w:r>
      <w:r w:rsidR="00A34322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 xml:space="preserve"> – Rozložení plateb za jednotlivá čtvrtletí </w:t>
      </w:r>
      <w:r w:rsidR="004A13DB">
        <w:rPr>
          <w:rFonts w:ascii="Tahoma" w:hAnsi="Tahoma" w:cs="Tahoma"/>
          <w:sz w:val="16"/>
          <w:szCs w:val="16"/>
        </w:rPr>
        <w:t>včetně r</w:t>
      </w:r>
      <w:r w:rsidR="0093346F">
        <w:rPr>
          <w:rFonts w:ascii="Tahoma" w:hAnsi="Tahoma" w:cs="Tahoma"/>
          <w:sz w:val="16"/>
          <w:szCs w:val="16"/>
        </w:rPr>
        <w:t>ozpis</w:t>
      </w:r>
      <w:r w:rsidR="004A13DB">
        <w:rPr>
          <w:rFonts w:ascii="Tahoma" w:hAnsi="Tahoma" w:cs="Tahoma"/>
          <w:sz w:val="16"/>
          <w:szCs w:val="16"/>
        </w:rPr>
        <w:t>u</w:t>
      </w:r>
      <w:r w:rsidR="0093346F">
        <w:rPr>
          <w:rFonts w:ascii="Tahoma" w:hAnsi="Tahoma" w:cs="Tahoma"/>
          <w:sz w:val="16"/>
          <w:szCs w:val="16"/>
        </w:rPr>
        <w:t xml:space="preserve"> měsíčního plnění za jednotlivá zařízení </w:t>
      </w:r>
    </w:p>
    <w:p w14:paraId="2904E891" w14:textId="60F7F6A3" w:rsidR="00BB1A86" w:rsidRPr="005F690C" w:rsidRDefault="00BB1A86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Příloha č. </w:t>
      </w:r>
      <w:r w:rsidR="00A34322">
        <w:rPr>
          <w:rFonts w:ascii="Tahoma" w:hAnsi="Tahoma" w:cs="Tahoma"/>
          <w:sz w:val="16"/>
          <w:szCs w:val="16"/>
        </w:rPr>
        <w:t>3</w:t>
      </w:r>
      <w:r w:rsidRPr="00D941EC">
        <w:rPr>
          <w:rFonts w:ascii="Tahoma" w:hAnsi="Tahoma" w:cs="Tahoma"/>
          <w:sz w:val="16"/>
          <w:szCs w:val="16"/>
        </w:rPr>
        <w:t xml:space="preserve"> – Seznam oprávněných osob</w:t>
      </w:r>
      <w:r w:rsidR="008A3B67">
        <w:rPr>
          <w:rFonts w:ascii="Tahoma" w:hAnsi="Tahoma" w:cs="Tahoma"/>
          <w:sz w:val="16"/>
          <w:szCs w:val="16"/>
        </w:rPr>
        <w:t xml:space="preserve"> </w:t>
      </w:r>
    </w:p>
    <w:p w14:paraId="3C5AD180" w14:textId="759D7C3B" w:rsidR="00A53CC4" w:rsidRPr="00327830" w:rsidRDefault="00A53CC4" w:rsidP="00A53CC4">
      <w:pPr>
        <w:jc w:val="both"/>
        <w:rPr>
          <w:rFonts w:ascii="Tahoma" w:hAnsi="Tahoma" w:cs="Tahoma"/>
          <w:sz w:val="16"/>
          <w:szCs w:val="16"/>
        </w:rPr>
      </w:pPr>
      <w:r w:rsidRPr="00327830">
        <w:rPr>
          <w:rFonts w:ascii="Tahoma" w:hAnsi="Tahoma" w:cs="Tahoma"/>
          <w:sz w:val="16"/>
          <w:szCs w:val="16"/>
        </w:rPr>
        <w:t xml:space="preserve">Příloha č. </w:t>
      </w:r>
      <w:r w:rsidR="00A34322">
        <w:rPr>
          <w:rFonts w:ascii="Tahoma" w:hAnsi="Tahoma" w:cs="Tahoma"/>
          <w:sz w:val="16"/>
          <w:szCs w:val="16"/>
        </w:rPr>
        <w:t>4</w:t>
      </w:r>
      <w:r w:rsidRPr="00327830">
        <w:rPr>
          <w:rFonts w:ascii="Tahoma" w:hAnsi="Tahoma" w:cs="Tahoma"/>
          <w:sz w:val="16"/>
          <w:szCs w:val="16"/>
        </w:rPr>
        <w:t xml:space="preserve"> - Požadavky systému řízení bezpečnosti informací na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</w:p>
    <w:p w14:paraId="0C349C61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595FDE39" w14:textId="77777777" w:rsidR="00A42CF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4DDD1842" w14:textId="77777777" w:rsidR="00D64BCA" w:rsidRDefault="00D64BCA" w:rsidP="005F690C">
      <w:pPr>
        <w:jc w:val="both"/>
        <w:rPr>
          <w:rFonts w:ascii="Tahoma" w:hAnsi="Tahoma" w:cs="Tahoma"/>
          <w:sz w:val="16"/>
          <w:szCs w:val="16"/>
        </w:rPr>
      </w:pPr>
    </w:p>
    <w:p w14:paraId="35F876DE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074D8C9C" w14:textId="77777777" w:rsidR="00E50A87" w:rsidRDefault="00FD3C30" w:rsidP="005F690C">
      <w:pPr>
        <w:jc w:val="both"/>
        <w:rPr>
          <w:rFonts w:ascii="Tahoma" w:hAnsi="Tahoma" w:cs="Tahoma"/>
          <w:sz w:val="16"/>
          <w:szCs w:val="16"/>
        </w:rPr>
        <w:sectPr w:rsidR="00E50A87" w:rsidSect="007A14A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 w:charSpace="40960"/>
        </w:sectPr>
      </w:pPr>
      <w:r>
        <w:rPr>
          <w:rFonts w:ascii="Tahoma" w:hAnsi="Tahoma" w:cs="Tahoma"/>
          <w:sz w:val="16"/>
          <w:szCs w:val="16"/>
        </w:rPr>
        <w:br w:type="page"/>
      </w:r>
    </w:p>
    <w:p w14:paraId="12552135" w14:textId="0B3C50D6" w:rsidR="00823889" w:rsidRDefault="0082388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0758D9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 w:rsidRPr="00DC224D">
        <w:rPr>
          <w:rFonts w:ascii="Calibri" w:hAnsi="Calibri" w:cs="Calibri"/>
          <w:b w:val="0"/>
          <w:bCs/>
          <w:sz w:val="22"/>
          <w:szCs w:val="22"/>
        </w:rPr>
        <w:t xml:space="preserve">Položkový ceník – cenová kalkulace </w:t>
      </w:r>
    </w:p>
    <w:p w14:paraId="2ADC3A8B" w14:textId="77777777" w:rsidR="004D14EF" w:rsidRDefault="004D14EF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</w:p>
    <w:tbl>
      <w:tblPr>
        <w:tblW w:w="521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261"/>
        <w:gridCol w:w="3258"/>
        <w:gridCol w:w="2128"/>
        <w:gridCol w:w="1328"/>
        <w:gridCol w:w="1241"/>
        <w:gridCol w:w="409"/>
        <w:gridCol w:w="1845"/>
        <w:gridCol w:w="2408"/>
      </w:tblGrid>
      <w:tr w:rsidR="00301C51" w:rsidRPr="00244FB3" w14:paraId="48770993" w14:textId="77777777" w:rsidTr="00A8542C">
        <w:trPr>
          <w:trHeight w:val="14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AD453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Položka číslo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059AF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Seriál Number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D46C6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Název zařízení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0D63F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Požadovaná úroveň služby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81132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Konec stávající podpory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6AA1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Délka požadovaného prodloužení záruky výrobce HP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F768E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Ks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41E25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Jednotková cena               bez DPH (Kč)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55552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Celková cena                    bez DPH (Kč)</w:t>
            </w:r>
          </w:p>
        </w:tc>
      </w:tr>
      <w:tr w:rsidR="00B3667B" w:rsidRPr="00244FB3" w14:paraId="4914392F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DA1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91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CZ265000W6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820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BL460c Gen9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37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9F5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608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C6D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489" w14:textId="2790E81C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29 016,00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E0A" w14:textId="16DF04C6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29 016,00 Kč </w:t>
            </w:r>
          </w:p>
        </w:tc>
      </w:tr>
      <w:tr w:rsidR="00B3667B" w:rsidRPr="00244FB3" w14:paraId="1BF7A454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8B7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9C0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CZ3242YLM9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959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BL460c Gen 8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09ED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6D6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C23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DA0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34D5" w14:textId="59B79951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19 020,00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3D4" w14:textId="4CE64B99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19 020,00 Kč </w:t>
            </w:r>
          </w:p>
        </w:tc>
      </w:tr>
      <w:tr w:rsidR="00B3667B" w:rsidRPr="00244FB3" w14:paraId="64BC1199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9B8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B18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CZ3242YLM5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ADA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BL460c Gen 8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C9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398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B48A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CF33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B2CB" w14:textId="23D01826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19 020,00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25D" w14:textId="5457DF65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19 020,00 Kč </w:t>
            </w:r>
          </w:p>
        </w:tc>
      </w:tr>
      <w:tr w:rsidR="00B3667B" w:rsidRPr="00244FB3" w14:paraId="709F683B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64B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A73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CZ3242YLLL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841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HP BLc7000 CTO 3 IN LCD ROHS Encl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D70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7188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896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3CD0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707" w14:textId="181241FD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33 000,00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B9D" w14:textId="62633400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33 000,00 Kč </w:t>
            </w:r>
          </w:p>
        </w:tc>
      </w:tr>
      <w:tr w:rsidR="00B3667B" w:rsidRPr="00244FB3" w14:paraId="14C68905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833D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92E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3C423400BK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64A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HP VC Flex-10 Enet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4F1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EFF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453D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9FB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D57" w14:textId="2485E28A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9D34" w14:textId="12ECC46F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           -   Kč </w:t>
            </w:r>
          </w:p>
        </w:tc>
      </w:tr>
      <w:tr w:rsidR="00B3667B" w:rsidRPr="00244FB3" w14:paraId="481517B9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FFA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5547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3C423400GH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4E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HP VC Flex-10 Enet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68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EF7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3D3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681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5F8" w14:textId="364D1527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9EC" w14:textId="69D20D5C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           -   Kč </w:t>
            </w:r>
          </w:p>
        </w:tc>
      </w:tr>
      <w:tr w:rsidR="00B3667B" w:rsidRPr="00244FB3" w14:paraId="413A6E2F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EEA5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2FF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CN8236D00B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F9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HP VC 8Gb 24-Port FC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333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093B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DDC6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B765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597" w14:textId="45869BFC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8A9" w14:textId="1BE883C5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           -   Kč </w:t>
            </w:r>
          </w:p>
        </w:tc>
      </w:tr>
      <w:tr w:rsidR="00B3667B" w:rsidRPr="00244FB3" w14:paraId="10025557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566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293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CN8238D04A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197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HP VC 8Gb 24-Port FC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E4C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92D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AEF2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D76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FA6" w14:textId="0DADE156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0D98" w14:textId="39C53DC0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           -   Kč </w:t>
            </w:r>
          </w:p>
        </w:tc>
      </w:tr>
      <w:tr w:rsidR="00B3667B" w:rsidRPr="00244FB3" w14:paraId="307050C2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B45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689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7C964600PD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91F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HP VC FlexFabric-20/40 F8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DC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1A9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3E0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3AF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9F7" w14:textId="2488719B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10 044,00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6F5" w14:textId="0943BC8B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10 044,00 Kč </w:t>
            </w:r>
          </w:p>
        </w:tc>
      </w:tr>
      <w:tr w:rsidR="00B3667B" w:rsidRPr="00244FB3" w14:paraId="1BB21F42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E74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B90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7C964600PH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FB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HP VC FlexFabric-20/40 F8 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BAD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0A3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8E2C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979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87A" w14:textId="7E1C9557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10 044,00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224" w14:textId="17D6D6A4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10 044,00 Kč </w:t>
            </w:r>
          </w:p>
        </w:tc>
      </w:tr>
      <w:tr w:rsidR="00B3667B" w:rsidRPr="00244FB3" w14:paraId="1C494504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8F3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12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CZJ5460B99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F74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DL380 Gen9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265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A94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C152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1C83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B07F" w14:textId="7D87DEFD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51 036,00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8FC" w14:textId="09FF6FCF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51 036,00 Kč </w:t>
            </w:r>
          </w:p>
        </w:tc>
      </w:tr>
      <w:tr w:rsidR="00B3667B" w:rsidRPr="00244FB3" w14:paraId="397CE395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5949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D27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CZJ5460B9B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5D85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DL380 Gen9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94A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9720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E25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AE9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2B3" w14:textId="366F624E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51 036,00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0E06" w14:textId="2E11067A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51 036,00 Kč </w:t>
            </w:r>
          </w:p>
        </w:tc>
      </w:tr>
      <w:tr w:rsidR="00B3667B" w:rsidRPr="00244FB3" w14:paraId="4D43C000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816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60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2S6536B427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0665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MSA 2040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519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1B3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AB0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9E5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EFA" w14:textId="4B6524A0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26 052,00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5F2C" w14:textId="2B0C8772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26 052,00 Kč </w:t>
            </w:r>
          </w:p>
        </w:tc>
      </w:tr>
      <w:tr w:rsidR="00B3667B" w:rsidRPr="00244FB3" w14:paraId="4CC6E120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F80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0A0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2S6536B419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CC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MSA 2040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8D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F4D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3F5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28EE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EDA7" w14:textId="27AA4990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26 052,00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0C8B" w14:textId="64A9860C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26 052,00 Kč </w:t>
            </w:r>
          </w:p>
        </w:tc>
      </w:tr>
      <w:tr w:rsidR="00B3667B" w:rsidRPr="00244FB3" w14:paraId="312140F0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E0C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889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CZC539ULGJ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FC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 8/24 Base SAN Switch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3F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014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5B1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0CD4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FF93" w14:textId="4A8E121C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5 088,00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D16" w14:textId="5110D774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5 088,00 Kč </w:t>
            </w:r>
          </w:p>
        </w:tc>
      </w:tr>
      <w:tr w:rsidR="00B3667B" w:rsidRPr="00244FB3" w14:paraId="28C7A5C0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F6A6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8B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CZC540ULJH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7CDB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 8/24 Base SAN Switch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15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488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D6B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B90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70C" w14:textId="70E66137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5 088,00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68FE" w14:textId="2E9638D4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   5 088,00 Kč </w:t>
            </w:r>
          </w:p>
        </w:tc>
      </w:tr>
      <w:tr w:rsidR="00B3667B" w:rsidRPr="00244FB3" w14:paraId="5CBC81B7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98D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EB0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181E1D"/>
                <w:kern w:val="0"/>
                <w:lang w:eastAsia="cs-CZ"/>
              </w:rPr>
              <w:t>CZ3843GXR3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ACB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181E1D"/>
                <w:kern w:val="0"/>
                <w:lang w:eastAsia="cs-CZ"/>
              </w:rPr>
              <w:t>HPE DL380 Gen10 24SFF CTO Server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37E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64B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01.11.2023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2398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487A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405" w14:textId="5A8EBED8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68 026,00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BA65" w14:textId="72906771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68 026,00 Kč </w:t>
            </w:r>
          </w:p>
        </w:tc>
      </w:tr>
      <w:tr w:rsidR="00B3667B" w:rsidRPr="00244FB3" w14:paraId="0AB86492" w14:textId="77777777" w:rsidTr="003C25A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3F31" w14:textId="77777777" w:rsidR="00B3667B" w:rsidRPr="00244FB3" w:rsidRDefault="00B3667B" w:rsidP="00B3667B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kern w:val="0"/>
                <w:lang w:eastAsia="cs-CZ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225A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181E1D"/>
                <w:kern w:val="0"/>
                <w:lang w:eastAsia="cs-CZ"/>
              </w:rPr>
              <w:t>CZJ933055X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196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181E1D"/>
                <w:kern w:val="0"/>
                <w:lang w:eastAsia="cs-CZ"/>
              </w:rPr>
              <w:t>HPE DL360 Gen10 8SFF CTO Server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7A2" w14:textId="77777777" w:rsidR="00B3667B" w:rsidRPr="00244FB3" w:rsidRDefault="00B3667B" w:rsidP="00B3667B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7E9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26.08.2023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91E" w14:textId="77777777" w:rsidR="00B3667B" w:rsidRPr="00244FB3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54B7" w14:textId="77777777" w:rsidR="00B3667B" w:rsidRPr="00244FB3" w:rsidRDefault="00B3667B" w:rsidP="00B3667B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244FB3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A888" w14:textId="4CDF7853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48 080,00 Kč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17C9" w14:textId="155F26C4" w:rsidR="00B3667B" w:rsidRPr="00B3667B" w:rsidRDefault="00B3667B" w:rsidP="00B3667B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B3667B">
              <w:rPr>
                <w:rFonts w:ascii="Calibri" w:hAnsi="Calibri" w:cs="Calibri"/>
                <w:color w:val="000000"/>
              </w:rPr>
              <w:t xml:space="preserve">                          48 080,00 Kč </w:t>
            </w:r>
          </w:p>
        </w:tc>
      </w:tr>
      <w:tr w:rsidR="00301C51" w:rsidRPr="00244FB3" w14:paraId="6E320C70" w14:textId="77777777" w:rsidTr="00A8542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F6F3C1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F20E3A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189C1D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29E498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336FD1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555B2D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997944E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14EB3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5051E" w14:textId="2963F83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 xml:space="preserve">               4</w:t>
            </w:r>
            <w:r w:rsidR="006F55BB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00</w:t>
            </w: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 xml:space="preserve"> </w:t>
            </w:r>
            <w:r w:rsidR="008363C5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602</w:t>
            </w:r>
            <w:r w:rsidRPr="00244FB3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 xml:space="preserve">,00 Kč </w:t>
            </w:r>
          </w:p>
        </w:tc>
      </w:tr>
      <w:tr w:rsidR="00301C51" w:rsidRPr="00244FB3" w14:paraId="79A54FE5" w14:textId="77777777" w:rsidTr="00A8542C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141BE7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B7F2018" w14:textId="77777777" w:rsidR="00244FB3" w:rsidRPr="00244FB3" w:rsidRDefault="00244FB3" w:rsidP="00244FB3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FF14E1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D0E59C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0584C4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C306AF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E412E3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244FB3">
              <w:rPr>
                <w:rFonts w:ascii="Calibri" w:hAnsi="Calibri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587C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6951" w14:textId="77777777" w:rsidR="00244FB3" w:rsidRPr="00244FB3" w:rsidRDefault="00244FB3" w:rsidP="00244FB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</w:tr>
    </w:tbl>
    <w:p w14:paraId="7A4FD020" w14:textId="6D3FBAD9" w:rsidR="004D14EF" w:rsidRPr="00DC224D" w:rsidRDefault="006E105A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Cena položek č. 5 – 8 je součástí položky č. 4 HP</w:t>
      </w:r>
      <w:r w:rsidR="0074570B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="0074570B" w:rsidRPr="0074570B">
        <w:rPr>
          <w:rFonts w:ascii="Calibri" w:hAnsi="Calibri" w:cs="Calibri"/>
          <w:b w:val="0"/>
          <w:bCs/>
          <w:sz w:val="22"/>
          <w:szCs w:val="22"/>
        </w:rPr>
        <w:t>BLc7000 CTO 3 IN LCD ROHS Encl</w:t>
      </w:r>
    </w:p>
    <w:p w14:paraId="7C9870DA" w14:textId="77777777" w:rsidR="00DC224D" w:rsidRPr="00DC224D" w:rsidRDefault="00DC224D" w:rsidP="000758D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</w:p>
    <w:p w14:paraId="29E3DF9D" w14:textId="2F9BE8BC" w:rsidR="000758D9" w:rsidRPr="00DC224D" w:rsidRDefault="000758D9" w:rsidP="000758D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0758D9">
        <w:rPr>
          <w:rFonts w:ascii="Calibri" w:hAnsi="Calibri" w:cs="Calibri"/>
          <w:sz w:val="22"/>
          <w:szCs w:val="22"/>
        </w:rPr>
        <w:lastRenderedPageBreak/>
        <w:t xml:space="preserve">Příloha č. 2 </w:t>
      </w:r>
      <w:r w:rsidRPr="00DC224D">
        <w:rPr>
          <w:rFonts w:ascii="Calibri" w:hAnsi="Calibri" w:cs="Calibri"/>
          <w:b w:val="0"/>
          <w:bCs/>
          <w:sz w:val="22"/>
          <w:szCs w:val="22"/>
        </w:rPr>
        <w:t xml:space="preserve">Rozložení plateb za jednotlivá čtvrtletí včetně rozpisu měsíčního plnění za jednotlivá zařízení </w:t>
      </w:r>
    </w:p>
    <w:p w14:paraId="445AB504" w14:textId="77777777" w:rsidR="00AD062E" w:rsidRPr="00DC224D" w:rsidRDefault="00AD062E" w:rsidP="00AD062E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Cena položek č. 5 – 8 je součástí položky č. 4 HP </w:t>
      </w:r>
      <w:r w:rsidRPr="0074570B">
        <w:rPr>
          <w:rFonts w:ascii="Calibri" w:hAnsi="Calibri" w:cs="Calibri"/>
          <w:b w:val="0"/>
          <w:bCs/>
          <w:sz w:val="22"/>
          <w:szCs w:val="22"/>
        </w:rPr>
        <w:t>BLc7000 CTO 3 IN LCD ROHS Encl</w:t>
      </w:r>
    </w:p>
    <w:p w14:paraId="62BDA1BE" w14:textId="77777777" w:rsidR="00520AF0" w:rsidRDefault="00520AF0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tbl>
      <w:tblPr>
        <w:tblW w:w="531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525"/>
        <w:gridCol w:w="3261"/>
        <w:gridCol w:w="2523"/>
        <w:gridCol w:w="1166"/>
        <w:gridCol w:w="1277"/>
        <w:gridCol w:w="423"/>
        <w:gridCol w:w="1985"/>
        <w:gridCol w:w="1979"/>
      </w:tblGrid>
      <w:tr w:rsidR="00B62BAA" w:rsidRPr="00F717B0" w14:paraId="3258991E" w14:textId="77777777" w:rsidTr="00744554">
        <w:trPr>
          <w:trHeight w:val="145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3C129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Položka číslo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619B6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Seriál Number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53076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Název zařízení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0F470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Požadovaná úroveň služby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E30CC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Konec stávající podpory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2E039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Délka požadovaného prodloužení záruky výrobce HP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0A395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0396F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Měsíční plnění               bez DPH (Kč)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83AE7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Čtvrtletní plnění               bez DPH (Kč)</w:t>
            </w:r>
          </w:p>
        </w:tc>
      </w:tr>
      <w:tr w:rsidR="00D83992" w:rsidRPr="00F717B0" w14:paraId="71A60F08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EA4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BBC8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CZ265000W6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5F5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BL460c Gen9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4AB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96D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BEE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16D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85E1" w14:textId="1B9E2C54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2 418,00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610" w14:textId="7E049185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7 254,00 Kč </w:t>
            </w:r>
          </w:p>
        </w:tc>
      </w:tr>
      <w:tr w:rsidR="00D83992" w:rsidRPr="00F717B0" w14:paraId="4BB3853C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A36A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D694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CZ3242YLM9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0AB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BL460c Gen 8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CBD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679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BAA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3E67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07F" w14:textId="57F17BCA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1 585,00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220" w14:textId="7D57291F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4 755,00 Kč </w:t>
            </w:r>
          </w:p>
        </w:tc>
      </w:tr>
      <w:tr w:rsidR="00D83992" w:rsidRPr="00F717B0" w14:paraId="3887F86B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FF2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55E3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CZ3242YLM5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08A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BL460c Gen 8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743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79F7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6D5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E1E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EBC" w14:textId="671EBB65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1 585,00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A56" w14:textId="49E61AEE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4 755,00 Kč </w:t>
            </w:r>
          </w:p>
        </w:tc>
      </w:tr>
      <w:tr w:rsidR="00D83992" w:rsidRPr="00F717B0" w14:paraId="35F19248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D08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05C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CZ3242YLLL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66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HP BLc7000 CTO 3 IN LCD ROHS Encl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077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4BB9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199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8CF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8F4" w14:textId="7ACB298C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2 750,00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D49F" w14:textId="0099AA51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8 250,00 Kč </w:t>
            </w:r>
          </w:p>
        </w:tc>
      </w:tr>
      <w:tr w:rsidR="00D83992" w:rsidRPr="00F717B0" w14:paraId="38593F57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A8AE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CA7E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3C423400BK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ED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HP VC Flex-10 Enet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B3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9C1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F97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5513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7EFC" w14:textId="65C83494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585" w14:textId="3157FA08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   -   Kč </w:t>
            </w:r>
          </w:p>
        </w:tc>
      </w:tr>
      <w:tr w:rsidR="00D83992" w:rsidRPr="00F717B0" w14:paraId="308DC8CC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625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559A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3C423400GH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DED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HP VC Flex-10 Enet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EB18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229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2D0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90A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64F" w14:textId="3A277449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D7B9" w14:textId="51DFFF81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   -   Kč </w:t>
            </w:r>
          </w:p>
        </w:tc>
      </w:tr>
      <w:tr w:rsidR="00D83992" w:rsidRPr="00F717B0" w14:paraId="53C4F11B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5DD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BB43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CN8236D00B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DA3A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HP VC 8Gb 24-Port FC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14C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1396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874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9E24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729" w14:textId="27FC5EFA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929" w14:textId="47F3BB74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   -   Kč </w:t>
            </w:r>
          </w:p>
        </w:tc>
      </w:tr>
      <w:tr w:rsidR="00D83992" w:rsidRPr="00F717B0" w14:paraId="51D6BE2F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259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C7E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CN8238D04A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7A7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HP VC 8Gb 24-Port FC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E81B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49D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EF3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6A1D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D292" w14:textId="6559FC7E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-  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46D" w14:textId="35E5F841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            -   Kč </w:t>
            </w:r>
          </w:p>
        </w:tc>
      </w:tr>
      <w:tr w:rsidR="00D83992" w:rsidRPr="00F717B0" w14:paraId="6AFF831E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331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3AC6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7C964600PD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C52D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HP VC FlexFabric-20/40 F8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23F1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12A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F37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B59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5B0E" w14:textId="6DC98DCB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837,00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AFD" w14:textId="1DFB5DFE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2 511,00 Kč </w:t>
            </w:r>
          </w:p>
        </w:tc>
      </w:tr>
      <w:tr w:rsidR="00D83992" w:rsidRPr="00F717B0" w14:paraId="047CDCE7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15B9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5E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7C964600PH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C793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HP VC FlexFabric-20/40 F8 Module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D06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B3A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70F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B63C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1F9" w14:textId="0B00E057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837,00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D73" w14:textId="31BABB72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2 511,00 Kč </w:t>
            </w:r>
          </w:p>
        </w:tc>
      </w:tr>
      <w:tr w:rsidR="00D83992" w:rsidRPr="00F717B0" w14:paraId="12E2CAD6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F44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FA21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CZJ5460B99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97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DL380 Gen9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BA4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1961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02C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DAF8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4C6" w14:textId="4F817ECC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4 253,00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1581" w14:textId="773FC9C7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12 759,00 Kč </w:t>
            </w:r>
          </w:p>
        </w:tc>
      </w:tr>
      <w:tr w:rsidR="00D83992" w:rsidRPr="00F717B0" w14:paraId="71A8BE56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679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25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CZJ5460B9B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CF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DL380 Gen9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DAA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1B9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6C8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DB2C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EBC4" w14:textId="04E68E5E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4 253,00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B4AA" w14:textId="6ED67733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12 759,00 Kč </w:t>
            </w:r>
          </w:p>
        </w:tc>
      </w:tr>
      <w:tr w:rsidR="00D83992" w:rsidRPr="00F717B0" w14:paraId="5485A772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E9D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32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2S6536B427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BEB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MSA 2040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8B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3920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244A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1668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75C" w14:textId="2713BC8C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2 171,00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DB3" w14:textId="7DE6FF35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6 513,00 Kč </w:t>
            </w:r>
          </w:p>
        </w:tc>
      </w:tr>
      <w:tr w:rsidR="00D83992" w:rsidRPr="00F717B0" w14:paraId="04B41B7B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BD4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E93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2S6536B419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569D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HPE MSA 2040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9B2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F83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C38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ABD7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131F" w14:textId="332F7D88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2 171,00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790F" w14:textId="64551AE6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6 513,00 Kč </w:t>
            </w:r>
          </w:p>
        </w:tc>
      </w:tr>
      <w:tr w:rsidR="00D83992" w:rsidRPr="00F717B0" w14:paraId="094A966C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7CC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3BB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CZC539ULGJ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6BC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 8/24 Base SAN Switch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D00E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870C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8A7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11F1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2D61" w14:textId="03559FDB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424,00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27B" w14:textId="3467D69F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1 272,00 Kč </w:t>
            </w:r>
          </w:p>
        </w:tc>
      </w:tr>
      <w:tr w:rsidR="00D83992" w:rsidRPr="00F717B0" w14:paraId="7DB2ED05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9A1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0867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CZC540ULJH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12C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 xml:space="preserve">HP 8/24 Base SAN Switch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974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A46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F3D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164B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F863" w14:textId="5E93482E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424,00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032" w14:textId="18587DDA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1 272,00 Kč </w:t>
            </w:r>
          </w:p>
        </w:tc>
      </w:tr>
      <w:tr w:rsidR="00D83992" w:rsidRPr="00F717B0" w14:paraId="1CE72624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75F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969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181E1D"/>
                <w:kern w:val="0"/>
                <w:lang w:eastAsia="cs-CZ"/>
              </w:rPr>
              <w:t>CZ3843GXR3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6914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181E1D"/>
                <w:kern w:val="0"/>
                <w:lang w:eastAsia="cs-CZ"/>
              </w:rPr>
              <w:t>HPE DL380 Gen10 24SFF CTO Server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E62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CDE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01.11.2023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A236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C8FB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D71" w14:textId="6AA3CB4D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4 859,00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66C" w14:textId="328BC530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14 577,00 Kč </w:t>
            </w:r>
          </w:p>
        </w:tc>
      </w:tr>
      <w:tr w:rsidR="00D83992" w:rsidRPr="00F717B0" w14:paraId="3A402B06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02CD" w14:textId="77777777" w:rsidR="00D83992" w:rsidRPr="00520AF0" w:rsidRDefault="00D83992" w:rsidP="00D83992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kern w:val="0"/>
                <w:lang w:eastAsia="cs-CZ"/>
              </w:rPr>
              <w:t>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5680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181E1D"/>
                <w:kern w:val="0"/>
                <w:lang w:eastAsia="cs-CZ"/>
              </w:rPr>
              <w:t>CZJ933055X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5925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181E1D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181E1D"/>
                <w:kern w:val="0"/>
                <w:lang w:eastAsia="cs-CZ"/>
              </w:rPr>
              <w:t>HPE DL360 Gen10 8SFF CTO Server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C8D2" w14:textId="77777777" w:rsidR="00D83992" w:rsidRPr="00520AF0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24x7 - 4h response time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4BD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26.08.2023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631" w14:textId="77777777" w:rsidR="00D83992" w:rsidRPr="00520AF0" w:rsidRDefault="00D83992" w:rsidP="00D83992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31.12.2024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657" w14:textId="77777777" w:rsidR="00D83992" w:rsidRPr="00520AF0" w:rsidRDefault="00D83992" w:rsidP="00D83992">
            <w:pPr>
              <w:suppressAutoHyphens w:val="0"/>
              <w:jc w:val="center"/>
              <w:rPr>
                <w:rFonts w:ascii="Arial" w:hAnsi="Arial" w:cs="Arial"/>
                <w:kern w:val="0"/>
                <w:lang w:eastAsia="cs-CZ"/>
              </w:rPr>
            </w:pPr>
            <w:r w:rsidRPr="00520AF0">
              <w:rPr>
                <w:rFonts w:ascii="Arial" w:hAnsi="Arial" w:cs="Arial"/>
                <w:kern w:val="0"/>
                <w:lang w:eastAsia="cs-CZ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9137" w14:textId="42D4A822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3 005,00 Kč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BD40" w14:textId="6C23145B" w:rsidR="00D83992" w:rsidRPr="00D83992" w:rsidRDefault="00D83992" w:rsidP="00D83992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D83992">
              <w:rPr>
                <w:rFonts w:ascii="Calibri" w:hAnsi="Calibri" w:cs="Calibri"/>
                <w:color w:val="000000"/>
              </w:rPr>
              <w:t xml:space="preserve">                  9 015,00 Kč </w:t>
            </w:r>
          </w:p>
        </w:tc>
      </w:tr>
      <w:tr w:rsidR="00B62BAA" w:rsidRPr="00F717B0" w14:paraId="003B3A72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58CD" w14:textId="77777777" w:rsidR="00520AF0" w:rsidRPr="00520AF0" w:rsidRDefault="00520AF0" w:rsidP="00520AF0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7F39" w14:textId="77777777" w:rsidR="00520AF0" w:rsidRPr="00520AF0" w:rsidRDefault="00520AF0" w:rsidP="00520AF0">
            <w:pPr>
              <w:suppressAutoHyphens w:val="0"/>
              <w:jc w:val="center"/>
              <w:rPr>
                <w:kern w:val="0"/>
                <w:lang w:eastAsia="cs-CZ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9B0E" w14:textId="77777777" w:rsidR="00520AF0" w:rsidRDefault="00520AF0" w:rsidP="00520AF0">
            <w:pPr>
              <w:suppressAutoHyphens w:val="0"/>
              <w:jc w:val="center"/>
              <w:rPr>
                <w:kern w:val="0"/>
                <w:lang w:eastAsia="cs-CZ"/>
              </w:rPr>
            </w:pPr>
          </w:p>
          <w:p w14:paraId="08ED93B4" w14:textId="77777777" w:rsidR="003A6499" w:rsidRDefault="003A6499" w:rsidP="00520AF0">
            <w:pPr>
              <w:suppressAutoHyphens w:val="0"/>
              <w:jc w:val="center"/>
              <w:rPr>
                <w:kern w:val="0"/>
                <w:lang w:eastAsia="cs-CZ"/>
              </w:rPr>
            </w:pPr>
          </w:p>
          <w:p w14:paraId="0C2383E1" w14:textId="77777777" w:rsidR="007549CC" w:rsidRPr="00520AF0" w:rsidRDefault="007549CC" w:rsidP="00520AF0">
            <w:pPr>
              <w:suppressAutoHyphens w:val="0"/>
              <w:jc w:val="center"/>
              <w:rPr>
                <w:kern w:val="0"/>
                <w:lang w:eastAsia="cs-CZ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DDE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1127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E765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12E9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735A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D18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B62BAA" w:rsidRPr="00F717B0" w14:paraId="393CB0D3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7C8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F7C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523C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8563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CA4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DC12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F57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FBC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50C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B62BAA" w:rsidRPr="00F717B0" w14:paraId="568EE25B" w14:textId="77777777" w:rsidTr="00744554">
        <w:trPr>
          <w:trHeight w:val="41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64F8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266187" w14:textId="77777777" w:rsidR="00520AF0" w:rsidRPr="00520AF0" w:rsidRDefault="00520AF0" w:rsidP="00B260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Rozvržení plateb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CF1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C88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C539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F10E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54A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B62BAA" w:rsidRPr="00F717B0" w14:paraId="76D9B4A9" w14:textId="77777777" w:rsidTr="00744554">
        <w:trPr>
          <w:trHeight w:val="58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B2B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39FDA" w14:textId="77777777" w:rsidR="00520AF0" w:rsidRPr="00520AF0" w:rsidRDefault="00520AF0" w:rsidP="00B260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Období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86939" w14:textId="77777777" w:rsidR="00520AF0" w:rsidRPr="00520AF0" w:rsidRDefault="00520AF0" w:rsidP="00B260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Částka v Kč bez DPH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9B9CC" w14:textId="77777777" w:rsidR="00520AF0" w:rsidRPr="00520AF0" w:rsidRDefault="00520AF0" w:rsidP="00B260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Částka v Kč s DPH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E52" w14:textId="77777777" w:rsidR="00520AF0" w:rsidRPr="00520AF0" w:rsidRDefault="00520AF0" w:rsidP="00520A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2955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57AE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1B9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2EE" w14:textId="77777777" w:rsidR="00520AF0" w:rsidRPr="00520AF0" w:rsidRDefault="00520AF0" w:rsidP="00520AF0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3FBDF525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AF82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84B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září-prosinec 2023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CAF" w14:textId="312492E3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                      21 738,00 Kč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DBC" w14:textId="2D650BF3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26 302,98 Kč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F5B3" w14:textId="77777777" w:rsidR="003A6499" w:rsidRPr="00520AF0" w:rsidRDefault="003A6499" w:rsidP="003A6499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BAE8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8D2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EF28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9439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68B5FAF8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6D3F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FDCD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leden-březen 2024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7B50" w14:textId="2F50283E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                     94 716,00 Kč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7DBC" w14:textId="3E4A26F2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114 606,36 Kč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6EB1" w14:textId="77777777" w:rsidR="003A6499" w:rsidRPr="00520AF0" w:rsidRDefault="003A6499" w:rsidP="003A6499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242A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2B02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E12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130E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317760EA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E8D1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2E9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duben-červen 2024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4FA" w14:textId="4FA4D0ED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                     94 716,00 Kč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145F" w14:textId="48611E68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114 606,36 Kč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37CC" w14:textId="77777777" w:rsidR="003A6499" w:rsidRPr="00520AF0" w:rsidRDefault="003A6499" w:rsidP="003A6499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003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CEA8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B529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D3B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3BC3884F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87D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7831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červenec-září 2024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F0A" w14:textId="0877519F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                    94 716,00 Kč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F829" w14:textId="539D6D7E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114 606,36 Kč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B75" w14:textId="77777777" w:rsidR="003A6499" w:rsidRPr="00520AF0" w:rsidRDefault="003A6499" w:rsidP="003A6499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3D2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198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4A0B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826E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1E02184F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A13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0C3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color w:val="000000"/>
                <w:kern w:val="0"/>
                <w:lang w:eastAsia="cs-CZ"/>
              </w:rPr>
              <w:t>říjen-prosinec 2024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DE54" w14:textId="22DA00FD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                      94 716,00 Kč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0F2A" w14:textId="74C53338" w:rsidR="003A6499" w:rsidRPr="003A6499" w:rsidRDefault="003A6499" w:rsidP="003A6499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color w:val="000000"/>
              </w:rPr>
              <w:t xml:space="preserve">                     114 606,36 Kč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7F25" w14:textId="77777777" w:rsidR="003A6499" w:rsidRPr="00520AF0" w:rsidRDefault="003A6499" w:rsidP="003A6499">
            <w:pPr>
              <w:suppressAutoHyphens w:val="0"/>
              <w:rPr>
                <w:rFonts w:ascii="Calibri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93D1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AFEA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6891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643C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  <w:tr w:rsidR="003A6499" w:rsidRPr="00F717B0" w14:paraId="26FB361C" w14:textId="77777777" w:rsidTr="00744554">
        <w:trPr>
          <w:trHeight w:val="290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F41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66F11" w14:textId="77777777" w:rsidR="003A6499" w:rsidRPr="00520AF0" w:rsidRDefault="003A6499" w:rsidP="003A649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520AF0"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  <w:t>Celkem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F9978" w14:textId="6D0DDBB7" w:rsidR="003A6499" w:rsidRPr="003A6499" w:rsidRDefault="003A6499" w:rsidP="00EC243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b/>
                <w:bCs/>
                <w:color w:val="000000"/>
              </w:rPr>
              <w:t>400 602,00 Kč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F7692" w14:textId="336F13F2" w:rsidR="003A6499" w:rsidRPr="003A6499" w:rsidRDefault="003A6499" w:rsidP="00EC243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3A6499">
              <w:rPr>
                <w:rFonts w:ascii="Calibri" w:hAnsi="Calibri" w:cs="Calibri"/>
                <w:b/>
                <w:bCs/>
                <w:color w:val="000000"/>
              </w:rPr>
              <w:t>484 728,42 Kč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A10B" w14:textId="77777777" w:rsidR="003A6499" w:rsidRPr="00520AF0" w:rsidRDefault="003A6499" w:rsidP="003A64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350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C89E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2618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89C" w14:textId="77777777" w:rsidR="003A6499" w:rsidRPr="00520AF0" w:rsidRDefault="003A6499" w:rsidP="003A6499">
            <w:pPr>
              <w:suppressAutoHyphens w:val="0"/>
              <w:rPr>
                <w:kern w:val="0"/>
                <w:lang w:eastAsia="cs-CZ"/>
              </w:rPr>
            </w:pPr>
          </w:p>
        </w:tc>
      </w:tr>
    </w:tbl>
    <w:p w14:paraId="38E9B64F" w14:textId="77777777" w:rsidR="00520AF0" w:rsidRDefault="00520AF0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  <w:sectPr w:rsidR="00520AF0" w:rsidSect="004D14EF">
          <w:pgSz w:w="16838" w:h="11906" w:orient="landscape"/>
          <w:pgMar w:top="1417" w:right="1417" w:bottom="1417" w:left="1417" w:header="708" w:footer="708" w:gutter="0"/>
          <w:cols w:space="708"/>
          <w:docGrid w:linePitch="360" w:charSpace="40960"/>
        </w:sectPr>
      </w:pPr>
    </w:p>
    <w:p w14:paraId="28AD2571" w14:textId="282E468C" w:rsidR="001106AE" w:rsidRPr="00DC224D" w:rsidRDefault="001106AE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 w:rsidR="006D217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  <w:r w:rsidRPr="00DC224D">
        <w:rPr>
          <w:rFonts w:ascii="Calibri" w:hAnsi="Calibri" w:cs="Calibri"/>
          <w:b w:val="0"/>
          <w:bCs/>
          <w:sz w:val="22"/>
          <w:szCs w:val="22"/>
        </w:rPr>
        <w:t>Seznam oprávněných osob</w:t>
      </w:r>
    </w:p>
    <w:p w14:paraId="15823386" w14:textId="77777777" w:rsidR="001106AE" w:rsidRDefault="001106AE" w:rsidP="001106AE">
      <w:pPr>
        <w:pStyle w:val="10czbcap"/>
        <w:tabs>
          <w:tab w:val="clear" w:pos="0"/>
          <w:tab w:val="left" w:pos="2835"/>
        </w:tabs>
        <w:rPr>
          <w:rFonts w:ascii="Calibri" w:hAnsi="Calibri" w:cs="Calibri"/>
          <w:sz w:val="22"/>
          <w:szCs w:val="22"/>
        </w:rPr>
      </w:pPr>
    </w:p>
    <w:p w14:paraId="3EFF5C7E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A. Seznam kontaktních osob poskytovatele</w:t>
      </w:r>
      <w:r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481"/>
        <w:gridCol w:w="3537"/>
      </w:tblGrid>
      <w:tr w:rsidR="001106AE" w14:paraId="1C72C60A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C2E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DBD1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B79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</w:tr>
      <w:tr w:rsidR="00FC684D" w14:paraId="483164CC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274" w14:textId="161059E3" w:rsidR="00FC684D" w:rsidRPr="008A228C" w:rsidRDefault="002601BF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E84" w14:textId="22034CC7" w:rsidR="00FC684D" w:rsidRPr="008A228C" w:rsidRDefault="008A228C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 w:rsidRPr="008A228C"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S</w:t>
            </w:r>
            <w:r w:rsidRPr="008A228C">
              <w:rPr>
                <w:rFonts w:ascii="Tahoma" w:hAnsi="Tahoma" w:cs="Tahoma"/>
                <w:i w:val="0"/>
                <w:sz w:val="16"/>
                <w:szCs w:val="16"/>
                <w:lang w:eastAsia="en-US"/>
              </w:rPr>
              <w:t>enior Key Account manager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E3" w14:textId="3C98809F" w:rsidR="00FC684D" w:rsidRPr="00F30CFE" w:rsidRDefault="002601BF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FC684D" w14:paraId="5638B151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33" w14:textId="142E01E9" w:rsidR="00FC684D" w:rsidRPr="006D217F" w:rsidRDefault="002601BF" w:rsidP="00FC684D">
            <w:pPr>
              <w:spacing w:line="254" w:lineRule="auto"/>
              <w:rPr>
                <w:rFonts w:ascii="Tahoma" w:hAnsi="Tahoma" w:cs="Tahoma"/>
                <w:i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03E" w14:textId="36532C1D" w:rsidR="00FC684D" w:rsidRDefault="008A228C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Executive Director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3" w14:textId="7AF75033" w:rsidR="00FC684D" w:rsidRDefault="002601BF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</w:tr>
    </w:tbl>
    <w:p w14:paraId="57F75F65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48137FE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2F1EB56F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 B. Seznam kontaktních osob objednatele </w:t>
      </w:r>
    </w:p>
    <w:p w14:paraId="4823281C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2509"/>
        <w:gridCol w:w="2367"/>
        <w:gridCol w:w="2517"/>
      </w:tblGrid>
      <w:tr w:rsidR="001106AE" w14:paraId="4B32FC2D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8A46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599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47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BD4D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e-mail</w:t>
            </w:r>
          </w:p>
        </w:tc>
      </w:tr>
      <w:tr w:rsidR="00F111CA" w14:paraId="23FFF63B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5F1" w14:textId="2898A573" w:rsidR="00F111CA" w:rsidRDefault="002601BF" w:rsidP="00F111CA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color w:val="auto"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876" w14:textId="30331D0B" w:rsidR="00F111CA" w:rsidRDefault="00F111CA" w:rsidP="00F111CA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color w:val="auto"/>
                <w:sz w:val="16"/>
                <w:szCs w:val="16"/>
                <w:lang w:eastAsia="en-US"/>
              </w:rPr>
              <w:t>Vedoucí odboru provozu ÚIDT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EBA" w14:textId="55998F1B" w:rsidR="00F111CA" w:rsidRDefault="00CE19A7" w:rsidP="00F111CA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color w:val="auto"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077" w14:textId="15FF8413" w:rsidR="00F111CA" w:rsidRPr="00CE19A7" w:rsidRDefault="00CE19A7" w:rsidP="00F111CA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 w:rsidRPr="00CE19A7">
              <w:rPr>
                <w:rFonts w:ascii="Tahoma" w:hAnsi="Tahoma" w:cs="Tahoma"/>
                <w:i w:val="0"/>
                <w:iCs/>
                <w:sz w:val="16"/>
                <w:szCs w:val="16"/>
                <w:lang w:eastAsia="en-US"/>
              </w:rPr>
              <w:t>x</w:t>
            </w:r>
            <w:r w:rsidRPr="00CE19A7">
              <w:rPr>
                <w:rFonts w:ascii="Tahoma" w:hAnsi="Tahoma" w:cs="Tahoma"/>
                <w:i w:val="0"/>
                <w:iCs/>
                <w:sz w:val="16"/>
                <w:szCs w:val="16"/>
              </w:rPr>
              <w:t>xxxx</w:t>
            </w:r>
          </w:p>
        </w:tc>
      </w:tr>
      <w:tr w:rsidR="001106AE" w14:paraId="41CB3973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679" w14:textId="497AC267" w:rsidR="001106AE" w:rsidRDefault="002601B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CE8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F07" w14:textId="7CB182A5" w:rsidR="001106AE" w:rsidRDefault="00CE19A7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501" w14:textId="3AFD825F" w:rsidR="001106AE" w:rsidRDefault="00CE19A7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1106AE" w14:paraId="54EF78CD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28F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35D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157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62F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</w:tr>
    </w:tbl>
    <w:p w14:paraId="01FA455D" w14:textId="77777777" w:rsidR="001106AE" w:rsidRDefault="001106AE" w:rsidP="001106AE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p w14:paraId="7943C20B" w14:textId="77777777" w:rsidR="001106AE" w:rsidRDefault="001106AE" w:rsidP="001106AE">
      <w:pPr>
        <w:rPr>
          <w:rFonts w:cs="Arial"/>
        </w:rPr>
      </w:pPr>
    </w:p>
    <w:p w14:paraId="3778283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C. Seznam kontaktních osob objednatele určených k hlášení oznámení, požadavků, událostí nebo incidentů poskytovatele ve vztahu k ochraně osobních údajů nebo bezpečnosti informací nebo kybernetické bezpečnosti</w:t>
      </w:r>
    </w:p>
    <w:p w14:paraId="17ABBF71" w14:textId="77777777" w:rsidR="001106AE" w:rsidRDefault="001106AE" w:rsidP="001106AE">
      <w:pPr>
        <w:rPr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2659"/>
      </w:tblGrid>
      <w:tr w:rsidR="001106AE" w14:paraId="01224CDD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1663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Oblast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09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A044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Kontakt</w:t>
            </w:r>
          </w:p>
        </w:tc>
      </w:tr>
      <w:tr w:rsidR="001106AE" w14:paraId="48B18254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6C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 xml:space="preserve">Ochrana osobních údajů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04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Pověřenec pro ochranu osobních údajů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0B0" w14:textId="4EE2C1FE" w:rsidR="001106AE" w:rsidRDefault="00CE19A7">
            <w:pPr>
              <w:pStyle w:val="9en"/>
              <w:spacing w:before="60" w:after="60" w:line="254" w:lineRule="auto"/>
              <w:ind w:left="-21" w:firstLine="21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1106AE" w14:paraId="6020D671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D0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Bezpečnosti informací, kybernetické bezpečnost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DA6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Manažer kybernetické bezpečnosti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1CB" w14:textId="60452A5E" w:rsidR="001106AE" w:rsidRDefault="00CE19A7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</w:tbl>
    <w:p w14:paraId="66CF83E4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1F901385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2613ABBE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5C03A00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A073D37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57FE4EC3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4125E3D5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8DF2532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5276F18A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522FBE4C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42CAAEB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40F5BAB5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A27C926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0FAA6CB0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78A29C0E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54B28A2F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2ADC35FC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415555DB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7B1D7C78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026C59D6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02E92697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66A8C3E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99D4F98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31B115A4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6E156E15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27389BA6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46DD0052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9069FCA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6F75E268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5C74445C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11931598" w14:textId="77777777" w:rsidR="00DC224D" w:rsidRDefault="00DC224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sz w:val="22"/>
          <w:szCs w:val="22"/>
        </w:rPr>
      </w:pPr>
    </w:p>
    <w:p w14:paraId="1A0032FD" w14:textId="35B3D6E6" w:rsidR="0023066D" w:rsidRPr="00DC224D" w:rsidRDefault="0023066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DC224D">
        <w:rPr>
          <w:rFonts w:ascii="Calibri" w:hAnsi="Calibri" w:cs="Calibri"/>
          <w:sz w:val="22"/>
          <w:szCs w:val="22"/>
        </w:rPr>
        <w:t xml:space="preserve">Příloha č. 4 - </w:t>
      </w:r>
      <w:r w:rsidRPr="00DC224D">
        <w:rPr>
          <w:rFonts w:ascii="Calibri" w:hAnsi="Calibri" w:cs="Calibri"/>
          <w:b w:val="0"/>
          <w:bCs/>
          <w:sz w:val="22"/>
          <w:szCs w:val="22"/>
        </w:rPr>
        <w:t>Požadavky systému řízení bezpečnosti informací na </w:t>
      </w:r>
      <w:r w:rsidR="00B50444">
        <w:rPr>
          <w:rFonts w:ascii="Calibri" w:hAnsi="Calibri" w:cs="Calibri"/>
          <w:b w:val="0"/>
          <w:bCs/>
          <w:sz w:val="22"/>
          <w:szCs w:val="22"/>
        </w:rPr>
        <w:t xml:space="preserve">poskytovatele </w:t>
      </w:r>
    </w:p>
    <w:p w14:paraId="14B0C331" w14:textId="77777777" w:rsidR="0023066D" w:rsidRDefault="0023066D" w:rsidP="0023066D">
      <w:pPr>
        <w:spacing w:after="160" w:line="252" w:lineRule="auto"/>
        <w:jc w:val="right"/>
        <w:rPr>
          <w:rFonts w:ascii="Tahoma" w:hAnsi="Tahoma" w:cs="Tahoma"/>
          <w:sz w:val="24"/>
          <w:szCs w:val="24"/>
          <w:lang w:eastAsia="cs-CZ"/>
        </w:rPr>
      </w:pPr>
    </w:p>
    <w:p w14:paraId="5C3CF9E1" w14:textId="77777777" w:rsidR="0023066D" w:rsidRDefault="0023066D">
      <w:pPr>
        <w:pStyle w:val="Nadpis1"/>
        <w:numPr>
          <w:ilvl w:val="0"/>
          <w:numId w:val="13"/>
        </w:numPr>
        <w:tabs>
          <w:tab w:val="num" w:pos="0"/>
          <w:tab w:val="num" w:pos="360"/>
          <w:tab w:val="num" w:pos="510"/>
        </w:tabs>
        <w:ind w:left="357" w:hanging="357"/>
        <w:rPr>
          <w:rFonts w:ascii="Calibri" w:hAnsi="Calibri"/>
          <w:sz w:val="24"/>
        </w:rPr>
      </w:pPr>
      <w:bookmarkStart w:id="1" w:name="_Hlk17273340"/>
      <w:r>
        <w:rPr>
          <w:sz w:val="24"/>
        </w:rPr>
        <w:t>Účel</w:t>
      </w:r>
    </w:p>
    <w:p w14:paraId="2A4B06BB" w14:textId="39E0E075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Účelem toho dokumentu je stanovit požadavky vyplývající ze systému řízení bezpečnosti informací ve VFN pro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jako provozovatele, Poskytovatele služeb nebo zajištující podporu základních služeb: zdravotních služeb dle zákona č. 181/2014 Sb., o kybernetické bezpečnosti (dále jen ZKB).</w:t>
      </w:r>
    </w:p>
    <w:p w14:paraId="1B4DED2E" w14:textId="26EB93CE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vymezuje obecná pravidla a zásady kybernetické bezpečnosti vztahující se na smluvní plnění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, pokud nejsou detailně specifikovány </w:t>
      </w:r>
      <w:r w:rsidR="00B50444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 xml:space="preserve">mlouvou. Tato příloha nerozšiřuje předmět plnění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 xml:space="preserve">vymezený smlouvou, ale pouze specifikuje relevantní požadavky systému řízení bezpečnosti informací ve VFN, které musí </w:t>
      </w:r>
      <w:r w:rsidR="00B50444">
        <w:rPr>
          <w:rFonts w:ascii="Tahoma" w:hAnsi="Tahoma" w:cs="Tahoma"/>
          <w:sz w:val="16"/>
          <w:szCs w:val="16"/>
        </w:rPr>
        <w:t xml:space="preserve">poskytovatel </w:t>
      </w:r>
      <w:r>
        <w:rPr>
          <w:rFonts w:ascii="Tahoma" w:hAnsi="Tahoma" w:cs="Tahoma"/>
          <w:sz w:val="16"/>
          <w:szCs w:val="16"/>
        </w:rPr>
        <w:t>při plnění dodržovat.</w:t>
      </w:r>
    </w:p>
    <w:p w14:paraId="1790CEDC" w14:textId="3692012E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prokazatelně seznámit všechny své zainteresované zaměstnance s obsahem tohoto dokumentu.</w:t>
      </w:r>
    </w:p>
    <w:p w14:paraId="295C9CE6" w14:textId="77777777" w:rsidR="0023066D" w:rsidRDefault="0023066D">
      <w:pPr>
        <w:keepNext/>
        <w:numPr>
          <w:ilvl w:val="0"/>
          <w:numId w:val="14"/>
        </w:numPr>
        <w:tabs>
          <w:tab w:val="num" w:pos="360"/>
          <w:tab w:val="num" w:pos="510"/>
        </w:tabs>
        <w:suppressAutoHyphens w:val="0"/>
        <w:spacing w:before="240" w:after="60"/>
        <w:ind w:left="510" w:hanging="510"/>
        <w:outlineLvl w:val="0"/>
        <w:rPr>
          <w:rFonts w:ascii="Calibri" w:hAnsi="Calibri"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</w:rPr>
        <w:t>Bezpečnostní požadavky</w:t>
      </w:r>
    </w:p>
    <w:p w14:paraId="60FBE843" w14:textId="1A441628" w:rsidR="0023066D" w:rsidRDefault="00B50444" w:rsidP="0023066D">
      <w:pPr>
        <w:jc w:val="both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ve vztahu k předmětu plnění smlouvy musí definovat v interních předpisech, konfiguračních a instalačních manuálech, postupech nebo jiných dokumentech sloužících k předmětu dodávané služby či musí plnit zde popsané povinnosti.</w:t>
      </w:r>
    </w:p>
    <w:p w14:paraId="3B0A41D5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Obecná pravidla bezpečnosti informací</w:t>
      </w:r>
    </w:p>
    <w:p w14:paraId="138C6D03" w14:textId="4112CB35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0D3EBD65" w14:textId="090A7F75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vydefinovat rozsah prací/služeb/podpory v kompetenci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a podmínky spolupráce mezi smluvními stranami,</w:t>
      </w:r>
    </w:p>
    <w:p w14:paraId="3AF49319" w14:textId="72C85EC1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specifikovat popis používání každé služby provozované nebo spravované </w:t>
      </w:r>
      <w:r w:rsidR="00B50444">
        <w:rPr>
          <w:rFonts w:ascii="Tahoma" w:hAnsi="Tahoma" w:cs="Tahoma"/>
          <w:sz w:val="16"/>
          <w:szCs w:val="16"/>
        </w:rPr>
        <w:t>poskytovatelem</w:t>
      </w:r>
      <w:r>
        <w:rPr>
          <w:rFonts w:ascii="Tahoma" w:hAnsi="Tahoma" w:cs="Tahoma"/>
          <w:sz w:val="16"/>
          <w:szCs w:val="16"/>
        </w:rPr>
        <w:t>,</w:t>
      </w:r>
    </w:p>
    <w:p w14:paraId="53BC03E4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cílové úrovně služby a neakceptovatelné nebo zakázané úrovně služby,</w:t>
      </w:r>
    </w:p>
    <w:p w14:paraId="6EEE2B8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vést seznam jednotlivců, kteří vzhledem ke svým předdefinovaným právům a privilegiím jsou oprávněni zajišťovat smluvní služby,</w:t>
      </w:r>
    </w:p>
    <w:p w14:paraId="4209A560" w14:textId="783EB57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umožnit VFN právo monitorovat nebo auditovat smluvní povinnosti i u</w:t>
      </w:r>
      <w:r w:rsidR="00B50444">
        <w:rPr>
          <w:rFonts w:ascii="Tahoma" w:hAnsi="Tahoma" w:cs="Tahoma"/>
          <w:sz w:val="16"/>
          <w:szCs w:val="16"/>
        </w:rPr>
        <w:t xml:space="preserve"> poskytovatele</w:t>
      </w:r>
      <w:r>
        <w:rPr>
          <w:rFonts w:ascii="Tahoma" w:hAnsi="Tahoma" w:cs="Tahoma"/>
          <w:sz w:val="16"/>
          <w:szCs w:val="16"/>
        </w:rPr>
        <w:t>,</w:t>
      </w:r>
    </w:p>
    <w:p w14:paraId="071A361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popis eskalace problému v případech řešení havárie s popisem pravidel pro řešení havarijních situací,</w:t>
      </w:r>
    </w:p>
    <w:p w14:paraId="139A88AC" w14:textId="5CB8315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zajistit školení zainteresovaných uživatelů a správců </w:t>
      </w:r>
      <w:r w:rsidR="00B50444">
        <w:rPr>
          <w:rFonts w:ascii="Tahoma" w:hAnsi="Tahoma" w:cs="Tahoma"/>
          <w:sz w:val="16"/>
          <w:szCs w:val="16"/>
        </w:rPr>
        <w:t>poskyto</w:t>
      </w:r>
      <w:r w:rsidR="00931B74">
        <w:rPr>
          <w:rFonts w:ascii="Tahoma" w:hAnsi="Tahoma" w:cs="Tahoma"/>
          <w:sz w:val="16"/>
          <w:szCs w:val="16"/>
        </w:rPr>
        <w:t>va</w:t>
      </w:r>
      <w:r w:rsidR="00B50444">
        <w:rPr>
          <w:rFonts w:ascii="Tahoma" w:hAnsi="Tahoma" w:cs="Tahoma"/>
          <w:sz w:val="16"/>
          <w:szCs w:val="16"/>
        </w:rPr>
        <w:t xml:space="preserve">tele </w:t>
      </w:r>
      <w:r>
        <w:rPr>
          <w:rFonts w:ascii="Tahoma" w:hAnsi="Tahoma" w:cs="Tahoma"/>
          <w:sz w:val="16"/>
          <w:szCs w:val="16"/>
        </w:rPr>
        <w:t>v metodách, postupech a v bezpečnosti,</w:t>
      </w:r>
    </w:p>
    <w:p w14:paraId="2A79E050" w14:textId="214A1DC4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upřesnit podmínky spolupráce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se subdodavateli (třetí stranou),</w:t>
      </w:r>
    </w:p>
    <w:p w14:paraId="209F2EE3" w14:textId="56D55761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informovat </w:t>
      </w:r>
      <w:r w:rsidR="00B50444">
        <w:rPr>
          <w:rFonts w:ascii="Tahoma" w:hAnsi="Tahoma" w:cs="Tahoma"/>
          <w:sz w:val="16"/>
          <w:szCs w:val="16"/>
        </w:rPr>
        <w:t>o</w:t>
      </w:r>
      <w:r w:rsidRPr="00B50444">
        <w:rPr>
          <w:rFonts w:ascii="Tahoma" w:hAnsi="Tahoma" w:cs="Tahoma"/>
          <w:sz w:val="16"/>
          <w:szCs w:val="16"/>
        </w:rPr>
        <w:t>bjednatele o způsobu řízení rizik a o zbytkových rizicích,</w:t>
      </w:r>
    </w:p>
    <w:p w14:paraId="15D67B6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informovat o významné změně dle § 71 a násl. zákona č. 90/2012 Sb., o obchodních korporacích, či ekvivalentním postavení, nebo o změně vlastnictví zásadních aktiv, popřípadě změně oprávnění nakládat s těmito aktivy,</w:t>
      </w:r>
    </w:p>
    <w:p w14:paraId="6049F0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provést neprodlené nahlášení identifikovaných bezpečnostních událostí a slabin kontaktní osobě za VFN.</w:t>
      </w:r>
    </w:p>
    <w:p w14:paraId="0FAD406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Fyzická bezpečnost</w:t>
      </w:r>
    </w:p>
    <w:p w14:paraId="048D0DCF" w14:textId="3364BA67" w:rsidR="0023066D" w:rsidRDefault="00B50444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25775DF" w14:textId="3A4FBED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nastavit komplexní opatření fyzické bezpečnosti v prostředí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jež zabrání nebo sníží pravděpodobnost vzniku ohrožení IS základní služby, ztrát dat a jiného duševního vlastnictví, přerušení činností či poškozování jiných důležitých zájmů VFN,</w:t>
      </w:r>
    </w:p>
    <w:p w14:paraId="6051C44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režimová nebo organizační opatření VFN při vjezdu do objektů nebo vstupu do prostor nebo překonávání fyzických/logických zábran těchto objektů nebo prostor VFN,</w:t>
      </w:r>
    </w:p>
    <w:p w14:paraId="3BE3B0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dobrovolně se podrobit případným kontrolám vnášených/vynášených osobních věcí nebo jakýchkoliv předmětů při vstupu nebo odchodu z objektů nebo prostor VFN prováděné oprávněnými zaměstnanci VFN (ostraha, vrátný, recepce apod.),</w:t>
      </w:r>
    </w:p>
    <w:p w14:paraId="28FA27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neprovádět fotografování, video/audio záznam nebo kopírování/scanování dokumentů bez souhlasu oprávněného zaměstnance VFN. V prostorách kategorie zóny „C“ (např. serverovna) pouze na základě písemného povolení vedení VFN.</w:t>
      </w:r>
    </w:p>
    <w:p w14:paraId="1FC3D49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lidských zdrojů</w:t>
      </w:r>
    </w:p>
    <w:p w14:paraId="36BFE0ED" w14:textId="2059D5AA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7A24BAC9" w14:textId="3166A922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prokazatelně seznámit zaměstnance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s dodržováním bezpečnostních pravidel a zásad požadovaných VFN,</w:t>
      </w:r>
    </w:p>
    <w:p w14:paraId="6E1EB74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ochranu aktiv VFN před neautorizovaným přístupem, vyzrazením, modifikací, zničením nebo narušením,</w:t>
      </w:r>
    </w:p>
    <w:p w14:paraId="2B6A7EE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zachovávat mlčenlivost o důvěrných údajích nebo sděleních VFN a o jejich ochraně,</w:t>
      </w:r>
    </w:p>
    <w:p w14:paraId="2F9348D9" w14:textId="4A73570A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stanovit odpovědnosti zaměstnanců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pro nakládání s informacemi,</w:t>
      </w:r>
    </w:p>
    <w:p w14:paraId="405E7A02" w14:textId="17C55B91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poučit zaměstnance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 xml:space="preserve">hlásit zjištěné bezpečnostní události nebo jiná bezpečnostní rizika odpovědné osobě </w:t>
      </w:r>
      <w:r w:rsidR="00B50444">
        <w:rPr>
          <w:rFonts w:ascii="Tahoma" w:hAnsi="Tahoma" w:cs="Tahoma"/>
          <w:sz w:val="16"/>
          <w:szCs w:val="16"/>
        </w:rPr>
        <w:t>poskytovatele</w:t>
      </w:r>
      <w:r w:rsidRPr="00B50444">
        <w:rPr>
          <w:rFonts w:ascii="Tahoma" w:hAnsi="Tahoma" w:cs="Tahoma"/>
          <w:sz w:val="16"/>
          <w:szCs w:val="16"/>
        </w:rPr>
        <w:t>,</w:t>
      </w:r>
    </w:p>
    <w:p w14:paraId="037B7C04" w14:textId="09569728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provádět pravidelné školení zaměstnanců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v souvislosti s bezpečností informací,</w:t>
      </w:r>
    </w:p>
    <w:p w14:paraId="33515E66" w14:textId="59F185F6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při porušení pracovních povinnosti zaměstnance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ve vztahu k bezpečnosti informací nebo způsobení bezpečnostního incidentu, musí být zahájeno formální disciplinární řízení. Způsob řízení odpovídá povaze porušení nebo incidentu a jeho dopadu na VFN.</w:t>
      </w:r>
    </w:p>
    <w:p w14:paraId="539F4AB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přístupu</w:t>
      </w:r>
    </w:p>
    <w:p w14:paraId="210147C3" w14:textId="21AD238F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492AC7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princip minimálních oprávnění: přidělovat oprávnění na nejnižší možné úrovni, která umožní jejich správnou funkci,</w:t>
      </w:r>
    </w:p>
    <w:p w14:paraId="092314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2" w:name="_Toc489392074"/>
      <w:bookmarkStart w:id="3" w:name="_Toc6903381"/>
      <w:r>
        <w:rPr>
          <w:rFonts w:ascii="Tahoma" w:hAnsi="Tahoma" w:cs="Tahoma"/>
          <w:sz w:val="16"/>
          <w:szCs w:val="16"/>
        </w:rPr>
        <w:t>dodržovat požadavky na řízení přístupu</w:t>
      </w:r>
      <w:bookmarkEnd w:id="2"/>
      <w:bookmarkEnd w:id="3"/>
      <w:r>
        <w:rPr>
          <w:rFonts w:ascii="Tahoma" w:hAnsi="Tahoma" w:cs="Tahoma"/>
          <w:sz w:val="16"/>
          <w:szCs w:val="16"/>
        </w:rPr>
        <w:t>:</w:t>
      </w:r>
    </w:p>
    <w:p w14:paraId="21E72583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procesy přidělování, správy oprávnění, pravidelně provádět audit přidělených oprávnění a odstraňovat účty při odchodu zaměstnance nebo změně jeho zařazení,</w:t>
      </w:r>
    </w:p>
    <w:p w14:paraId="3B96E2C4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přidělovat privilegovaná oprávnění takovým způsobem, aby byla zajištěna jednoznačná auditovatelnost všech kroků provedených pod těmito účty ve vztahu ke konkrétním osobám.</w:t>
      </w:r>
    </w:p>
    <w:p w14:paraId="26863A5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Bezpečné chování uživatelů</w:t>
      </w:r>
    </w:p>
    <w:p w14:paraId="06780959" w14:textId="77777777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Uvedené povinnosti se vztahují na prostředí VFN nebo zařízení používané ke správě nebo administraci předmětu smlouvy.</w:t>
      </w:r>
    </w:p>
    <w:p w14:paraId="460B5F97" w14:textId="0A39DBBA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Zaměstnanec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:</w:t>
      </w:r>
    </w:p>
    <w:p w14:paraId="3D5F0FE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šířit a vědomě používat SW získaný v rozporu s právními předpisy, zejména s autorským zákonem a SW, získaný v souladu s těmito předpisy nesmí užívat v rozporu se smlouvou,</w:t>
      </w:r>
    </w:p>
    <w:p w14:paraId="02F1E7E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používat počítačové prostředky a SW vybavení VFN jen v rámci smluvního ujednání a stanovené kompetence,</w:t>
      </w:r>
    </w:p>
    <w:p w14:paraId="155AAB1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 povinen respektovat pravidla tvorby a nakládání s přístupovými hesly definovaná VFN, </w:t>
      </w:r>
    </w:p>
    <w:p w14:paraId="5261615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povinen zachovávat důvěrnost hesel jemu přidělených v rámci své kompetence,</w:t>
      </w:r>
    </w:p>
    <w:p w14:paraId="7CE090AF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žádnými prostředky se pokusit získat přístupová práva či privilegovaný stav, který mu nebyl přidělen,</w:t>
      </w:r>
    </w:p>
    <w:p w14:paraId="4E1B855B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se pokusit získat přístup k chráněným informacím a datům jiných uživatelů nebo systémů,</w:t>
      </w:r>
    </w:p>
    <w:p w14:paraId="10D7D099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dodržovat předepsaná opatření pro užití prostředků pro vzdálený přístup (aktualizace systému, spuštěný FW a antivir, využití veřejných sítí apod.).</w:t>
      </w:r>
    </w:p>
    <w:p w14:paraId="426A3D92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mobilních zařízení a vzdáleného přístupu</w:t>
      </w:r>
    </w:p>
    <w:p w14:paraId="00C8E887" w14:textId="7601DB59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Přístup externích zařízení do prostředí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 je možný po provedení registrace zařízení při dodržení postupu „</w:t>
      </w:r>
      <w:hyperlink r:id="rId19" w:history="1">
        <w:r>
          <w:rPr>
            <w:rStyle w:val="Hypertextovodkaz"/>
            <w:rFonts w:ascii="Tahoma" w:hAnsi="Tahoma" w:cs="Tahoma"/>
            <w:sz w:val="16"/>
            <w:szCs w:val="16"/>
          </w:rPr>
          <w:t>Přístup do počítačové sítě VFN pro externí zaměstnance/firmy</w:t>
        </w:r>
      </w:hyperlink>
      <w:r>
        <w:rPr>
          <w:rFonts w:ascii="Tahoma" w:hAnsi="Tahoma" w:cs="Tahoma"/>
          <w:sz w:val="16"/>
          <w:szCs w:val="16"/>
        </w:rPr>
        <w:t>“, zde uvedených povinností a směrnice Používání sítě VFN externími uživateli (</w:t>
      </w:r>
      <w:hyperlink r:id="rId20" w:history="1">
        <w:r>
          <w:rPr>
            <w:rStyle w:val="Hypertextovodkaz"/>
            <w:rFonts w:ascii="Tahoma" w:hAnsi="Tahoma" w:cs="Tahoma"/>
            <w:sz w:val="16"/>
            <w:szCs w:val="16"/>
          </w:rPr>
          <w:t>SM-UI-02</w:t>
        </w:r>
      </w:hyperlink>
      <w:r>
        <w:rPr>
          <w:rFonts w:ascii="Tahoma" w:hAnsi="Tahoma" w:cs="Tahoma"/>
          <w:sz w:val="16"/>
          <w:szCs w:val="16"/>
        </w:rPr>
        <w:t xml:space="preserve">). Uživatel </w:t>
      </w:r>
      <w:r w:rsidR="007E0BD2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připojený do sítě VFN je povinen:</w:t>
      </w:r>
    </w:p>
    <w:p w14:paraId="368D386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je pouze k účelům a po dobu souvisejícím s výkonem smluvní činnosti v takovém rozsahu, který odpovídá potřebám uživatele pro výkon této činnosti, </w:t>
      </w:r>
    </w:p>
    <w:p w14:paraId="62B93AC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své připojení takovým způsobem, který nenaruší funkci sítě ani práva ostatních uživatelů, </w:t>
      </w:r>
    </w:p>
    <w:p w14:paraId="770FEF0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chránit svá hesla před vyzrazením, a v případě podezření, že heslo zná jiná osoba, tuto situaci neprodleně nahlásit Poskytovateli připojení, </w:t>
      </w:r>
    </w:p>
    <w:p w14:paraId="3951D57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zabránit využití či zneužití jeho vzdáleného připojení třetí osobou, </w:t>
      </w:r>
    </w:p>
    <w:p w14:paraId="1377A5EE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chovat se v souladu s dobrými mravy a právním řádem České republiky.</w:t>
      </w:r>
    </w:p>
    <w:p w14:paraId="7025518E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Ochrana před škodlivým kódem</w:t>
      </w:r>
    </w:p>
    <w:p w14:paraId="62B6BA55" w14:textId="68AF1994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Ve vztahu k dodavatelským pracím a službám zajišťujícím provoz a fungování základních služeb VFN musí být zajištěna ochrana vnějšího perimetru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komunikace, IS, úložišť a koncových stanic nebo mobilních zařízení před škodlivým kódem.</w:t>
      </w:r>
    </w:p>
    <w:p w14:paraId="171731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Zálohování a obnova dat</w:t>
      </w:r>
    </w:p>
    <w:p w14:paraId="6FD51D41" w14:textId="207526A6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provádět zálohování dat a informací v provozovaných nebo spravovaných HW, IS a jejich datech k zajištění jejich dostupnosti v případě nestandardních událostí (chyba paměťového média, havárie systému, poškození integrity dat atp.), aby bylo možné zálohovaná data použít pro jejich obnovu nebo přesun do jiného prostředí.</w:t>
      </w:r>
    </w:p>
    <w:p w14:paraId="5DD02C70" w14:textId="77777777" w:rsidR="0023066D" w:rsidRDefault="0023066D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Zálohovaná data musí splňovat požadavky:</w:t>
      </w:r>
    </w:p>
    <w:p w14:paraId="1645BF33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 kompletní obnovu dat,</w:t>
      </w:r>
    </w:p>
    <w:p w14:paraId="0CC4BA5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dodržet maximálně tolerovaný prostoj (MTD) definovaný ve smlouvě,</w:t>
      </w:r>
    </w:p>
    <w:p w14:paraId="722D0832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pravidelné provádění záloh a testování jejich obnovy,</w:t>
      </w:r>
    </w:p>
    <w:p w14:paraId="44A064A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 ochrany záloh a obsažených dat včetně jejich integrity,</w:t>
      </w:r>
    </w:p>
    <w:p w14:paraId="5841D8C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vydefinovaná správa (včetně řízení přístupu), doba uchování, cykly a počet kopií zálohovaných dat.</w:t>
      </w:r>
    </w:p>
    <w:p w14:paraId="7126CF3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Technické zranitelnosti</w:t>
      </w:r>
    </w:p>
    <w:p w14:paraId="78E776C5" w14:textId="495866A7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2C45A0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identifikovat a odstraňovat technické zranitelnosti spojené s bezpečnostním nastavením nebo fungováním jím provozovaných/spravovaných zařízení nebo systémů,</w:t>
      </w:r>
    </w:p>
    <w:p w14:paraId="21BE9F2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upozorňovat VFN na identifikované zranitelnosti zařízení nebo systémů ve správě VFN nebo subdodavatelů,</w:t>
      </w:r>
    </w:p>
    <w:p w14:paraId="28EB6DA3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ověření/testování opravy zranitelnosti v testovacím nebo integračním prostředí před instalací opravy programového vybavení do produkčního prostředí.</w:t>
      </w:r>
    </w:p>
    <w:p w14:paraId="6AD9C5F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komunikační sítě</w:t>
      </w:r>
    </w:p>
    <w:p w14:paraId="3F8CF7C3" w14:textId="5F66DEEC" w:rsidR="0023066D" w:rsidRDefault="007E0BD2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omezit riziko napadení systémů nebo služeb prostřednictvím počítačové sítě, např. využitím:</w:t>
      </w:r>
    </w:p>
    <w:p w14:paraId="1E09DC1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šifrování,</w:t>
      </w:r>
    </w:p>
    <w:p w14:paraId="7B4C45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řízené kontroly přístupu,</w:t>
      </w:r>
    </w:p>
    <w:p w14:paraId="3801EB80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zamezením napadení aktivním útočníkem,</w:t>
      </w:r>
    </w:p>
    <w:p w14:paraId="3CB4570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řízením zátěže,</w:t>
      </w:r>
    </w:p>
    <w:p w14:paraId="6D7AA278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zajištěním integrity dat,</w:t>
      </w:r>
    </w:p>
    <w:p w14:paraId="14B7BF0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samostatné lokální sítě,</w:t>
      </w:r>
    </w:p>
    <w:p w14:paraId="6827EC2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víceúrovňovou bezpečností,</w:t>
      </w:r>
    </w:p>
    <w:p w14:paraId="5E9C272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využitím vhodné sítě.</w:t>
      </w:r>
    </w:p>
    <w:p w14:paraId="2796F4D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Bezpečnostní zásady pro práci s daty</w:t>
      </w:r>
    </w:p>
    <w:p w14:paraId="653B7E45" w14:textId="0882DDCD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66816A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stanovená pravidla ochrany dat zahrnující speciální nakládání s tajnými, důvěrnými, osobními a citlivými údaji dle jednotlivých zákonů (např. nařízení č. 2016/679 - GDPR, zákona č. 110/2019 Sb., zákon č. 412/2005 Sb. apod.),</w:t>
      </w:r>
    </w:p>
    <w:p w14:paraId="523ABD1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zajistit řízení přístupu k datům s využitím principu minimálních oprávnění,</w:t>
      </w:r>
    </w:p>
    <w:p w14:paraId="327612A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ochránit data při přenosu, předání a v datovém úložišti,</w:t>
      </w:r>
    </w:p>
    <w:p w14:paraId="76B7241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plnit povinnosti ochrany osobních údajů, a to především technická nebo organizační opatření, hlášení úniku osobních údajů, spolupráce na řešení incidentů nebo auditu ochrany osobních údajů apod.,</w:t>
      </w:r>
    </w:p>
    <w:p w14:paraId="6AF0EE8E" w14:textId="1F83C1B0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dodržet závazek </w:t>
      </w:r>
      <w:r w:rsidR="007E0BD2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(a subdodavatele) neporušovat integritu a dostupnost aktiv,</w:t>
      </w:r>
    </w:p>
    <w:p w14:paraId="37FCBA3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omezení platná pro kopírování a šíření informací,</w:t>
      </w:r>
    </w:p>
    <w:p w14:paraId="757FC6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přijmout opatření zajišťující vrácení či zničení informací po ukončení smluvního vztahu nebo v jeho průběhu,</w:t>
      </w:r>
    </w:p>
    <w:p w14:paraId="41E8B7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postupy bezpečné likvidace dat.</w:t>
      </w:r>
    </w:p>
    <w:p w14:paraId="17D820D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Používání kryptografické ochrany</w:t>
      </w:r>
    </w:p>
    <w:p w14:paraId="597134D8" w14:textId="1CAA49F7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70520A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využívat úrovně ochrany s ohledem na typ a sílu kryptografického algoritmu ve vztahu k citlivosti jednotlivých informačních aktiv,</w:t>
      </w:r>
    </w:p>
    <w:p w14:paraId="4AC28CDF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zohledňovat známá nebo odhalená rizika a zranitelnosti pro použité typy a síly kryptografických algoritmů výměnou za „bezpečné“ (neprolomené) kryptografické algoritmy.</w:t>
      </w:r>
    </w:p>
    <w:p w14:paraId="24A317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Akvizice, vývoj a údržba informačních systémů</w:t>
      </w:r>
    </w:p>
    <w:p w14:paraId="1FCBACE8" w14:textId="4BE45814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3B4FF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bezpečnostní pravidla, noremy a best practices (např. OWASP - Open Web Application Security Project) v rámci celého životního cyklu nákupu a vývoje SW od zadání, návrhu, přes vývoj a testování až po nasazení do provozu,</w:t>
      </w:r>
    </w:p>
    <w:p w14:paraId="31BE56B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zavést oddělení rolí vývoje, testu a provozu; vytvářet a provozovat vývojové, integrační, testovací a provozní prostředí tak, aby byla zcela oddělena v sítích a byla podporována oddělenými stroji,</w:t>
      </w:r>
    </w:p>
    <w:p w14:paraId="6E1184E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zohlednit bezpečnostní požadavky VFN na dodávaný nebo vyvíjený SW, a to především:</w:t>
      </w:r>
    </w:p>
    <w:p w14:paraId="31250E6D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podporované frameworky a platformy v prostředí VFN,</w:t>
      </w:r>
    </w:p>
    <w:p w14:paraId="75A74A87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nefunkční bezpečnostní požadavky,</w:t>
      </w:r>
    </w:p>
    <w:p w14:paraId="2DE32291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 codereview v jednotlivých fázích vývoje a testování,</w:t>
      </w:r>
    </w:p>
    <w:p w14:paraId="7DB1E286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spolupracovat na bezpečnostním testování včetně penetračních testů,</w:t>
      </w:r>
    </w:p>
    <w:p w14:paraId="2C4C2452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dodávat systémové a provozní bezpečnostní dokumentace,</w:t>
      </w:r>
    </w:p>
    <w:p w14:paraId="001A182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způsob převzetí, akceptace a instalaci do produkčního prostředí,</w:t>
      </w:r>
    </w:p>
    <w:p w14:paraId="041DA37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používat jasný a specifikovaný proces řízení změn.</w:t>
      </w:r>
    </w:p>
    <w:p w14:paraId="00155D3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Zvládání bezpečnostních incidentů</w:t>
      </w:r>
    </w:p>
    <w:p w14:paraId="4EA592F4" w14:textId="1213DED2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4103865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mít ve svém prostředí zavedený systém hlášení, upozorňování a vyšetřování bezpečnostních nebo kybernetických incidentů a případů prolomení bezpečnosti,</w:t>
      </w:r>
    </w:p>
    <w:p w14:paraId="3F463131" w14:textId="24BBBE3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neprodleně oznámit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bjednateli bezpečnostní nebo kybernetický incidenty a prolomení bezpečnosti v prostředí </w:t>
      </w:r>
      <w:r w:rsidR="00931B74">
        <w:rPr>
          <w:rFonts w:ascii="Tahoma" w:hAnsi="Tahoma" w:cs="Tahoma"/>
          <w:sz w:val="16"/>
          <w:szCs w:val="16"/>
        </w:rPr>
        <w:t>p</w:t>
      </w:r>
      <w:r w:rsidR="007E0BD2">
        <w:rPr>
          <w:rFonts w:ascii="Tahoma" w:hAnsi="Tahoma" w:cs="Tahoma"/>
          <w:sz w:val="16"/>
          <w:szCs w:val="16"/>
        </w:rPr>
        <w:t xml:space="preserve">oskytovatele </w:t>
      </w:r>
      <w:r>
        <w:rPr>
          <w:rFonts w:ascii="Tahoma" w:hAnsi="Tahoma" w:cs="Tahoma"/>
          <w:sz w:val="16"/>
          <w:szCs w:val="16"/>
        </w:rPr>
        <w:t xml:space="preserve">nebo </w:t>
      </w:r>
      <w:r w:rsidR="00931B74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bjednatele,</w:t>
      </w:r>
    </w:p>
    <w:p w14:paraId="02DA005E" w14:textId="0609715A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spolupracovat s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bjednatelem na vyšetření, vyhodnocení a přijetí opatření z bezpečnostního nebo kybernetického incidentu v prostředí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bjednatele.</w:t>
      </w:r>
    </w:p>
    <w:p w14:paraId="004CC84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kontinuity činností</w:t>
      </w:r>
    </w:p>
    <w:p w14:paraId="1CAC1321" w14:textId="5A150399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1066A07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vytvořit takové postupy a fungující prostředí, které umožní zajistit kontinuitu a obnovu klíčových procesů a činností základních služeb VFN provozovaných nebo spravovaných Dodavatelem HW, IS a jejich dat v případě jejich narušení nebo ztráty,</w:t>
      </w:r>
    </w:p>
    <w:p w14:paraId="4C26C9C0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pravidelné testování, vyhodnocování a případně aktualizování havarijních plánů obnovy (DRP).</w:t>
      </w:r>
    </w:p>
    <w:p w14:paraId="0716A06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Legislativní a normativní požadavky</w:t>
      </w:r>
    </w:p>
    <w:p w14:paraId="0A140DC6" w14:textId="517DD744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splnit legislativní a normativní požadavky:</w:t>
      </w:r>
    </w:p>
    <w:p w14:paraId="3E61188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4" w:name="_Toc436830485"/>
      <w:bookmarkStart w:id="5" w:name="_Toc7689421"/>
      <w:bookmarkStart w:id="6" w:name="_Toc11182581"/>
      <w:r>
        <w:rPr>
          <w:rFonts w:ascii="Tahoma" w:hAnsi="Tahoma" w:cs="Tahoma"/>
          <w:sz w:val="16"/>
          <w:szCs w:val="16"/>
        </w:rPr>
        <w:t>zákon č. 181/2014 Sb., o kybernetické bezpečnosti</w:t>
      </w:r>
      <w:bookmarkEnd w:id="4"/>
      <w:bookmarkEnd w:id="5"/>
      <w:bookmarkEnd w:id="6"/>
      <w:r>
        <w:rPr>
          <w:rFonts w:ascii="Tahoma" w:hAnsi="Tahoma" w:cs="Tahoma"/>
          <w:sz w:val="16"/>
          <w:szCs w:val="16"/>
        </w:rPr>
        <w:t xml:space="preserve"> a vyhlášku č. 82/2018Sb., o kybernetické bezpečnosti,</w:t>
      </w:r>
    </w:p>
    <w:p w14:paraId="2DF7DF32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nařízení EU č. 2016/679, o ochraně fyzických osob v souvislosti se zpracováním osobních údajů a o volném pohybu těchto údajů (GDPR), </w:t>
      </w:r>
    </w:p>
    <w:p w14:paraId="193A5250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zákon č. 110/2019 Sb., zpracování osobních údajů,</w:t>
      </w:r>
    </w:p>
    <w:p w14:paraId="6D749609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směrnici EU č. 2016/1148, o opatřeních k zajištění vysoké společné úrovně bezpečnosti sítí a informačních systémů (NIS),</w:t>
      </w:r>
    </w:p>
    <w:p w14:paraId="2CACC25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nařízení EU č. 910/2014, o elektronické identifikaci a službách vytvářejících důvěru pro elektronické transakce na vnitřním trhu (eIDAS),</w:t>
      </w:r>
    </w:p>
    <w:p w14:paraId="7AA8732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standardy systému řízení bezpečnosti řady ISO/IEC 27000 – Information Security Management System (ISMS), především ISO/IEC 27001, ISO/IEC 27002 a ISO/IEC 27799,</w:t>
      </w:r>
    </w:p>
    <w:p w14:paraId="2B574A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související normy nebo best-practice.</w:t>
      </w:r>
    </w:p>
    <w:p w14:paraId="4ED509AC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Kontroly zavedení bezpečnostních opatření</w:t>
      </w:r>
    </w:p>
    <w:p w14:paraId="5DE0F9A1" w14:textId="7BCC468C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provádět kontroly zavedených bezpečnostních opatření v prostředí </w:t>
      </w:r>
      <w:r w:rsidR="00931B74"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z w:val="16"/>
          <w:szCs w:val="16"/>
        </w:rPr>
        <w:t xml:space="preserve">oskytovatele </w:t>
      </w:r>
      <w:r w:rsidR="0023066D">
        <w:rPr>
          <w:rFonts w:ascii="Tahoma" w:hAnsi="Tahoma" w:cs="Tahoma"/>
          <w:sz w:val="16"/>
          <w:szCs w:val="16"/>
        </w:rPr>
        <w:t>v pravidelných intervalech a následně přijímat odpovídající preventivní nebo systémová nebo organizační opatření na zjištěné nedostatky nebo zranitelnosti a umožnit VFN ověření provádění kontrol a aplikaci následných opatření.</w:t>
      </w:r>
    </w:p>
    <w:p w14:paraId="1AD56FC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Audity plnění bezpečnostních požadavků</w:t>
      </w:r>
    </w:p>
    <w:p w14:paraId="092DFA6A" w14:textId="3B7BA203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umožnit VFN provedení auditu plnění požadavků uvedených v tomto dokumentu nebo s kterými byl prokazatelně </w:t>
      </w: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seznámen, a to po předchozím upozornění. Audit bude proveden zaměstnanci VFN nebo jím smluvně pověřeným subjektem.</w:t>
      </w:r>
      <w:bookmarkEnd w:id="1"/>
    </w:p>
    <w:p w14:paraId="43EC752C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157E975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B0A4BC4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sectPr w:rsidR="0023066D" w:rsidSect="007A14A5"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65507" w14:textId="77777777" w:rsidR="00B62411" w:rsidRDefault="00B62411">
      <w:r>
        <w:separator/>
      </w:r>
    </w:p>
  </w:endnote>
  <w:endnote w:type="continuationSeparator" w:id="0">
    <w:p w14:paraId="6FAC84C5" w14:textId="77777777" w:rsidR="00B62411" w:rsidRDefault="00B62411">
      <w:r>
        <w:continuationSeparator/>
      </w:r>
    </w:p>
  </w:endnote>
  <w:endnote w:type="continuationNotice" w:id="1">
    <w:p w14:paraId="4FDDDC59" w14:textId="77777777" w:rsidR="00B62411" w:rsidRDefault="00B62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217AC" w14:textId="77777777" w:rsidR="00EC40EC" w:rsidRDefault="00EC40EC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7A14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F34C" w14:textId="77777777" w:rsidR="007A14A5" w:rsidRPr="007A14A5" w:rsidRDefault="007A14A5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391F2C">
      <w:rPr>
        <w:rFonts w:ascii="Arial" w:hAnsi="Arial" w:cs="Arial"/>
        <w:noProof/>
        <w:sz w:val="18"/>
        <w:szCs w:val="18"/>
      </w:rPr>
      <w:t>2</w:t>
    </w:r>
    <w:r w:rsidRPr="007A14A5">
      <w:rPr>
        <w:rFonts w:ascii="Arial" w:hAnsi="Arial" w:cs="Arial"/>
        <w:sz w:val="18"/>
        <w:szCs w:val="18"/>
      </w:rPr>
      <w:fldChar w:fldCharType="end"/>
    </w:r>
  </w:p>
  <w:p w14:paraId="0FF48C3F" w14:textId="77777777" w:rsidR="00EC40EC" w:rsidRDefault="00EC40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3AFC" w14:textId="77777777" w:rsidR="00E212CB" w:rsidRDefault="00E21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CFFAF" w14:textId="77777777" w:rsidR="00B62411" w:rsidRDefault="00B62411">
      <w:r>
        <w:separator/>
      </w:r>
    </w:p>
  </w:footnote>
  <w:footnote w:type="continuationSeparator" w:id="0">
    <w:p w14:paraId="3CA74FA6" w14:textId="77777777" w:rsidR="00B62411" w:rsidRDefault="00B62411">
      <w:r>
        <w:continuationSeparator/>
      </w:r>
    </w:p>
  </w:footnote>
  <w:footnote w:type="continuationNotice" w:id="1">
    <w:p w14:paraId="28D641D0" w14:textId="77777777" w:rsidR="00B62411" w:rsidRDefault="00B62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9EFD" w14:textId="77777777" w:rsidR="00EC40EC" w:rsidRDefault="00EC40EC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 …../S/14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7499C" w14:textId="559ADB75" w:rsidR="00EC40EC" w:rsidRDefault="00831ED2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r w:rsidR="000E3EFB">
      <w:rPr>
        <w:rFonts w:ascii="Arial" w:hAnsi="Arial" w:cs="Arial"/>
        <w:b/>
        <w:sz w:val="18"/>
        <w:szCs w:val="18"/>
      </w:rPr>
      <w:t>884</w:t>
    </w:r>
    <w:r>
      <w:rPr>
        <w:rFonts w:ascii="Arial" w:hAnsi="Arial" w:cs="Arial"/>
        <w:b/>
        <w:sz w:val="18"/>
        <w:szCs w:val="18"/>
      </w:rPr>
      <w:t>/S/2</w:t>
    </w:r>
    <w:r w:rsidR="00F17EAB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40728" w14:textId="77777777" w:rsidR="00E212CB" w:rsidRDefault="00E21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68AAA74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ahoma" w:hAnsi="Tahoma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7E17DDD"/>
    <w:multiLevelType w:val="hybridMultilevel"/>
    <w:tmpl w:val="78C45ECC"/>
    <w:lvl w:ilvl="0" w:tplc="51465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7D021D8"/>
    <w:multiLevelType w:val="hybridMultilevel"/>
    <w:tmpl w:val="362EF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59E"/>
    <w:multiLevelType w:val="hybridMultilevel"/>
    <w:tmpl w:val="8CAE9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83528"/>
    <w:multiLevelType w:val="hybridMultilevel"/>
    <w:tmpl w:val="E826B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45D"/>
    <w:multiLevelType w:val="hybridMultilevel"/>
    <w:tmpl w:val="F1F621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2650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3F8A"/>
    <w:multiLevelType w:val="hybridMultilevel"/>
    <w:tmpl w:val="660A0BD2"/>
    <w:lvl w:ilvl="0" w:tplc="C51A0846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764E0"/>
    <w:multiLevelType w:val="hybridMultilevel"/>
    <w:tmpl w:val="7520BEAC"/>
    <w:lvl w:ilvl="0" w:tplc="021EA68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21"/>
  </w:num>
  <w:num w:numId="6">
    <w:abstractNumId w:val="18"/>
  </w:num>
  <w:num w:numId="7">
    <w:abstractNumId w:val="22"/>
  </w:num>
  <w:num w:numId="8">
    <w:abstractNumId w:val="2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  <w:lvlOverride w:ilvl="0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C"/>
    <w:rsid w:val="000016B9"/>
    <w:rsid w:val="00001755"/>
    <w:rsid w:val="0000499D"/>
    <w:rsid w:val="00004D30"/>
    <w:rsid w:val="00011824"/>
    <w:rsid w:val="00014C0F"/>
    <w:rsid w:val="00026E4C"/>
    <w:rsid w:val="000316A6"/>
    <w:rsid w:val="00036B07"/>
    <w:rsid w:val="00045DD9"/>
    <w:rsid w:val="00047F06"/>
    <w:rsid w:val="000509C0"/>
    <w:rsid w:val="000541EC"/>
    <w:rsid w:val="00054980"/>
    <w:rsid w:val="000577D3"/>
    <w:rsid w:val="00064F0F"/>
    <w:rsid w:val="000758D9"/>
    <w:rsid w:val="00075F9A"/>
    <w:rsid w:val="00076768"/>
    <w:rsid w:val="00077C56"/>
    <w:rsid w:val="000802D1"/>
    <w:rsid w:val="0009284A"/>
    <w:rsid w:val="00096118"/>
    <w:rsid w:val="000A1833"/>
    <w:rsid w:val="000B0DAD"/>
    <w:rsid w:val="000C21F3"/>
    <w:rsid w:val="000C4C57"/>
    <w:rsid w:val="000C5003"/>
    <w:rsid w:val="000D573F"/>
    <w:rsid w:val="000E3EFB"/>
    <w:rsid w:val="000E445D"/>
    <w:rsid w:val="000F0967"/>
    <w:rsid w:val="000F3690"/>
    <w:rsid w:val="000F59B3"/>
    <w:rsid w:val="000F66A2"/>
    <w:rsid w:val="001106AE"/>
    <w:rsid w:val="001144CE"/>
    <w:rsid w:val="0012222C"/>
    <w:rsid w:val="00124D04"/>
    <w:rsid w:val="00127424"/>
    <w:rsid w:val="001320B6"/>
    <w:rsid w:val="001321DA"/>
    <w:rsid w:val="00132524"/>
    <w:rsid w:val="00143E2D"/>
    <w:rsid w:val="0015008B"/>
    <w:rsid w:val="0015206C"/>
    <w:rsid w:val="001522DD"/>
    <w:rsid w:val="00157194"/>
    <w:rsid w:val="0016585E"/>
    <w:rsid w:val="00172667"/>
    <w:rsid w:val="00173C82"/>
    <w:rsid w:val="00184F28"/>
    <w:rsid w:val="00191E10"/>
    <w:rsid w:val="00195A0E"/>
    <w:rsid w:val="001A08BA"/>
    <w:rsid w:val="001A5730"/>
    <w:rsid w:val="001A6D22"/>
    <w:rsid w:val="001B1FB9"/>
    <w:rsid w:val="001C30D0"/>
    <w:rsid w:val="001C6B26"/>
    <w:rsid w:val="001D0AF0"/>
    <w:rsid w:val="001D32C5"/>
    <w:rsid w:val="001E0BD3"/>
    <w:rsid w:val="001E6F0F"/>
    <w:rsid w:val="001F6AA1"/>
    <w:rsid w:val="002045AE"/>
    <w:rsid w:val="00204E73"/>
    <w:rsid w:val="00205397"/>
    <w:rsid w:val="00215DE6"/>
    <w:rsid w:val="00216A4A"/>
    <w:rsid w:val="00220F24"/>
    <w:rsid w:val="002212DD"/>
    <w:rsid w:val="0023066D"/>
    <w:rsid w:val="00232851"/>
    <w:rsid w:val="00240DE7"/>
    <w:rsid w:val="00241EE4"/>
    <w:rsid w:val="00243F5E"/>
    <w:rsid w:val="00244FB3"/>
    <w:rsid w:val="00257FB9"/>
    <w:rsid w:val="002601BF"/>
    <w:rsid w:val="00267512"/>
    <w:rsid w:val="002701BC"/>
    <w:rsid w:val="00270618"/>
    <w:rsid w:val="00273CAB"/>
    <w:rsid w:val="00274361"/>
    <w:rsid w:val="00292304"/>
    <w:rsid w:val="0029345F"/>
    <w:rsid w:val="002A0EC6"/>
    <w:rsid w:val="002C4876"/>
    <w:rsid w:val="002F22BC"/>
    <w:rsid w:val="002F6022"/>
    <w:rsid w:val="00300204"/>
    <w:rsid w:val="00301C51"/>
    <w:rsid w:val="00302E9A"/>
    <w:rsid w:val="00312EFC"/>
    <w:rsid w:val="0031630A"/>
    <w:rsid w:val="00322E47"/>
    <w:rsid w:val="00327B97"/>
    <w:rsid w:val="003319DA"/>
    <w:rsid w:val="00332CCC"/>
    <w:rsid w:val="00335B87"/>
    <w:rsid w:val="00344A33"/>
    <w:rsid w:val="00345679"/>
    <w:rsid w:val="00372856"/>
    <w:rsid w:val="00372F71"/>
    <w:rsid w:val="00390F68"/>
    <w:rsid w:val="00391F2C"/>
    <w:rsid w:val="00393021"/>
    <w:rsid w:val="003973BD"/>
    <w:rsid w:val="003A1619"/>
    <w:rsid w:val="003A6499"/>
    <w:rsid w:val="003A6A11"/>
    <w:rsid w:val="003A6DE6"/>
    <w:rsid w:val="003B66E6"/>
    <w:rsid w:val="003C28A6"/>
    <w:rsid w:val="003C3D5B"/>
    <w:rsid w:val="003D0471"/>
    <w:rsid w:val="003D1704"/>
    <w:rsid w:val="003D20C0"/>
    <w:rsid w:val="003F229D"/>
    <w:rsid w:val="003F69E0"/>
    <w:rsid w:val="00404216"/>
    <w:rsid w:val="004127DF"/>
    <w:rsid w:val="00416017"/>
    <w:rsid w:val="00416BCA"/>
    <w:rsid w:val="004209B6"/>
    <w:rsid w:val="00422C94"/>
    <w:rsid w:val="004271F8"/>
    <w:rsid w:val="00443E6F"/>
    <w:rsid w:val="00444FD2"/>
    <w:rsid w:val="00447C09"/>
    <w:rsid w:val="00454C55"/>
    <w:rsid w:val="004609AD"/>
    <w:rsid w:val="00463010"/>
    <w:rsid w:val="00475863"/>
    <w:rsid w:val="004824FF"/>
    <w:rsid w:val="004941FB"/>
    <w:rsid w:val="00495518"/>
    <w:rsid w:val="00497C8C"/>
    <w:rsid w:val="004A13DB"/>
    <w:rsid w:val="004A1974"/>
    <w:rsid w:val="004C08B4"/>
    <w:rsid w:val="004C3F05"/>
    <w:rsid w:val="004D14EF"/>
    <w:rsid w:val="004D4C2F"/>
    <w:rsid w:val="004E0DB6"/>
    <w:rsid w:val="004E32D9"/>
    <w:rsid w:val="004F0ACE"/>
    <w:rsid w:val="005016B0"/>
    <w:rsid w:val="0050201F"/>
    <w:rsid w:val="00503FA5"/>
    <w:rsid w:val="00513D4F"/>
    <w:rsid w:val="00520AF0"/>
    <w:rsid w:val="00524212"/>
    <w:rsid w:val="00525981"/>
    <w:rsid w:val="00530D67"/>
    <w:rsid w:val="00536B83"/>
    <w:rsid w:val="005501CE"/>
    <w:rsid w:val="00550633"/>
    <w:rsid w:val="005523B9"/>
    <w:rsid w:val="00560B9C"/>
    <w:rsid w:val="005834F5"/>
    <w:rsid w:val="005853A9"/>
    <w:rsid w:val="00586921"/>
    <w:rsid w:val="00587811"/>
    <w:rsid w:val="00592309"/>
    <w:rsid w:val="00596888"/>
    <w:rsid w:val="005A3DB2"/>
    <w:rsid w:val="005A6230"/>
    <w:rsid w:val="005A633E"/>
    <w:rsid w:val="005A7BD3"/>
    <w:rsid w:val="005B17F1"/>
    <w:rsid w:val="005C07A2"/>
    <w:rsid w:val="005C0BE3"/>
    <w:rsid w:val="005C40FF"/>
    <w:rsid w:val="005C468E"/>
    <w:rsid w:val="005D0E17"/>
    <w:rsid w:val="005D3CC4"/>
    <w:rsid w:val="005E67B8"/>
    <w:rsid w:val="005F20E2"/>
    <w:rsid w:val="005F31E6"/>
    <w:rsid w:val="005F690C"/>
    <w:rsid w:val="0061124B"/>
    <w:rsid w:val="006214B5"/>
    <w:rsid w:val="006219E0"/>
    <w:rsid w:val="00622F09"/>
    <w:rsid w:val="00630781"/>
    <w:rsid w:val="00632C7C"/>
    <w:rsid w:val="0063336A"/>
    <w:rsid w:val="0063451A"/>
    <w:rsid w:val="00640A64"/>
    <w:rsid w:val="00642D8B"/>
    <w:rsid w:val="0064486B"/>
    <w:rsid w:val="006475A6"/>
    <w:rsid w:val="00652B04"/>
    <w:rsid w:val="0069224E"/>
    <w:rsid w:val="00694DCC"/>
    <w:rsid w:val="006A36CE"/>
    <w:rsid w:val="006A549A"/>
    <w:rsid w:val="006B5866"/>
    <w:rsid w:val="006D217F"/>
    <w:rsid w:val="006D750B"/>
    <w:rsid w:val="006D7C30"/>
    <w:rsid w:val="006E105A"/>
    <w:rsid w:val="006E1537"/>
    <w:rsid w:val="006F1DEC"/>
    <w:rsid w:val="006F55BB"/>
    <w:rsid w:val="006F711E"/>
    <w:rsid w:val="00711D96"/>
    <w:rsid w:val="00715AEA"/>
    <w:rsid w:val="0073439D"/>
    <w:rsid w:val="0074047A"/>
    <w:rsid w:val="00740669"/>
    <w:rsid w:val="00742ECE"/>
    <w:rsid w:val="00744554"/>
    <w:rsid w:val="0074570B"/>
    <w:rsid w:val="00746A8B"/>
    <w:rsid w:val="0075247D"/>
    <w:rsid w:val="007549CC"/>
    <w:rsid w:val="00755902"/>
    <w:rsid w:val="00756B5B"/>
    <w:rsid w:val="00761B8E"/>
    <w:rsid w:val="007625CC"/>
    <w:rsid w:val="007722B0"/>
    <w:rsid w:val="00775BAB"/>
    <w:rsid w:val="007821F7"/>
    <w:rsid w:val="00787C4D"/>
    <w:rsid w:val="007A14A5"/>
    <w:rsid w:val="007A3937"/>
    <w:rsid w:val="007B1953"/>
    <w:rsid w:val="007B38EB"/>
    <w:rsid w:val="007C0A21"/>
    <w:rsid w:val="007C5028"/>
    <w:rsid w:val="007E0BD2"/>
    <w:rsid w:val="007F222F"/>
    <w:rsid w:val="007F2E6C"/>
    <w:rsid w:val="007F4D6A"/>
    <w:rsid w:val="00802A25"/>
    <w:rsid w:val="0081701F"/>
    <w:rsid w:val="00823889"/>
    <w:rsid w:val="00831ED2"/>
    <w:rsid w:val="00836114"/>
    <w:rsid w:val="008363C5"/>
    <w:rsid w:val="0083728A"/>
    <w:rsid w:val="00843BB1"/>
    <w:rsid w:val="0085206E"/>
    <w:rsid w:val="00853FAE"/>
    <w:rsid w:val="0085520E"/>
    <w:rsid w:val="00862582"/>
    <w:rsid w:val="00862D3C"/>
    <w:rsid w:val="00876DCA"/>
    <w:rsid w:val="00877ECC"/>
    <w:rsid w:val="00880DA3"/>
    <w:rsid w:val="008813E0"/>
    <w:rsid w:val="008A10E1"/>
    <w:rsid w:val="008A228C"/>
    <w:rsid w:val="008A3B67"/>
    <w:rsid w:val="008B3FCA"/>
    <w:rsid w:val="008B76D4"/>
    <w:rsid w:val="008D1282"/>
    <w:rsid w:val="008D2993"/>
    <w:rsid w:val="008D2A80"/>
    <w:rsid w:val="008E436F"/>
    <w:rsid w:val="008E46A9"/>
    <w:rsid w:val="008E630B"/>
    <w:rsid w:val="008E732D"/>
    <w:rsid w:val="008E75D4"/>
    <w:rsid w:val="008E7E22"/>
    <w:rsid w:val="008F3CDC"/>
    <w:rsid w:val="008F4E4D"/>
    <w:rsid w:val="00915A20"/>
    <w:rsid w:val="00920C87"/>
    <w:rsid w:val="00923718"/>
    <w:rsid w:val="00931B74"/>
    <w:rsid w:val="00932612"/>
    <w:rsid w:val="0093346F"/>
    <w:rsid w:val="0094027B"/>
    <w:rsid w:val="00940925"/>
    <w:rsid w:val="00953D8B"/>
    <w:rsid w:val="00954DA1"/>
    <w:rsid w:val="00971500"/>
    <w:rsid w:val="00974C86"/>
    <w:rsid w:val="00982692"/>
    <w:rsid w:val="00986252"/>
    <w:rsid w:val="00990E40"/>
    <w:rsid w:val="00992EC0"/>
    <w:rsid w:val="009A2F96"/>
    <w:rsid w:val="009B5C57"/>
    <w:rsid w:val="009C1FAE"/>
    <w:rsid w:val="009C294F"/>
    <w:rsid w:val="009E5747"/>
    <w:rsid w:val="009F3E4D"/>
    <w:rsid w:val="009F4FB0"/>
    <w:rsid w:val="009F708F"/>
    <w:rsid w:val="00A03AE9"/>
    <w:rsid w:val="00A04CCF"/>
    <w:rsid w:val="00A050EE"/>
    <w:rsid w:val="00A07684"/>
    <w:rsid w:val="00A15AB7"/>
    <w:rsid w:val="00A34322"/>
    <w:rsid w:val="00A42CF7"/>
    <w:rsid w:val="00A503E5"/>
    <w:rsid w:val="00A53CC4"/>
    <w:rsid w:val="00A54C32"/>
    <w:rsid w:val="00A61B6B"/>
    <w:rsid w:val="00A62F8C"/>
    <w:rsid w:val="00A6649A"/>
    <w:rsid w:val="00A74ADD"/>
    <w:rsid w:val="00A80C7F"/>
    <w:rsid w:val="00A8136B"/>
    <w:rsid w:val="00A850F2"/>
    <w:rsid w:val="00A8542C"/>
    <w:rsid w:val="00A90731"/>
    <w:rsid w:val="00A9120A"/>
    <w:rsid w:val="00A913D2"/>
    <w:rsid w:val="00A95254"/>
    <w:rsid w:val="00A96667"/>
    <w:rsid w:val="00AA13B9"/>
    <w:rsid w:val="00AA1C9A"/>
    <w:rsid w:val="00AA45D9"/>
    <w:rsid w:val="00AB12BA"/>
    <w:rsid w:val="00AB15EC"/>
    <w:rsid w:val="00AB2104"/>
    <w:rsid w:val="00AC5DD3"/>
    <w:rsid w:val="00AD062E"/>
    <w:rsid w:val="00AD69A3"/>
    <w:rsid w:val="00AE1335"/>
    <w:rsid w:val="00AF63BD"/>
    <w:rsid w:val="00B01E75"/>
    <w:rsid w:val="00B023A0"/>
    <w:rsid w:val="00B10E2E"/>
    <w:rsid w:val="00B142A5"/>
    <w:rsid w:val="00B1769E"/>
    <w:rsid w:val="00B24C4A"/>
    <w:rsid w:val="00B26056"/>
    <w:rsid w:val="00B301E2"/>
    <w:rsid w:val="00B30314"/>
    <w:rsid w:val="00B35341"/>
    <w:rsid w:val="00B3667B"/>
    <w:rsid w:val="00B37A6F"/>
    <w:rsid w:val="00B41D69"/>
    <w:rsid w:val="00B44B35"/>
    <w:rsid w:val="00B50444"/>
    <w:rsid w:val="00B510C5"/>
    <w:rsid w:val="00B539F2"/>
    <w:rsid w:val="00B54594"/>
    <w:rsid w:val="00B62411"/>
    <w:rsid w:val="00B62BAA"/>
    <w:rsid w:val="00B7581F"/>
    <w:rsid w:val="00B874E4"/>
    <w:rsid w:val="00BA1A99"/>
    <w:rsid w:val="00BA57AD"/>
    <w:rsid w:val="00BA691A"/>
    <w:rsid w:val="00BB1A86"/>
    <w:rsid w:val="00BB5110"/>
    <w:rsid w:val="00BB54AB"/>
    <w:rsid w:val="00BB6720"/>
    <w:rsid w:val="00BC52E3"/>
    <w:rsid w:val="00BD0641"/>
    <w:rsid w:val="00BD47E0"/>
    <w:rsid w:val="00BE12CB"/>
    <w:rsid w:val="00BE48C0"/>
    <w:rsid w:val="00BE48E7"/>
    <w:rsid w:val="00BF055B"/>
    <w:rsid w:val="00BF2513"/>
    <w:rsid w:val="00BF513E"/>
    <w:rsid w:val="00C1067D"/>
    <w:rsid w:val="00C1468F"/>
    <w:rsid w:val="00C2078F"/>
    <w:rsid w:val="00C272E5"/>
    <w:rsid w:val="00C27DEA"/>
    <w:rsid w:val="00C32BC1"/>
    <w:rsid w:val="00C33D01"/>
    <w:rsid w:val="00C53F44"/>
    <w:rsid w:val="00C57FC0"/>
    <w:rsid w:val="00C719E6"/>
    <w:rsid w:val="00C7559D"/>
    <w:rsid w:val="00C762C9"/>
    <w:rsid w:val="00C82242"/>
    <w:rsid w:val="00C8288B"/>
    <w:rsid w:val="00C95B84"/>
    <w:rsid w:val="00C96541"/>
    <w:rsid w:val="00CA1853"/>
    <w:rsid w:val="00CA378E"/>
    <w:rsid w:val="00CA6D19"/>
    <w:rsid w:val="00CA7C94"/>
    <w:rsid w:val="00CB46E9"/>
    <w:rsid w:val="00CC6634"/>
    <w:rsid w:val="00CD2231"/>
    <w:rsid w:val="00CD7C14"/>
    <w:rsid w:val="00CE19A2"/>
    <w:rsid w:val="00CE19A7"/>
    <w:rsid w:val="00CE3CC3"/>
    <w:rsid w:val="00CE3CF6"/>
    <w:rsid w:val="00CE3D28"/>
    <w:rsid w:val="00CE5659"/>
    <w:rsid w:val="00CE5A3B"/>
    <w:rsid w:val="00CF7567"/>
    <w:rsid w:val="00CF7927"/>
    <w:rsid w:val="00D14AB5"/>
    <w:rsid w:val="00D16B57"/>
    <w:rsid w:val="00D22DCF"/>
    <w:rsid w:val="00D41D42"/>
    <w:rsid w:val="00D5188B"/>
    <w:rsid w:val="00D51FBD"/>
    <w:rsid w:val="00D52DF9"/>
    <w:rsid w:val="00D56B14"/>
    <w:rsid w:val="00D64336"/>
    <w:rsid w:val="00D64BCA"/>
    <w:rsid w:val="00D7340C"/>
    <w:rsid w:val="00D83992"/>
    <w:rsid w:val="00D91624"/>
    <w:rsid w:val="00D91748"/>
    <w:rsid w:val="00D921CC"/>
    <w:rsid w:val="00D941EC"/>
    <w:rsid w:val="00D95180"/>
    <w:rsid w:val="00D97745"/>
    <w:rsid w:val="00DA6025"/>
    <w:rsid w:val="00DA711F"/>
    <w:rsid w:val="00DA765F"/>
    <w:rsid w:val="00DB0D57"/>
    <w:rsid w:val="00DB36E0"/>
    <w:rsid w:val="00DB7550"/>
    <w:rsid w:val="00DB7940"/>
    <w:rsid w:val="00DC0CDA"/>
    <w:rsid w:val="00DC224D"/>
    <w:rsid w:val="00DC71FC"/>
    <w:rsid w:val="00DD4026"/>
    <w:rsid w:val="00DE208D"/>
    <w:rsid w:val="00DE5965"/>
    <w:rsid w:val="00DE6A48"/>
    <w:rsid w:val="00E210FD"/>
    <w:rsid w:val="00E212CB"/>
    <w:rsid w:val="00E24197"/>
    <w:rsid w:val="00E2706F"/>
    <w:rsid w:val="00E30EDF"/>
    <w:rsid w:val="00E50A87"/>
    <w:rsid w:val="00E53389"/>
    <w:rsid w:val="00E869E8"/>
    <w:rsid w:val="00E901AB"/>
    <w:rsid w:val="00EB3362"/>
    <w:rsid w:val="00EB785A"/>
    <w:rsid w:val="00EC0869"/>
    <w:rsid w:val="00EC243D"/>
    <w:rsid w:val="00EC40EC"/>
    <w:rsid w:val="00ED03AE"/>
    <w:rsid w:val="00ED23AD"/>
    <w:rsid w:val="00ED7980"/>
    <w:rsid w:val="00EE0DD7"/>
    <w:rsid w:val="00EE0F2E"/>
    <w:rsid w:val="00EF0521"/>
    <w:rsid w:val="00EF72D9"/>
    <w:rsid w:val="00EF7B0C"/>
    <w:rsid w:val="00F02458"/>
    <w:rsid w:val="00F03E31"/>
    <w:rsid w:val="00F0507F"/>
    <w:rsid w:val="00F10BC6"/>
    <w:rsid w:val="00F111CA"/>
    <w:rsid w:val="00F168F7"/>
    <w:rsid w:val="00F17EAB"/>
    <w:rsid w:val="00F21B6C"/>
    <w:rsid w:val="00F27EC1"/>
    <w:rsid w:val="00F30CFE"/>
    <w:rsid w:val="00F30F76"/>
    <w:rsid w:val="00F43000"/>
    <w:rsid w:val="00F50124"/>
    <w:rsid w:val="00F53CCB"/>
    <w:rsid w:val="00F54C25"/>
    <w:rsid w:val="00F54E2E"/>
    <w:rsid w:val="00F558DE"/>
    <w:rsid w:val="00F639AD"/>
    <w:rsid w:val="00F6488A"/>
    <w:rsid w:val="00F717B0"/>
    <w:rsid w:val="00F7393F"/>
    <w:rsid w:val="00F77DEF"/>
    <w:rsid w:val="00F8461F"/>
    <w:rsid w:val="00F847FF"/>
    <w:rsid w:val="00F9193B"/>
    <w:rsid w:val="00F9494B"/>
    <w:rsid w:val="00F97739"/>
    <w:rsid w:val="00FA33E7"/>
    <w:rsid w:val="00FA5269"/>
    <w:rsid w:val="00FA5311"/>
    <w:rsid w:val="00FA7223"/>
    <w:rsid w:val="00FA77D4"/>
    <w:rsid w:val="00FC16C4"/>
    <w:rsid w:val="00FC4620"/>
    <w:rsid w:val="00FC571E"/>
    <w:rsid w:val="00FC684D"/>
    <w:rsid w:val="00FD3C30"/>
    <w:rsid w:val="00FD516A"/>
    <w:rsid w:val="00FE02E9"/>
    <w:rsid w:val="00FF6FB7"/>
    <w:rsid w:val="1719934E"/>
    <w:rsid w:val="178C5D6C"/>
    <w:rsid w:val="1C173FF8"/>
    <w:rsid w:val="44D5F799"/>
    <w:rsid w:val="61C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B73BA"/>
  <w15:chartTrackingRefBased/>
  <w15:docId w15:val="{69CF3DD5-C417-4900-ADD1-F158C25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uiPriority w:val="99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EB785A"/>
    <w:pPr>
      <w:numPr>
        <w:ilvl w:val="1"/>
        <w:numId w:val="4"/>
      </w:numPr>
      <w:suppressAutoHyphens w:val="0"/>
      <w:spacing w:before="360" w:after="120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4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EB785A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4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stavec,A-Odrážky1,A-Odrážky,Odrážky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tabulka-zahlavi">
    <w:name w:val="tabulka - zahlavi"/>
    <w:basedOn w:val="Normln"/>
    <w:link w:val="tabulka-zahlaviChar"/>
    <w:qFormat/>
    <w:rsid w:val="00D64BCA"/>
    <w:pPr>
      <w:suppressAutoHyphens w:val="0"/>
      <w:spacing w:line="259" w:lineRule="auto"/>
    </w:pPr>
    <w:rPr>
      <w:rFonts w:eastAsia="Calibri" w:cs="Calibri"/>
      <w:b/>
      <w:bCs/>
      <w:color w:val="FFFFFF"/>
      <w:kern w:val="0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D64BCA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D64BCA"/>
    <w:pPr>
      <w:suppressAutoHyphens w:val="0"/>
    </w:pPr>
    <w:rPr>
      <w:rFonts w:ascii="Calibri" w:hAnsi="Calibri" w:cs="Calibri"/>
      <w:color w:val="000000"/>
      <w:kern w:val="0"/>
      <w:szCs w:val="18"/>
      <w:lang w:eastAsia="cs-CZ"/>
    </w:rPr>
  </w:style>
  <w:style w:type="character" w:customStyle="1" w:styleId="texttabulkaChar">
    <w:name w:val="text tabulka Char"/>
    <w:link w:val="texttabulka"/>
    <w:rsid w:val="00D64BCA"/>
    <w:rPr>
      <w:rFonts w:ascii="Calibri" w:hAnsi="Calibri" w:cs="Calibri"/>
      <w:color w:val="000000"/>
      <w:szCs w:val="18"/>
    </w:rPr>
  </w:style>
  <w:style w:type="character" w:styleId="Zmnka">
    <w:name w:val="Mention"/>
    <w:uiPriority w:val="99"/>
    <w:semiHidden/>
    <w:unhideWhenUsed/>
    <w:rsid w:val="00011824"/>
    <w:rPr>
      <w:color w:val="2B579A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stavec Char"/>
    <w:link w:val="Odstavecseseznamem"/>
    <w:uiPriority w:val="34"/>
    <w:qFormat/>
    <w:locked/>
    <w:rsid w:val="00B24C4A"/>
    <w:rPr>
      <w:kern w:val="1"/>
      <w:lang w:eastAsia="ar-SA"/>
    </w:rPr>
  </w:style>
  <w:style w:type="character" w:customStyle="1" w:styleId="normaltextrun">
    <w:name w:val="normaltextrun"/>
    <w:rsid w:val="00B24C4A"/>
  </w:style>
  <w:style w:type="character" w:customStyle="1" w:styleId="eop">
    <w:name w:val="eop"/>
    <w:rsid w:val="00B24C4A"/>
  </w:style>
  <w:style w:type="paragraph" w:customStyle="1" w:styleId="9en">
    <w:name w:val="9 en"/>
    <w:basedOn w:val="Normln"/>
    <w:qFormat/>
    <w:rsid w:val="001106AE"/>
    <w:pPr>
      <w:widowControl w:val="0"/>
      <w:tabs>
        <w:tab w:val="left" w:pos="2835"/>
      </w:tabs>
      <w:spacing w:before="57"/>
      <w:ind w:left="567" w:hanging="567"/>
    </w:pPr>
    <w:rPr>
      <w:rFonts w:ascii="Arial MT" w:eastAsia="HG Mincho Light J" w:hAnsi="Arial MT"/>
      <w:i/>
      <w:color w:val="000000"/>
      <w:kern w:val="0"/>
      <w:sz w:val="18"/>
      <w:szCs w:val="24"/>
      <w:lang w:val="en-GB" w:eastAsia="cs-CZ"/>
    </w:rPr>
  </w:style>
  <w:style w:type="paragraph" w:customStyle="1" w:styleId="10czbcap">
    <w:name w:val="10 cz b cap"/>
    <w:basedOn w:val="Normln"/>
    <w:rsid w:val="001106AE"/>
    <w:pPr>
      <w:widowControl w:val="0"/>
      <w:tabs>
        <w:tab w:val="num" w:pos="0"/>
      </w:tabs>
      <w:spacing w:before="113"/>
      <w:ind w:left="567" w:hanging="567"/>
      <w:outlineLvl w:val="0"/>
    </w:pPr>
    <w:rPr>
      <w:rFonts w:ascii="Arial MT" w:eastAsia="HG Mincho Light J" w:hAnsi="Arial MT"/>
      <w:b/>
      <w:color w:val="000000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6219E0"/>
    <w:rPr>
      <w:kern w:val="1"/>
      <w:lang w:eastAsia="ar-SA"/>
    </w:rPr>
  </w:style>
  <w:style w:type="paragraph" w:customStyle="1" w:styleId="paragraph">
    <w:name w:val="paragraph"/>
    <w:basedOn w:val="Normln"/>
    <w:rsid w:val="001D32C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ManazerKB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vfn.cz/files/ext-vpn/SM-UI-02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vfn.cz/externista/" TargetMode="Externa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1196</RequestID>
    <PocetZnRetezec xmlns="acca34e4-9ecd-41c8-99eb-d6aa654aaa55">4</PocetZnRetezec>
    <Block_WF xmlns="acca34e4-9ecd-41c8-99eb-d6aa654aaa55">0</Block_WF>
    <ZkracenyRetezec xmlns="acca34e4-9ecd-41c8-99eb-d6aa654aaa55">1196-884/884-23_RS.docx</ZkracenyRetezec>
    <Smazat xmlns="acca34e4-9ecd-41c8-99eb-d6aa654aaa55">&lt;a href="/sites/evidencesmluv/_layouts/15/IniWrkflIP.aspx?List=%7bCE30C7C5-C907-4538-821C-CE5B191189D5%7d&amp;amp;ID=3113&amp;amp;ItemGuid=%7bA5F5BA38-CFA8-4E8F-AE90-44A5E0864F2F%7d&amp;amp;TemplateID=%7bd3f8102e-f4a5-4901-b93c-fb146a9d820d%7d"&gt;&lt;img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1B58D-DD3B-4A7A-AF40-8FC2494CBF00}"/>
</file>

<file path=customXml/itemProps2.xml><?xml version="1.0" encoding="utf-8"?>
<ds:datastoreItem xmlns:ds="http://schemas.openxmlformats.org/officeDocument/2006/customXml" ds:itemID="{917F410A-20DD-483C-9900-FFBE1D38AD7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9302F4-4BC8-442E-9BFA-17CCB65F3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477A4-A4BF-49F4-A9AF-A0E1C39A68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D38314-8A6A-45FB-BB26-2C6424E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6045</Words>
  <Characters>35669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ÚDRŽBY, PODPORY</vt:lpstr>
    </vt:vector>
  </TitlesOfParts>
  <Company>vfn</Company>
  <LinksUpToDate>false</LinksUpToDate>
  <CharactersWithSpaces>41631</CharactersWithSpaces>
  <SharedDoc>false</SharedDoc>
  <HLinks>
    <vt:vector size="24" baseType="variant">
      <vt:variant>
        <vt:i4>4653130</vt:i4>
      </vt:variant>
      <vt:variant>
        <vt:i4>9</vt:i4>
      </vt:variant>
      <vt:variant>
        <vt:i4>0</vt:i4>
      </vt:variant>
      <vt:variant>
        <vt:i4>5</vt:i4>
      </vt:variant>
      <vt:variant>
        <vt:lpwstr>https://www.vfn.cz/files/ext-vpn/SM-UI-02.pdf</vt:lpwstr>
      </vt:variant>
      <vt:variant>
        <vt:lpwstr/>
      </vt:variant>
      <vt:variant>
        <vt:i4>2818165</vt:i4>
      </vt:variant>
      <vt:variant>
        <vt:i4>6</vt:i4>
      </vt:variant>
      <vt:variant>
        <vt:i4>0</vt:i4>
      </vt:variant>
      <vt:variant>
        <vt:i4>5</vt:i4>
      </vt:variant>
      <vt:variant>
        <vt:lpwstr>https://www.vfn.cz/externista/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mailto:ManazerKB@vfn.cz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ÚDRŽBY, PODPORY</dc:title>
  <dc:subject/>
  <dc:creator>15042</dc:creator>
  <cp:keywords/>
  <cp:lastModifiedBy>Kotusová Zuzana, Ing. DiS.</cp:lastModifiedBy>
  <cp:revision>2</cp:revision>
  <cp:lastPrinted>2014-09-17T16:03:00Z</cp:lastPrinted>
  <dcterms:created xsi:type="dcterms:W3CDTF">2024-01-11T10:03:00Z</dcterms:created>
  <dcterms:modified xsi:type="dcterms:W3CDTF">2024-01-11T10:03:00Z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2021-07-09T06:40:04Z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ContentTypeId">
    <vt:lpwstr>0x010100EFF427952D4E634383E9B8E9D938055A004949B7518D5D0A45B6686D747269DA7C</vt:lpwstr>
  </property>
  <property fmtid="{D5CDD505-2E9C-101B-9397-08002B2CF9AE}" pid="16" name="_dlc_DocIdItemGuid">
    <vt:lpwstr>a2838de2-ae49-4b9f-a571-04e952ad61b2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