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a14="http://schemas.microsoft.com/office/drawing/2010/main">
                  <w:pict w14:anchorId="7D07A509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207D7021" w:rsidR="0048714C" w:rsidRPr="00220B80" w:rsidRDefault="0048714C" w:rsidP="1890951C">
      <w:pPr>
        <w:rPr>
          <w:b/>
          <w:bCs/>
          <w:color w:val="000000"/>
          <w:sz w:val="22"/>
          <w:szCs w:val="22"/>
        </w:rPr>
      </w:pPr>
      <w:r w:rsidRPr="1890951C">
        <w:rPr>
          <w:b/>
          <w:bCs/>
          <w:color w:val="000000" w:themeColor="text1"/>
          <w:sz w:val="22"/>
          <w:szCs w:val="22"/>
          <w:u w:val="single"/>
        </w:rPr>
        <w:t>SO, PS</w:t>
      </w:r>
      <w:r w:rsidRPr="1890951C">
        <w:rPr>
          <w:b/>
          <w:bCs/>
          <w:color w:val="000000" w:themeColor="text1"/>
          <w:sz w:val="22"/>
          <w:szCs w:val="22"/>
        </w:rPr>
        <w:t>:</w:t>
      </w:r>
      <w:r w:rsidR="00576E11" w:rsidRPr="1890951C">
        <w:rPr>
          <w:b/>
          <w:bCs/>
          <w:color w:val="000000" w:themeColor="text1"/>
          <w:sz w:val="22"/>
          <w:szCs w:val="22"/>
        </w:rPr>
        <w:t xml:space="preserve"> </w:t>
      </w:r>
      <w:r w:rsidR="490DFA32" w:rsidRPr="1890951C">
        <w:rPr>
          <w:b/>
          <w:bCs/>
          <w:color w:val="000000" w:themeColor="text1"/>
          <w:sz w:val="22"/>
          <w:szCs w:val="22"/>
        </w:rPr>
        <w:t>D.1.01.4 ÚT</w:t>
      </w:r>
    </w:p>
    <w:p w14:paraId="0881E8E5" w14:textId="017D49AA" w:rsidR="1890951C" w:rsidRDefault="1890951C" w:rsidP="1890951C">
      <w:pPr>
        <w:rPr>
          <w:b/>
          <w:bCs/>
          <w:color w:val="000000" w:themeColor="text1"/>
          <w:sz w:val="22"/>
          <w:szCs w:val="22"/>
        </w:rPr>
      </w:pPr>
    </w:p>
    <w:p w14:paraId="7E110159" w14:textId="2167EB52" w:rsidR="006A1BAA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 w:rsidRPr="00723E47">
        <w:rPr>
          <w:bCs/>
          <w:color w:val="000000"/>
          <w:sz w:val="22"/>
          <w:szCs w:val="22"/>
        </w:rPr>
        <w:t xml:space="preserve"> </w:t>
      </w:r>
      <w:r w:rsidR="00E20716">
        <w:rPr>
          <w:bCs/>
          <w:color w:val="000000"/>
          <w:sz w:val="22"/>
          <w:szCs w:val="22"/>
        </w:rPr>
        <w:t xml:space="preserve">Předkládáme Vám tento změnový list na základě prověření stávajícího vedení potrubí přívodu topné vody, které se dle projektové dokumentace </w:t>
      </w:r>
      <w:r w:rsidR="002F627C">
        <w:rPr>
          <w:bCs/>
          <w:color w:val="000000"/>
          <w:sz w:val="22"/>
          <w:szCs w:val="22"/>
        </w:rPr>
        <w:t>mělo pouze natřít a vyměnit izolace. Potrubí je z části vedeno v nepřístupném kanálu a po prověření jeho stavu je toto potrubí již po cca 40 letech provozu ve špatném stavu</w:t>
      </w:r>
      <w:r w:rsidR="00BC11C6">
        <w:rPr>
          <w:bCs/>
          <w:color w:val="000000"/>
          <w:sz w:val="22"/>
          <w:szCs w:val="22"/>
        </w:rPr>
        <w:t xml:space="preserve"> (koroze svárů, zanesení potrubí atd.). </w:t>
      </w:r>
      <w:r w:rsidR="00A15550">
        <w:rPr>
          <w:bCs/>
          <w:color w:val="000000"/>
          <w:sz w:val="22"/>
          <w:szCs w:val="22"/>
        </w:rPr>
        <w:t xml:space="preserve">Změnový list řeší novou přípojku topné vody </w:t>
      </w:r>
      <w:r w:rsidR="00F02E2B">
        <w:rPr>
          <w:bCs/>
          <w:color w:val="000000"/>
          <w:sz w:val="22"/>
          <w:szCs w:val="22"/>
        </w:rPr>
        <w:t xml:space="preserve">do výměníkové stanice vedenou nad podhledem v 1.NP, kde tato přípojka bude přístupná do budoucna údržbě. </w:t>
      </w:r>
    </w:p>
    <w:p w14:paraId="068E128F" w14:textId="77777777" w:rsidR="00723E47" w:rsidRPr="00AF3E55" w:rsidRDefault="00723E47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8E10A07" w:rsidR="00920236" w:rsidRDefault="004B62C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66BFC951" w:rsidR="00920236" w:rsidRDefault="00F02E2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kontrolního dne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320C4D71" w:rsidR="00920236" w:rsidRDefault="00F02E2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DC61A34" w:rsidR="00920236" w:rsidRDefault="00F02E2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7A682A6D" w:rsidR="00920236" w:rsidRDefault="00F02E2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26EE9B30" w:rsidR="00920236" w:rsidRDefault="00F02E2B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>Z důvodů vedení této trasy přes prostor rehabilitace, nebude možné splnit termín dokončení II</w:t>
      </w:r>
      <w:r w:rsidR="00B67CBF">
        <w:rPr>
          <w:color w:val="000000"/>
          <w:sz w:val="18"/>
        </w:rPr>
        <w:t>I</w:t>
      </w:r>
      <w:r>
        <w:rPr>
          <w:color w:val="000000"/>
          <w:sz w:val="18"/>
        </w:rPr>
        <w:t>.</w:t>
      </w:r>
      <w:r w:rsidR="00B67CBF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etapy výstavby </w:t>
      </w:r>
      <w:r w:rsidR="001D1A47">
        <w:rPr>
          <w:color w:val="000000"/>
          <w:sz w:val="18"/>
        </w:rPr>
        <w:t xml:space="preserve">dle dodatku č.2 a to </w:t>
      </w:r>
      <w:r>
        <w:rPr>
          <w:color w:val="000000"/>
          <w:sz w:val="18"/>
        </w:rPr>
        <w:t>23.6.20</w:t>
      </w:r>
      <w:r w:rsidR="004B29D6">
        <w:rPr>
          <w:color w:val="000000"/>
          <w:sz w:val="18"/>
        </w:rPr>
        <w:t>2</w:t>
      </w:r>
      <w:r>
        <w:rPr>
          <w:color w:val="000000"/>
          <w:sz w:val="18"/>
        </w:rPr>
        <w:t>3</w:t>
      </w:r>
      <w:r w:rsidR="001D1A47">
        <w:rPr>
          <w:color w:val="000000"/>
          <w:sz w:val="18"/>
        </w:rPr>
        <w:t xml:space="preserve">. Nový termín dokončení III. etapy výstavby je dohodnut do </w:t>
      </w:r>
      <w:r w:rsidR="006F6C80">
        <w:rPr>
          <w:color w:val="000000"/>
          <w:sz w:val="18"/>
        </w:rPr>
        <w:t>31</w:t>
      </w:r>
      <w:r w:rsidR="001D1A47">
        <w:rPr>
          <w:color w:val="000000"/>
          <w:sz w:val="18"/>
        </w:rPr>
        <w:t>.</w:t>
      </w:r>
      <w:r w:rsidR="006F6C80">
        <w:rPr>
          <w:color w:val="000000"/>
          <w:sz w:val="18"/>
        </w:rPr>
        <w:t>8</w:t>
      </w:r>
      <w:r w:rsidR="001D1A47">
        <w:rPr>
          <w:color w:val="000000"/>
          <w:sz w:val="18"/>
        </w:rPr>
        <w:t>.2023.</w:t>
      </w:r>
      <w:r w:rsidR="004B29D6">
        <w:rPr>
          <w:color w:val="000000"/>
          <w:sz w:val="18"/>
        </w:rPr>
        <w:t xml:space="preserve"> 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922E7EC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0071697F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71697F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0071697F">
        <w:rPr>
          <w:color w:val="000000"/>
          <w:sz w:val="18"/>
          <w:szCs w:val="18"/>
        </w:rPr>
        <w:fldChar w:fldCharType="end"/>
      </w:r>
      <w:r w:rsidR="00920236" w:rsidRPr="0071697F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3C7D582B" w:rsidRPr="0071697F">
        <w:rPr>
          <w:b/>
          <w:bCs/>
          <w:color w:val="000000"/>
          <w:sz w:val="18"/>
          <w:szCs w:val="18"/>
        </w:rPr>
        <w:t>420 251,49</w:t>
      </w:r>
      <w:r w:rsidR="00576E11" w:rsidRPr="0071697F">
        <w:rPr>
          <w:b/>
          <w:bCs/>
          <w:color w:val="000000"/>
          <w:sz w:val="18"/>
          <w:szCs w:val="18"/>
        </w:rPr>
        <w:t xml:space="preserve"> Kč</w:t>
      </w:r>
      <w:r w:rsidRPr="0071697F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2E8E2D4" w:rsidR="00554327" w:rsidRDefault="00CA5CA2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6A50C2D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CA5CA2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6638CE6E" w:rsidR="00554327" w:rsidRDefault="00CA5CA2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334B01DD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CA5CA2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1387FEB8" w:rsidR="00554327" w:rsidRDefault="00CA5CA2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11B3EA05" w:rsidR="000F0B4B" w:rsidRPr="003033C6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3E25699D" w14:textId="2694E4AA" w:rsidR="003033C6" w:rsidRPr="006C0C89" w:rsidRDefault="003033C6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Fotodokumentace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6071" w14:textId="77777777" w:rsidR="00534D83" w:rsidRDefault="00534D83">
      <w:r>
        <w:separator/>
      </w:r>
    </w:p>
  </w:endnote>
  <w:endnote w:type="continuationSeparator" w:id="0">
    <w:p w14:paraId="4ECFF2BE" w14:textId="77777777" w:rsidR="00534D83" w:rsidRDefault="005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4322A68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B0498">
            <w:rPr>
              <w:rFonts w:ascii="Arial" w:hAnsi="Arial" w:cs="Arial"/>
              <w:sz w:val="18"/>
              <w:szCs w:val="18"/>
            </w:rPr>
            <w:t>2</w:t>
          </w:r>
          <w:r w:rsidR="003033C6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34F5D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1D8CB92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B0498">
            <w:rPr>
              <w:rFonts w:ascii="Arial" w:hAnsi="Arial" w:cs="Arial"/>
              <w:sz w:val="18"/>
              <w:szCs w:val="18"/>
            </w:rPr>
            <w:t>2</w:t>
          </w:r>
          <w:r w:rsidR="003033C6">
            <w:rPr>
              <w:rFonts w:ascii="Arial" w:hAnsi="Arial" w:cs="Arial"/>
              <w:sz w:val="18"/>
              <w:szCs w:val="18"/>
            </w:rPr>
            <w:t>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88FE" w14:textId="77777777" w:rsidR="00534D83" w:rsidRDefault="00534D83">
      <w:r>
        <w:separator/>
      </w:r>
    </w:p>
  </w:footnote>
  <w:footnote w:type="continuationSeparator" w:id="0">
    <w:p w14:paraId="74B71FD4" w14:textId="77777777" w:rsidR="00534D83" w:rsidRDefault="0053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87E4F58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3033C6">
            <w:rPr>
              <w:caps/>
              <w:sz w:val="34"/>
            </w:rPr>
            <w:t>5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71043"/>
    <w:rsid w:val="001805A7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2AE6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1A47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36CA7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2F627C"/>
    <w:rsid w:val="003001FB"/>
    <w:rsid w:val="00300E82"/>
    <w:rsid w:val="003033C6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B0498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B29D6"/>
    <w:rsid w:val="004B62CC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4D83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35A0"/>
    <w:rsid w:val="005E50C5"/>
    <w:rsid w:val="005F2025"/>
    <w:rsid w:val="005F22BD"/>
    <w:rsid w:val="005F6CDE"/>
    <w:rsid w:val="00606BCA"/>
    <w:rsid w:val="0061057C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9700B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6F6C80"/>
    <w:rsid w:val="007044A5"/>
    <w:rsid w:val="00704673"/>
    <w:rsid w:val="00707D1F"/>
    <w:rsid w:val="00711D44"/>
    <w:rsid w:val="0071697F"/>
    <w:rsid w:val="007223CA"/>
    <w:rsid w:val="00723E47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30E4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356F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D7B93"/>
    <w:rsid w:val="009E208E"/>
    <w:rsid w:val="009E2EBB"/>
    <w:rsid w:val="009F34AC"/>
    <w:rsid w:val="009F54E3"/>
    <w:rsid w:val="009F6170"/>
    <w:rsid w:val="009F631B"/>
    <w:rsid w:val="00A0258F"/>
    <w:rsid w:val="00A12A73"/>
    <w:rsid w:val="00A14DA3"/>
    <w:rsid w:val="00A15550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B2FD0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67C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11C6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A5CA2"/>
    <w:rsid w:val="00CA639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83F60"/>
    <w:rsid w:val="00D92141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0716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2E2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86A236A"/>
    <w:rsid w:val="1890951C"/>
    <w:rsid w:val="3C7D582B"/>
    <w:rsid w:val="490DFA32"/>
    <w:rsid w:val="65FFE3BC"/>
    <w:rsid w:val="6723C001"/>
    <w:rsid w:val="67FFEE2E"/>
    <w:rsid w:val="6BD25936"/>
    <w:rsid w:val="72B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https://blockcrs.sharepoint.com/sites/BLOCKProjects/_layouts/15/DocIdRedir.aspx?ID=YCURTQV7CF5Q-1980195412-8250</Url>
      <Description>YCURTQV7CF5Q-1980195412-8250</Description>
    </_dlc_DocIdUrl>
    <_dlc_DocId xmlns="4c274fb8-ee70-4b92-a29a-50f614e68c01">YCURTQV7CF5Q-1980195412-8250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C62CF25B-B0F4-4738-BFC0-478CEAABC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2532</Characters>
  <Application>Microsoft Office Word</Application>
  <DocSecurity>0</DocSecurity>
  <Lines>21</Lines>
  <Paragraphs>5</Paragraphs>
  <ScaleCrop>false</ScaleCrop>
  <Company>BLOCK a.s.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65</cp:revision>
  <cp:lastPrinted>2022-12-06T06:35:00Z</cp:lastPrinted>
  <dcterms:created xsi:type="dcterms:W3CDTF">2022-10-13T10:00:00Z</dcterms:created>
  <dcterms:modified xsi:type="dcterms:W3CDTF">2024-01-11T13:38:00Z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322bae26-0b70-424f-aa1d-7f39baf46c53</vt:lpwstr>
  </property>
  <property fmtid="{D5CDD505-2E9C-101B-9397-08002B2CF9AE}" pid="205" name="MediaServiceImageTags">
    <vt:lpwstr/>
  </property>
</Properties>
</file>