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č.ú.: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512BCFD6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r w:rsidR="00BA1750">
        <w:rPr>
          <w:rFonts w:ascii="Roboto" w:hAnsi="Roboto" w:cs="Times New Roman"/>
        </w:rPr>
        <w:t xml:space="preserve">S </w:t>
      </w:r>
      <w:r w:rsidR="00BA1750">
        <w:rPr>
          <w:rFonts w:ascii="Calibri" w:hAnsi="Calibri" w:cs="Calibri"/>
        </w:rPr>
        <w:t>&amp;</w:t>
      </w:r>
      <w:r w:rsidR="00BA1750">
        <w:rPr>
          <w:rFonts w:ascii="Roboto" w:hAnsi="Roboto" w:cs="Times New Roman"/>
        </w:rPr>
        <w:t xml:space="preserve"> S TZB, s.r.o.</w:t>
      </w:r>
    </w:p>
    <w:p w14:paraId="514E16C4" w14:textId="6ED38FB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BA1750">
        <w:rPr>
          <w:rFonts w:ascii="Roboto" w:hAnsi="Roboto" w:cs="Times New Roman"/>
        </w:rPr>
        <w:t>Horymírovou náměstí 1416/9</w:t>
      </w:r>
      <w:r w:rsidR="00622B0B">
        <w:rPr>
          <w:rFonts w:ascii="Roboto" w:hAnsi="Roboto" w:cs="Times New Roman"/>
        </w:rPr>
        <w:t xml:space="preserve">, </w:t>
      </w:r>
      <w:r w:rsidR="00BA1750">
        <w:rPr>
          <w:rFonts w:ascii="Roboto" w:hAnsi="Roboto" w:cs="Times New Roman"/>
        </w:rPr>
        <w:t>153 00 Praha 5</w:t>
      </w:r>
    </w:p>
    <w:p w14:paraId="261A7F24" w14:textId="22451EA6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BA1750">
        <w:rPr>
          <w:rFonts w:ascii="Roboto" w:hAnsi="Roboto" w:cs="Times New Roman"/>
        </w:rPr>
        <w:t>26128110</w:t>
      </w:r>
    </w:p>
    <w:p w14:paraId="618C5900" w14:textId="1C7EEDA2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="00BA1750">
        <w:rPr>
          <w:rFonts w:ascii="Roboto" w:hAnsi="Roboto" w:cs="Times New Roman"/>
        </w:rPr>
        <w:t>26128110</w:t>
      </w:r>
    </w:p>
    <w:p w14:paraId="1AA27510" w14:textId="18A3F9D0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r w:rsidR="00795B4B">
        <w:rPr>
          <w:rFonts w:ascii="Roboto" w:hAnsi="Roboto" w:cs="Times New Roman"/>
        </w:rPr>
        <w:t xml:space="preserve">Tomášem Sedlákem, </w:t>
      </w:r>
      <w:r w:rsidR="00C328AD">
        <w:rPr>
          <w:rFonts w:ascii="Roboto" w:hAnsi="Roboto" w:cs="Times New Roman"/>
        </w:rPr>
        <w:t>jednatelem</w:t>
      </w:r>
    </w:p>
    <w:p w14:paraId="6571AFB7" w14:textId="26EB862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r w:rsidR="00E12A67">
        <w:rPr>
          <w:rFonts w:ascii="Roboto" w:hAnsi="Roboto" w:cs="Times New Roman"/>
        </w:rPr>
        <w:t>150416028/0600</w:t>
      </w:r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534A002F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>dne 1</w:t>
      </w:r>
      <w:r w:rsidR="004B3875">
        <w:rPr>
          <w:rFonts w:ascii="Roboto" w:hAnsi="Roboto" w:cs="Times New Roman"/>
        </w:rPr>
        <w:t>8</w:t>
      </w:r>
      <w:r w:rsidR="001C247F" w:rsidRPr="002122DF">
        <w:rPr>
          <w:rFonts w:ascii="Roboto" w:hAnsi="Roboto" w:cs="Times New Roman"/>
        </w:rPr>
        <w:t xml:space="preserve">. </w:t>
      </w:r>
      <w:r w:rsidR="004B3875">
        <w:rPr>
          <w:rFonts w:ascii="Roboto" w:hAnsi="Roboto" w:cs="Times New Roman"/>
        </w:rPr>
        <w:t>7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B568C7">
        <w:rPr>
          <w:rFonts w:ascii="Roboto" w:hAnsi="Roboto" w:cs="Times New Roman"/>
        </w:rPr>
        <w:t>5</w:t>
      </w:r>
      <w:r w:rsidR="00BA1750">
        <w:rPr>
          <w:rFonts w:ascii="Roboto" w:hAnsi="Roboto" w:cs="Times New Roman"/>
        </w:rPr>
        <w:t>1</w:t>
      </w:r>
      <w:r w:rsidR="004B3875">
        <w:rPr>
          <w:rFonts w:ascii="Roboto" w:hAnsi="Roboto" w:cs="Times New Roman"/>
        </w:rPr>
        <w:t xml:space="preserve"> a č. 22309430</w:t>
      </w:r>
      <w:r w:rsidR="00BA1750">
        <w:rPr>
          <w:rFonts w:ascii="Roboto" w:hAnsi="Roboto" w:cs="Times New Roman"/>
        </w:rPr>
        <w:t>52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BA1750">
        <w:rPr>
          <w:rFonts w:ascii="Roboto" w:hAnsi="Roboto" w:cs="Times New Roman"/>
        </w:rPr>
        <w:t>instalace nového ventiátoru na CHÚC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337E9164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B568C7">
        <w:rPr>
          <w:rFonts w:ascii="Roboto" w:hAnsi="Roboto" w:cs="Times New Roman"/>
        </w:rPr>
        <w:t>5</w:t>
      </w:r>
      <w:r w:rsidR="00BA1750">
        <w:rPr>
          <w:rFonts w:ascii="Roboto" w:hAnsi="Roboto" w:cs="Times New Roman"/>
        </w:rPr>
        <w:t>1</w:t>
      </w:r>
      <w:r w:rsidR="004B3875">
        <w:rPr>
          <w:rFonts w:ascii="Roboto" w:hAnsi="Roboto" w:cs="Times New Roman"/>
        </w:rPr>
        <w:t xml:space="preserve"> a č. 22309430</w:t>
      </w:r>
      <w:r w:rsidR="00BA1750">
        <w:rPr>
          <w:rFonts w:ascii="Roboto" w:hAnsi="Roboto" w:cs="Times New Roman"/>
        </w:rPr>
        <w:t>52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772CC2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772CC2">
        <w:rPr>
          <w:rFonts w:ascii="Roboto" w:hAnsi="Roboto"/>
        </w:rPr>
        <w:t xml:space="preserve">ve </w:t>
      </w:r>
      <w:r w:rsidR="006E0B8E" w:rsidRPr="00772CC2">
        <w:rPr>
          <w:rFonts w:ascii="Roboto" w:hAnsi="Roboto"/>
        </w:rPr>
        <w:t>dvou vyhotoveních</w:t>
      </w:r>
      <w:r w:rsidR="0091679E" w:rsidRPr="00772CC2">
        <w:rPr>
          <w:rFonts w:ascii="Roboto" w:hAnsi="Roboto"/>
        </w:rPr>
        <w:t>.</w:t>
      </w:r>
      <w:r w:rsidR="006E0B8E" w:rsidRPr="00772CC2">
        <w:rPr>
          <w:rFonts w:ascii="Roboto" w:hAnsi="Roboto"/>
        </w:rPr>
        <w:t xml:space="preserve"> Každá ze stran obdrží po jednom výtisku.</w:t>
      </w:r>
    </w:p>
    <w:p w14:paraId="35F7E1C0" w14:textId="531100D3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</w:t>
      </w:r>
      <w:r w:rsidR="00B568C7">
        <w:rPr>
          <w:rFonts w:ascii="Roboto" w:hAnsi="Roboto" w:cs="Times New Roman"/>
        </w:rPr>
        <w:t>5</w:t>
      </w:r>
      <w:r w:rsidR="00BA1750">
        <w:rPr>
          <w:rFonts w:ascii="Roboto" w:hAnsi="Roboto" w:cs="Times New Roman"/>
        </w:rPr>
        <w:t>1</w:t>
      </w:r>
      <w:r w:rsidR="00D94EA4">
        <w:rPr>
          <w:rFonts w:ascii="Roboto" w:hAnsi="Roboto" w:cs="Times New Roman"/>
        </w:rPr>
        <w:t xml:space="preserve"> a č. 22309430</w:t>
      </w:r>
      <w:r w:rsidR="00BA1750">
        <w:rPr>
          <w:rFonts w:ascii="Roboto" w:hAnsi="Roboto" w:cs="Times New Roman"/>
        </w:rPr>
        <w:t>52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2C85A02E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2EAD533E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</w:p>
    <w:p w14:paraId="403818A8" w14:textId="3727CF81" w:rsidR="00BA1750" w:rsidRDefault="00BA1750" w:rsidP="00BA1750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</w:t>
      </w:r>
      <w:r w:rsidR="0091679E">
        <w:rPr>
          <w:rFonts w:ascii="Roboto" w:hAnsi="Roboto" w:cs="Times New Roman"/>
        </w:rPr>
        <w:t>Ing. Tomáš Langer, Ph.D., kvestor</w:t>
      </w:r>
      <w:r w:rsidR="00763993">
        <w:rPr>
          <w:rFonts w:ascii="Roboto" w:hAnsi="Roboto" w:cs="Times New Roman"/>
        </w:rPr>
        <w:tab/>
      </w:r>
      <w:bookmarkEnd w:id="0"/>
      <w:r>
        <w:rPr>
          <w:rFonts w:ascii="Roboto" w:hAnsi="Roboto" w:cs="Times New Roman"/>
        </w:rPr>
        <w:t xml:space="preserve">                          </w:t>
      </w:r>
      <w:r w:rsidR="00C328AD">
        <w:rPr>
          <w:rFonts w:ascii="Roboto" w:hAnsi="Roboto" w:cs="Times New Roman"/>
        </w:rPr>
        <w:t>Tomáš Sedlák, jednatel</w:t>
      </w:r>
    </w:p>
    <w:p w14:paraId="05F0B193" w14:textId="63B9632A" w:rsidR="00BA1750" w:rsidRDefault="00BA1750" w:rsidP="00BA1750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</w:t>
      </w:r>
      <w:r>
        <w:rPr>
          <w:rFonts w:ascii="Roboto" w:hAnsi="Roboto"/>
        </w:rPr>
        <w:t>Akademie múzických umění v Praze</w:t>
      </w:r>
      <w:r>
        <w:rPr>
          <w:rFonts w:ascii="Roboto" w:hAnsi="Roboto"/>
        </w:rPr>
        <w:tab/>
        <w:t xml:space="preserve">                                  </w:t>
      </w:r>
      <w:r>
        <w:rPr>
          <w:rFonts w:ascii="Roboto" w:hAnsi="Roboto" w:cs="Times New Roman"/>
        </w:rPr>
        <w:t xml:space="preserve">S </w:t>
      </w:r>
      <w:r>
        <w:rPr>
          <w:rFonts w:ascii="Calibri" w:hAnsi="Calibri" w:cs="Calibri"/>
        </w:rPr>
        <w:t>&amp;</w:t>
      </w:r>
      <w:r>
        <w:rPr>
          <w:rFonts w:ascii="Roboto" w:hAnsi="Roboto" w:cs="Times New Roman"/>
        </w:rPr>
        <w:t xml:space="preserve"> S TZB, s.r.o.</w:t>
      </w:r>
    </w:p>
    <w:p w14:paraId="6570A99A" w14:textId="77777777" w:rsidR="00BA1750" w:rsidRPr="004B3875" w:rsidRDefault="00BA1750" w:rsidP="00BA1750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/>
        </w:rPr>
        <w:t xml:space="preserve">    </w:t>
      </w:r>
    </w:p>
    <w:p w14:paraId="6226E869" w14:textId="7DD8F5E4" w:rsidR="00BA1750" w:rsidRPr="004B3875" w:rsidRDefault="00BA1750" w:rsidP="00BA1750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                                                                                     </w:t>
      </w:r>
    </w:p>
    <w:p w14:paraId="48D129AF" w14:textId="54BA044D" w:rsidR="001C247F" w:rsidRPr="00FF71E4" w:rsidRDefault="001C247F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</w:p>
    <w:p w14:paraId="72C17623" w14:textId="77777777" w:rsidR="004154CD" w:rsidRPr="00FF71E4" w:rsidRDefault="004154CD" w:rsidP="002122DF">
      <w:pPr>
        <w:rPr>
          <w:rFonts w:ascii="Roboto" w:hAnsi="Roboto"/>
        </w:rPr>
      </w:pPr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86C23"/>
    <w:rsid w:val="001908A7"/>
    <w:rsid w:val="001C247F"/>
    <w:rsid w:val="002122DF"/>
    <w:rsid w:val="00277263"/>
    <w:rsid w:val="002E4B29"/>
    <w:rsid w:val="004154CD"/>
    <w:rsid w:val="00475252"/>
    <w:rsid w:val="004B3875"/>
    <w:rsid w:val="004E7883"/>
    <w:rsid w:val="00505E98"/>
    <w:rsid w:val="00622B0B"/>
    <w:rsid w:val="006E0B8E"/>
    <w:rsid w:val="0072202D"/>
    <w:rsid w:val="00763993"/>
    <w:rsid w:val="00772CC2"/>
    <w:rsid w:val="00795B4B"/>
    <w:rsid w:val="007D16ED"/>
    <w:rsid w:val="0091679E"/>
    <w:rsid w:val="00A04E7A"/>
    <w:rsid w:val="00B568C7"/>
    <w:rsid w:val="00BA1750"/>
    <w:rsid w:val="00C00D44"/>
    <w:rsid w:val="00C328AD"/>
    <w:rsid w:val="00D064EC"/>
    <w:rsid w:val="00D94EA4"/>
    <w:rsid w:val="00E12A67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0C8AF-A684-492B-80DC-D45D45F04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3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Martina HLAVÁČKOVÁ</cp:lastModifiedBy>
  <cp:revision>17</cp:revision>
  <dcterms:created xsi:type="dcterms:W3CDTF">2023-03-22T12:50:00Z</dcterms:created>
  <dcterms:modified xsi:type="dcterms:W3CDTF">2024-01-10T09:45:00Z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