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783C" w14:textId="77777777" w:rsidR="009B6A50" w:rsidRPr="00731403" w:rsidRDefault="009B6A50" w:rsidP="009B6A50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06138CDD" w14:textId="77777777" w:rsidR="009B6A50" w:rsidRPr="00731403" w:rsidRDefault="009B6A50" w:rsidP="009B6A50">
      <w:pPr>
        <w:pStyle w:val="Default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31403">
        <w:rPr>
          <w:rFonts w:asciiTheme="minorHAnsi" w:hAnsiTheme="minorHAnsi" w:cstheme="minorHAnsi"/>
          <w:color w:val="000000" w:themeColor="text1"/>
        </w:rPr>
        <w:t xml:space="preserve"> </w:t>
      </w:r>
    </w:p>
    <w:p w14:paraId="370F9F73" w14:textId="77777777" w:rsidR="008266A1" w:rsidRPr="00731403" w:rsidRDefault="009B6A50" w:rsidP="009B6A5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3140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SMLOUVA O</w:t>
      </w:r>
      <w:r w:rsidR="00307B91" w:rsidRPr="0073140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SPOLUPRÁCI A</w:t>
      </w:r>
      <w:r w:rsidR="008266A1" w:rsidRPr="0073140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ŘEŠENÍ</w:t>
      </w:r>
      <w:r w:rsidRPr="0073140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PROJEKTU</w:t>
      </w:r>
      <w:r w:rsidR="008266A1" w:rsidRPr="0073140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6D64DC36" w14:textId="77777777" w:rsidR="009B6A50" w:rsidRPr="00731403" w:rsidRDefault="008266A1" w:rsidP="009B6A5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3140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„</w:t>
      </w:r>
      <w:r w:rsidR="009215C4" w:rsidRPr="00731403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Vývoj inovativních potravinářských výrobků v oblasti zdravé výživy</w:t>
      </w:r>
      <w:r w:rsidRPr="0073140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“</w:t>
      </w:r>
    </w:p>
    <w:p w14:paraId="5160F0DD" w14:textId="77777777" w:rsidR="009B6A50" w:rsidRPr="00731403" w:rsidRDefault="00307B91" w:rsidP="009B6A5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uzavřená mezi následujícími smluvními stranami</w:t>
      </w:r>
    </w:p>
    <w:p w14:paraId="0F0521D5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2EFB029" w14:textId="77777777" w:rsidR="00D20967" w:rsidRPr="00731403" w:rsidRDefault="00D20967" w:rsidP="00B52602">
      <w:pPr>
        <w:spacing w:after="0"/>
        <w:rPr>
          <w:rFonts w:cstheme="minorHAnsi"/>
          <w:b/>
          <w:color w:val="000000" w:themeColor="text1"/>
        </w:rPr>
      </w:pPr>
      <w:proofErr w:type="spellStart"/>
      <w:r w:rsidRPr="00731403">
        <w:rPr>
          <w:rFonts w:cstheme="minorHAnsi"/>
          <w:b/>
          <w:color w:val="000000" w:themeColor="text1"/>
        </w:rPr>
        <w:t>Sense</w:t>
      </w:r>
      <w:proofErr w:type="spellEnd"/>
      <w:r w:rsidRPr="00731403">
        <w:rPr>
          <w:rFonts w:cstheme="minorHAnsi"/>
          <w:b/>
          <w:color w:val="000000" w:themeColor="text1"/>
        </w:rPr>
        <w:t xml:space="preserve"> </w:t>
      </w:r>
      <w:proofErr w:type="spellStart"/>
      <w:r w:rsidRPr="00731403">
        <w:rPr>
          <w:rFonts w:cstheme="minorHAnsi"/>
          <w:b/>
          <w:color w:val="000000" w:themeColor="text1"/>
        </w:rPr>
        <w:t>Coco</w:t>
      </w:r>
      <w:proofErr w:type="spellEnd"/>
      <w:r w:rsidRPr="00731403">
        <w:rPr>
          <w:rFonts w:cstheme="minorHAnsi"/>
          <w:b/>
          <w:color w:val="000000" w:themeColor="text1"/>
        </w:rPr>
        <w:t xml:space="preserve"> s.r.o.</w:t>
      </w:r>
    </w:p>
    <w:p w14:paraId="5045EF2F" w14:textId="61C698EE" w:rsidR="00B52602" w:rsidRPr="00731403" w:rsidRDefault="00B52602" w:rsidP="00B52602">
      <w:pPr>
        <w:spacing w:after="0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>IČ:</w:t>
      </w:r>
      <w:r w:rsidR="0005705F" w:rsidRPr="00731403">
        <w:rPr>
          <w:rFonts w:cstheme="minorHAnsi"/>
          <w:color w:val="000000" w:themeColor="text1"/>
        </w:rPr>
        <w:t xml:space="preserve"> 0573321</w:t>
      </w:r>
      <w:r w:rsidR="006329F2">
        <w:rPr>
          <w:rFonts w:cstheme="minorHAnsi"/>
          <w:color w:val="000000" w:themeColor="text1"/>
        </w:rPr>
        <w:t>9</w:t>
      </w:r>
    </w:p>
    <w:p w14:paraId="25F5B332" w14:textId="77777777" w:rsidR="00D20967" w:rsidRPr="00106C31" w:rsidRDefault="00B52602" w:rsidP="00B52602">
      <w:pPr>
        <w:spacing w:after="0"/>
        <w:rPr>
          <w:rFonts w:cstheme="minorHAnsi"/>
          <w:color w:val="000000" w:themeColor="text1"/>
        </w:rPr>
      </w:pPr>
      <w:r w:rsidRPr="00106C31">
        <w:rPr>
          <w:rFonts w:cstheme="minorHAnsi"/>
          <w:color w:val="000000" w:themeColor="text1"/>
        </w:rPr>
        <w:t>zastoupený</w:t>
      </w:r>
      <w:r w:rsidR="00D20967" w:rsidRPr="00106C31">
        <w:rPr>
          <w:rFonts w:cstheme="minorHAnsi"/>
          <w:color w:val="000000" w:themeColor="text1"/>
        </w:rPr>
        <w:t xml:space="preserve"> Jaroslav</w:t>
      </w:r>
      <w:r w:rsidRPr="00106C31">
        <w:rPr>
          <w:rFonts w:cstheme="minorHAnsi"/>
          <w:color w:val="000000" w:themeColor="text1"/>
        </w:rPr>
        <w:t>em</w:t>
      </w:r>
      <w:r w:rsidR="00D20967" w:rsidRPr="00106C31">
        <w:rPr>
          <w:rFonts w:cstheme="minorHAnsi"/>
          <w:color w:val="000000" w:themeColor="text1"/>
        </w:rPr>
        <w:t xml:space="preserve"> Macháč</w:t>
      </w:r>
      <w:r w:rsidRPr="00106C31">
        <w:rPr>
          <w:rFonts w:cstheme="minorHAnsi"/>
          <w:color w:val="000000" w:themeColor="text1"/>
        </w:rPr>
        <w:t>kem</w:t>
      </w:r>
    </w:p>
    <w:p w14:paraId="5DE845D3" w14:textId="77777777" w:rsidR="00B52602" w:rsidRPr="00106C31" w:rsidRDefault="00B52602" w:rsidP="00B52602">
      <w:pPr>
        <w:spacing w:after="0"/>
        <w:rPr>
          <w:rFonts w:cstheme="minorHAnsi"/>
          <w:color w:val="000000" w:themeColor="text1"/>
        </w:rPr>
      </w:pPr>
      <w:r w:rsidRPr="00106C31">
        <w:rPr>
          <w:rFonts w:cstheme="minorHAnsi"/>
          <w:color w:val="000000" w:themeColor="text1"/>
        </w:rPr>
        <w:t>Adresa:</w:t>
      </w:r>
      <w:r w:rsidR="0005705F" w:rsidRPr="00106C31">
        <w:rPr>
          <w:rFonts w:cstheme="minorHAnsi"/>
          <w:color w:val="000000" w:themeColor="text1"/>
        </w:rPr>
        <w:t xml:space="preserve"> </w:t>
      </w:r>
      <w:r w:rsidR="00712B5D" w:rsidRPr="00106C31">
        <w:rPr>
          <w:rFonts w:cstheme="minorHAnsi"/>
          <w:color w:val="222222"/>
          <w:shd w:val="clear" w:color="auto" w:fill="FFFFFF"/>
        </w:rPr>
        <w:t>Sokolská 1790/56, Nové Město, 120 00 Praha 2</w:t>
      </w:r>
    </w:p>
    <w:p w14:paraId="32CBA67D" w14:textId="77777777" w:rsidR="00D20967" w:rsidRPr="00106C31" w:rsidRDefault="00D20967" w:rsidP="00B52602">
      <w:pPr>
        <w:spacing w:after="0"/>
        <w:rPr>
          <w:rFonts w:cstheme="minorHAnsi"/>
          <w:color w:val="000000" w:themeColor="text1"/>
        </w:rPr>
      </w:pPr>
      <w:r w:rsidRPr="00106C31">
        <w:rPr>
          <w:rFonts w:cstheme="minorHAnsi"/>
          <w:color w:val="000000" w:themeColor="text1"/>
        </w:rPr>
        <w:t>Telefon: 734 395</w:t>
      </w:r>
      <w:r w:rsidR="00B52602" w:rsidRPr="00106C31">
        <w:rPr>
          <w:rFonts w:cstheme="minorHAnsi"/>
          <w:color w:val="000000" w:themeColor="text1"/>
        </w:rPr>
        <w:t> </w:t>
      </w:r>
      <w:r w:rsidRPr="00106C31">
        <w:rPr>
          <w:rFonts w:cstheme="minorHAnsi"/>
          <w:color w:val="000000" w:themeColor="text1"/>
        </w:rPr>
        <w:t>400</w:t>
      </w:r>
    </w:p>
    <w:p w14:paraId="49BEE665" w14:textId="77777777" w:rsidR="00B52602" w:rsidRPr="00106C31" w:rsidRDefault="00B52602" w:rsidP="00B52602">
      <w:pPr>
        <w:spacing w:after="0"/>
        <w:rPr>
          <w:rFonts w:cstheme="minorHAnsi"/>
          <w:color w:val="000000" w:themeColor="text1"/>
        </w:rPr>
      </w:pPr>
      <w:r w:rsidRPr="00106C31">
        <w:rPr>
          <w:rFonts w:cstheme="minorHAnsi"/>
          <w:color w:val="000000" w:themeColor="text1"/>
        </w:rPr>
        <w:t xml:space="preserve">E-mail: </w:t>
      </w:r>
      <w:hyperlink r:id="rId8" w:history="1">
        <w:r w:rsidR="0005705F" w:rsidRPr="00106C31">
          <w:rPr>
            <w:rStyle w:val="Hypertextovodkaz"/>
            <w:rFonts w:cstheme="minorHAnsi"/>
            <w:color w:val="000000" w:themeColor="text1"/>
          </w:rPr>
          <w:t>info@sensecoco.com</w:t>
        </w:r>
      </w:hyperlink>
      <w:r w:rsidR="0005705F" w:rsidRPr="00106C31">
        <w:rPr>
          <w:rFonts w:cstheme="minorHAnsi"/>
          <w:color w:val="000000" w:themeColor="text1"/>
        </w:rPr>
        <w:t xml:space="preserve"> </w:t>
      </w:r>
    </w:p>
    <w:p w14:paraId="3B999A7E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(dále jen „žadatel“)</w:t>
      </w:r>
    </w:p>
    <w:p w14:paraId="0EC89989" w14:textId="77777777" w:rsidR="00B52602" w:rsidRPr="00731403" w:rsidRDefault="00B52602" w:rsidP="00307B91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0B6D45E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Výzkumný ústav </w:t>
      </w:r>
      <w:r w:rsidR="0005705F"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mlékárenský s.r.o.</w:t>
      </w:r>
    </w:p>
    <w:p w14:paraId="40FDEB72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IČ: </w:t>
      </w:r>
      <w:r w:rsidR="0005705F"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26722861</w:t>
      </w:r>
    </w:p>
    <w:p w14:paraId="683E5153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zastoupený Ing.</w:t>
      </w:r>
      <w:r w:rsidR="004E1AFD"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Irenou Němečkovou, Ph.D.</w:t>
      </w:r>
    </w:p>
    <w:p w14:paraId="39C2BFFC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Adresa: </w:t>
      </w:r>
      <w:r w:rsidR="0005705F"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 Dvoru 12, Praha 6</w:t>
      </w:r>
    </w:p>
    <w:p w14:paraId="7F4BF06C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Telefon: </w:t>
      </w:r>
      <w:r w:rsidR="0005705F" w:rsidRPr="00731403">
        <w:rPr>
          <w:rFonts w:asciiTheme="minorHAnsi" w:hAnsiTheme="minorHAnsi" w:cstheme="minorHAnsi"/>
          <w:color w:val="000000" w:themeColor="text1"/>
        </w:rPr>
        <w:t>73</w:t>
      </w:r>
      <w:r w:rsidR="004E1AFD" w:rsidRPr="00731403">
        <w:rPr>
          <w:rFonts w:asciiTheme="minorHAnsi" w:hAnsiTheme="minorHAnsi" w:cstheme="minorHAnsi"/>
          <w:color w:val="000000" w:themeColor="text1"/>
        </w:rPr>
        <w:t>0 588 467</w:t>
      </w:r>
    </w:p>
    <w:p w14:paraId="1F53632F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E-mail: </w:t>
      </w:r>
      <w:hyperlink r:id="rId9" w:history="1">
        <w:r w:rsidR="004E1AFD" w:rsidRPr="00731403">
          <w:rPr>
            <w:rStyle w:val="Hypertextovodkaz"/>
            <w:rFonts w:asciiTheme="minorHAnsi" w:hAnsiTheme="minorHAnsi" w:cstheme="minorHAnsi"/>
            <w:color w:val="000000" w:themeColor="text1"/>
          </w:rPr>
          <w:t>nemeckova@milcom-as.cz</w:t>
        </w:r>
      </w:hyperlink>
    </w:p>
    <w:p w14:paraId="5D10D6F7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(dále jen „</w:t>
      </w:r>
      <w:r w:rsidR="004E1AFD"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výzkumná </w:t>
      </w:r>
      <w:r w:rsidR="000306A5"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organizace</w:t>
      </w: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“)</w:t>
      </w:r>
    </w:p>
    <w:p w14:paraId="6A13BA37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1DBACD2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Ing. Jiří Trnka</w:t>
      </w:r>
    </w:p>
    <w:p w14:paraId="3381A9CA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Adresa: </w:t>
      </w:r>
      <w:r w:rsidR="0005705F"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 návsí 2450/11, Praha 10</w:t>
      </w:r>
    </w:p>
    <w:p w14:paraId="105B7863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Tel.: 7</w:t>
      </w:r>
      <w:r w:rsidR="0005705F"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24 153 581</w:t>
      </w:r>
    </w:p>
    <w:p w14:paraId="202624D1" w14:textId="77777777" w:rsidR="00307B91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E-mail: </w:t>
      </w:r>
      <w:hyperlink r:id="rId10" w:history="1">
        <w:r w:rsidR="00015B1E" w:rsidRPr="00731403">
          <w:rPr>
            <w:rStyle w:val="Hypertextovodkaz"/>
            <w:rFonts w:asciiTheme="minorHAnsi" w:hAnsiTheme="minorHAnsi" w:cstheme="minorHAnsi"/>
            <w:bCs/>
            <w:color w:val="000000" w:themeColor="text1"/>
            <w:sz w:val="22"/>
            <w:szCs w:val="22"/>
          </w:rPr>
          <w:t>trnka@biom.cz</w:t>
        </w:r>
      </w:hyperlink>
      <w:r w:rsidR="00015B1E"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725F17E6" w14:textId="77777777" w:rsidR="009B6A50" w:rsidRPr="00731403" w:rsidRDefault="00307B91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(dále jen „broker“)</w:t>
      </w:r>
    </w:p>
    <w:p w14:paraId="4524D8AD" w14:textId="77777777" w:rsidR="00307A40" w:rsidRPr="00731403" w:rsidRDefault="00307A40" w:rsidP="00307B91">
      <w:pPr>
        <w:pStyle w:val="Defaul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1994415" w14:textId="77777777" w:rsidR="00307A40" w:rsidRPr="00731403" w:rsidRDefault="00307A40" w:rsidP="00307B91">
      <w:pPr>
        <w:pStyle w:val="Default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(společně dále také jako „účastníci projektu“</w:t>
      </w:r>
      <w:r w:rsidR="00BB0210"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nebo „smluvní strany“</w:t>
      </w:r>
      <w:r w:rsidRPr="007314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</w:p>
    <w:p w14:paraId="5FD5AE4C" w14:textId="77777777" w:rsidR="009B6A50" w:rsidRPr="00731403" w:rsidRDefault="009B6A50" w:rsidP="00307B91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8C7D31" w14:textId="77777777" w:rsidR="009B6A50" w:rsidRPr="00731403" w:rsidRDefault="009B6A50" w:rsidP="00307B9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uzavírají tuto smlouvu o řešení projektu </w:t>
      </w:r>
      <w:r w:rsidR="0005705F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 názvem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07B9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„</w:t>
      </w:r>
      <w:r w:rsidR="0005705F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Vývoj inovativních potravinářských výrobků v oblasti zdravé výživy“</w:t>
      </w:r>
      <w:r w:rsidR="00307B9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na jehož financování byla podána žádost o poskytnutí podpory v rámci </w:t>
      </w:r>
      <w:r w:rsidR="0005705F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intervence 53.77 Podpora operačních skupin a projektů EIP </w:t>
      </w:r>
      <w:r w:rsidR="00FA0A79" w:rsidRPr="00731403">
        <w:rPr>
          <w:rFonts w:asciiTheme="minorHAnsi" w:hAnsiTheme="minorHAnsi" w:cstheme="minorHAnsi"/>
          <w:color w:val="000000" w:themeColor="text1"/>
        </w:rPr>
        <w:t>Strategického plánu SZP 2023-2027</w:t>
      </w:r>
      <w:r w:rsidR="009215C4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registrační číslo </w:t>
      </w:r>
      <w:r w:rsidR="009215C4" w:rsidRPr="00731403">
        <w:rPr>
          <w:rFonts w:asciiTheme="minorHAnsi" w:hAnsiTheme="minorHAnsi" w:cstheme="minorHAnsi"/>
          <w:color w:val="000000" w:themeColor="text1"/>
        </w:rPr>
        <w:t>23/001/5377b/100/000404</w:t>
      </w:r>
      <w:r w:rsidR="009215C4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(dále jen „smlouva“):</w:t>
      </w:r>
    </w:p>
    <w:p w14:paraId="5FAB83A3" w14:textId="77777777" w:rsidR="009B6A50" w:rsidRPr="00731403" w:rsidRDefault="009B6A50" w:rsidP="00307B9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1E5DEF4" w14:textId="77777777" w:rsidR="009B6A50" w:rsidRPr="00731403" w:rsidRDefault="009B6A50" w:rsidP="009B6A50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Článek I</w:t>
      </w:r>
    </w:p>
    <w:p w14:paraId="7AA70F34" w14:textId="77777777" w:rsidR="009B6A50" w:rsidRPr="00731403" w:rsidRDefault="009B6A50" w:rsidP="009B6A50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Předmět smlouvy</w:t>
      </w:r>
    </w:p>
    <w:p w14:paraId="75FF328D" w14:textId="77777777" w:rsidR="009B6A50" w:rsidRPr="00731403" w:rsidRDefault="009B6A50" w:rsidP="009B6A50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434461" w14:textId="77777777" w:rsidR="009B6A50" w:rsidRPr="00731403" w:rsidRDefault="009B6A50" w:rsidP="009B6A50">
      <w:pPr>
        <w:pStyle w:val="Default"/>
        <w:spacing w:after="13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Předmětem této smlouvy je stanovení podmínek a práv a povinností smluvních stran při řešení </w:t>
      </w:r>
      <w:r w:rsidR="00307B9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rojektu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„Vývoj inovativních potravinářských výrobků v oblasti zdravé výživy“</w:t>
      </w:r>
      <w:r w:rsidR="00307B9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(dále jen “projekt”). </w:t>
      </w:r>
    </w:p>
    <w:p w14:paraId="61A33280" w14:textId="77777777" w:rsidR="00DA25EE" w:rsidRPr="00731403" w:rsidRDefault="009B6A50" w:rsidP="00B307AB">
      <w:pPr>
        <w:pStyle w:val="Default"/>
        <w:spacing w:after="139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Doba trvání projektu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se předpokládá od </w:t>
      </w:r>
      <w:r w:rsidR="00307B9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1.7. 20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24</w:t>
      </w:r>
      <w:r w:rsidR="00A9011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do</w:t>
      </w:r>
      <w:r w:rsidR="00A9011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07B9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30.6.</w:t>
      </w:r>
      <w:r w:rsidR="00A9011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202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6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Podrobný harmonogram řešení projektu je uveden v Žádosti o 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dotaci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která tvoří přílohu č. 1 této smlouvy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14:paraId="4CD53C9B" w14:textId="77777777" w:rsidR="00DA25EE" w:rsidRPr="00731403" w:rsidRDefault="00B307AB" w:rsidP="00F5773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Pro smluvní strany je závazné Rozhodnutí o poskytnutí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podpory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č.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…………………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ze dne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…………………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včetně všech</w:t>
      </w:r>
      <w:r w:rsidR="00307A4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dop</w:t>
      </w:r>
      <w:r w:rsidR="00DA25EE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l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nění a příloh, </w:t>
      </w:r>
      <w:r w:rsidR="00DA25EE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vydané </w:t>
      </w:r>
      <w:r w:rsidR="00F57738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Státním zemědělským intervenčním fondem</w:t>
      </w:r>
      <w:r w:rsidR="00DA25EE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jako</w:t>
      </w:r>
      <w:r w:rsidR="00F57738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žto</w:t>
      </w:r>
      <w:r w:rsidR="00DA25EE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poskytovatelem (dále jen “rozhodnutí o poskytnutí dotace”). </w:t>
      </w:r>
    </w:p>
    <w:p w14:paraId="2B82D390" w14:textId="77777777" w:rsidR="00DA25EE" w:rsidRPr="00731403" w:rsidRDefault="00DA25EE" w:rsidP="009B6A50">
      <w:pPr>
        <w:pStyle w:val="Defaul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54FAF934" w14:textId="77777777" w:rsidR="00015B1E" w:rsidRPr="00731403" w:rsidRDefault="00015B1E" w:rsidP="009B6A50">
      <w:pPr>
        <w:pStyle w:val="Defaul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3B371B14" w14:textId="77777777" w:rsidR="00015B1E" w:rsidRPr="00731403" w:rsidRDefault="00015B1E" w:rsidP="009B6A50">
      <w:pPr>
        <w:pStyle w:val="Defaul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4C16AA47" w14:textId="77777777" w:rsidR="005A0E95" w:rsidRPr="00731403" w:rsidRDefault="005A0E95" w:rsidP="009B6A50">
      <w:pPr>
        <w:pStyle w:val="Defaul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1C8F41BC" w14:textId="77777777" w:rsidR="009B6A50" w:rsidRPr="00731403" w:rsidRDefault="009B6A50" w:rsidP="00DA25EE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Článek II</w:t>
      </w:r>
    </w:p>
    <w:p w14:paraId="3ED977E7" w14:textId="77777777" w:rsidR="009B6A50" w:rsidRPr="00731403" w:rsidRDefault="009B6A50" w:rsidP="00DA25EE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Finanční zajištění projektu</w:t>
      </w:r>
    </w:p>
    <w:p w14:paraId="37D9B202" w14:textId="77777777" w:rsidR="00DA25EE" w:rsidRPr="00731403" w:rsidRDefault="00DA25EE" w:rsidP="00DA25EE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8ECF71" w14:textId="77777777" w:rsidR="009B6A50" w:rsidRPr="00731403" w:rsidRDefault="009B6A50" w:rsidP="00307A40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</w:t>
      </w:r>
      <w:r w:rsidR="00307A4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Celkové náklady na realizaci projektu činí </w:t>
      </w:r>
      <w:r w:rsidR="00B307AB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1 996 160</w:t>
      </w:r>
      <w:r w:rsidR="00307A4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,- Kč </w:t>
      </w:r>
      <w:r w:rsidR="0027763B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 DPH </w:t>
      </w:r>
      <w:r w:rsidR="00307A4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 tím, že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předpokládaná podpora k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úhradě nákladů na řešení části projektu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získaná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na základě rozhodnutí o poskytnutí podpory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činí 1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 719 660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,- Kč</w:t>
      </w:r>
      <w:r w:rsidR="0027763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bez DPH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 Ú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čelové finanční prostředky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a specifikace nákladů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pro jednotlivé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účastníky projektu jsou uvedeny v rozpočtu projektu, který je součástí Žádosti o </w:t>
      </w:r>
      <w:r w:rsidR="00B307AB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dotaci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uvedené v příloze 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č.1 </w:t>
      </w:r>
      <w:r w:rsidR="00307A4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této smlouvy. </w:t>
      </w:r>
    </w:p>
    <w:p w14:paraId="42B8FE4A" w14:textId="77777777" w:rsidR="009B6A50" w:rsidRPr="00731403" w:rsidRDefault="009B6A50" w:rsidP="00975082">
      <w:pPr>
        <w:pStyle w:val="Default"/>
        <w:spacing w:after="136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Účelové finanční prostředky poskytne poskytovatel 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podpory žadateli.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Účelové finanční prostředky budou poskytnuty na úhradu skutečně vynaložených nákladů, účelově vymezených rozhodnutím o poskytnutí podpory. </w:t>
      </w:r>
    </w:p>
    <w:p w14:paraId="4E00275C" w14:textId="77777777" w:rsidR="00B307AB" w:rsidRPr="00731403" w:rsidRDefault="00B307AB" w:rsidP="00975082">
      <w:pPr>
        <w:pStyle w:val="Default"/>
        <w:spacing w:after="13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r w:rsidR="00781359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Výdaje</w:t>
      </w: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realizaci projektu se u jednotlivých účastníků projektu předpokládají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404"/>
      </w:tblGrid>
      <w:tr w:rsidR="00731403" w:rsidRPr="00731403" w14:paraId="2158F417" w14:textId="77777777" w:rsidTr="00781359">
        <w:tc>
          <w:tcPr>
            <w:tcW w:w="2405" w:type="dxa"/>
          </w:tcPr>
          <w:p w14:paraId="76F2E363" w14:textId="77777777" w:rsidR="00B307AB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Účastník</w:t>
            </w:r>
          </w:p>
        </w:tc>
        <w:tc>
          <w:tcPr>
            <w:tcW w:w="4253" w:type="dxa"/>
          </w:tcPr>
          <w:p w14:paraId="5F0A4D8A" w14:textId="77777777" w:rsidR="00B307AB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Popis výdajů</w:t>
            </w:r>
          </w:p>
        </w:tc>
        <w:tc>
          <w:tcPr>
            <w:tcW w:w="2404" w:type="dxa"/>
          </w:tcPr>
          <w:p w14:paraId="294D9BA6" w14:textId="77777777" w:rsidR="00B307AB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Výše výdajů (v Kč)</w:t>
            </w:r>
          </w:p>
        </w:tc>
      </w:tr>
      <w:tr w:rsidR="00731403" w:rsidRPr="00731403" w14:paraId="40CDD0A6" w14:textId="77777777" w:rsidTr="00C739C3">
        <w:tc>
          <w:tcPr>
            <w:tcW w:w="9062" w:type="dxa"/>
            <w:gridSpan w:val="3"/>
          </w:tcPr>
          <w:p w14:paraId="6C98E674" w14:textId="77777777" w:rsidR="00781359" w:rsidRPr="00731403" w:rsidRDefault="00781359" w:rsidP="00975082">
            <w:pPr>
              <w:pStyle w:val="Default"/>
              <w:spacing w:after="13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Výdaje na spolupráci</w:t>
            </w:r>
          </w:p>
        </w:tc>
      </w:tr>
      <w:tr w:rsidR="00731403" w:rsidRPr="00731403" w14:paraId="67651174" w14:textId="77777777" w:rsidTr="00781359">
        <w:tc>
          <w:tcPr>
            <w:tcW w:w="2405" w:type="dxa"/>
          </w:tcPr>
          <w:p w14:paraId="32CA4859" w14:textId="77777777" w:rsidR="00B307AB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broker</w:t>
            </w:r>
          </w:p>
        </w:tc>
        <w:tc>
          <w:tcPr>
            <w:tcW w:w="4253" w:type="dxa"/>
          </w:tcPr>
          <w:p w14:paraId="15464238" w14:textId="77777777" w:rsidR="00B307AB" w:rsidRPr="00731403" w:rsidRDefault="00D96C36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jednotkové </w:t>
            </w:r>
            <w:r w:rsidR="00781359"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náklady brokera</w:t>
            </w:r>
          </w:p>
        </w:tc>
        <w:tc>
          <w:tcPr>
            <w:tcW w:w="2404" w:type="dxa"/>
          </w:tcPr>
          <w:p w14:paraId="4367278C" w14:textId="77777777" w:rsidR="00B307AB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242 400,-</w:t>
            </w:r>
          </w:p>
        </w:tc>
      </w:tr>
      <w:tr w:rsidR="00731403" w:rsidRPr="00731403" w14:paraId="6771775C" w14:textId="77777777" w:rsidTr="00781359">
        <w:tc>
          <w:tcPr>
            <w:tcW w:w="2405" w:type="dxa"/>
          </w:tcPr>
          <w:p w14:paraId="2B5B890D" w14:textId="77777777" w:rsidR="00B307AB" w:rsidRPr="00731403" w:rsidRDefault="005F0652" w:rsidP="008F4B2C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výzkumná </w:t>
            </w:r>
            <w:r w:rsidR="008F4B2C"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organizace</w:t>
            </w:r>
          </w:p>
        </w:tc>
        <w:tc>
          <w:tcPr>
            <w:tcW w:w="4253" w:type="dxa"/>
          </w:tcPr>
          <w:p w14:paraId="71A57F80" w14:textId="77777777" w:rsidR="000306A5" w:rsidRPr="00731403" w:rsidRDefault="000306A5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jednotkové náklady výzkumného pracovníka</w:t>
            </w:r>
          </w:p>
        </w:tc>
        <w:tc>
          <w:tcPr>
            <w:tcW w:w="2404" w:type="dxa"/>
          </w:tcPr>
          <w:p w14:paraId="75195226" w14:textId="77777777" w:rsidR="00B307AB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783 760,-</w:t>
            </w:r>
          </w:p>
        </w:tc>
      </w:tr>
      <w:tr w:rsidR="00731403" w:rsidRPr="00731403" w14:paraId="567781A8" w14:textId="77777777" w:rsidTr="00781359">
        <w:tc>
          <w:tcPr>
            <w:tcW w:w="2405" w:type="dxa"/>
          </w:tcPr>
          <w:p w14:paraId="06FCF27F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žadatel</w:t>
            </w:r>
          </w:p>
        </w:tc>
        <w:tc>
          <w:tcPr>
            <w:tcW w:w="4253" w:type="dxa"/>
          </w:tcPr>
          <w:p w14:paraId="30EF9F18" w14:textId="77777777" w:rsidR="00781359" w:rsidRPr="00731403" w:rsidRDefault="00D96C36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jednotkové</w:t>
            </w:r>
            <w:r w:rsidR="00781359"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náklady technického pracovníka</w:t>
            </w:r>
          </w:p>
        </w:tc>
        <w:tc>
          <w:tcPr>
            <w:tcW w:w="2404" w:type="dxa"/>
          </w:tcPr>
          <w:p w14:paraId="73B734F5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180 000,-</w:t>
            </w:r>
          </w:p>
        </w:tc>
      </w:tr>
      <w:tr w:rsidR="00731403" w:rsidRPr="00731403" w14:paraId="79193D82" w14:textId="77777777" w:rsidTr="00A5644B">
        <w:tc>
          <w:tcPr>
            <w:tcW w:w="9062" w:type="dxa"/>
            <w:gridSpan w:val="3"/>
          </w:tcPr>
          <w:p w14:paraId="41B5DE2D" w14:textId="77777777" w:rsidR="00781359" w:rsidRPr="00731403" w:rsidRDefault="00781359" w:rsidP="00975082">
            <w:pPr>
              <w:pStyle w:val="Default"/>
              <w:spacing w:after="13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Přímé výdaje </w:t>
            </w:r>
          </w:p>
        </w:tc>
      </w:tr>
      <w:tr w:rsidR="00731403" w:rsidRPr="00731403" w14:paraId="36943B75" w14:textId="77777777" w:rsidTr="00781359">
        <w:tc>
          <w:tcPr>
            <w:tcW w:w="2405" w:type="dxa"/>
          </w:tcPr>
          <w:p w14:paraId="5859AA46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žadatel</w:t>
            </w:r>
          </w:p>
        </w:tc>
        <w:tc>
          <w:tcPr>
            <w:tcW w:w="4253" w:type="dxa"/>
          </w:tcPr>
          <w:p w14:paraId="02E617A0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investice do technologie</w:t>
            </w:r>
          </w:p>
        </w:tc>
        <w:tc>
          <w:tcPr>
            <w:tcW w:w="2404" w:type="dxa"/>
          </w:tcPr>
          <w:p w14:paraId="50250095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740 000,-</w:t>
            </w:r>
          </w:p>
        </w:tc>
      </w:tr>
      <w:tr w:rsidR="00731403" w:rsidRPr="00731403" w14:paraId="4719A935" w14:textId="77777777" w:rsidTr="00293D4B">
        <w:tc>
          <w:tcPr>
            <w:tcW w:w="9062" w:type="dxa"/>
            <w:gridSpan w:val="3"/>
          </w:tcPr>
          <w:p w14:paraId="6FB9D47D" w14:textId="77777777" w:rsidR="00781359" w:rsidRPr="00731403" w:rsidRDefault="00781359" w:rsidP="00975082">
            <w:pPr>
              <w:pStyle w:val="Default"/>
              <w:spacing w:after="13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Ostatní výdaje</w:t>
            </w:r>
          </w:p>
        </w:tc>
      </w:tr>
      <w:tr w:rsidR="00731403" w:rsidRPr="00731403" w14:paraId="44B65D8B" w14:textId="77777777" w:rsidTr="00781359">
        <w:tc>
          <w:tcPr>
            <w:tcW w:w="2405" w:type="dxa"/>
          </w:tcPr>
          <w:p w14:paraId="3E7D4260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žadatel</w:t>
            </w:r>
          </w:p>
        </w:tc>
        <w:tc>
          <w:tcPr>
            <w:tcW w:w="4253" w:type="dxa"/>
          </w:tcPr>
          <w:p w14:paraId="66683AD5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výdaje na suroviny</w:t>
            </w:r>
          </w:p>
        </w:tc>
        <w:tc>
          <w:tcPr>
            <w:tcW w:w="2404" w:type="dxa"/>
          </w:tcPr>
          <w:p w14:paraId="47A5F50A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20 000,-</w:t>
            </w:r>
          </w:p>
        </w:tc>
      </w:tr>
      <w:tr w:rsidR="00781359" w:rsidRPr="00731403" w14:paraId="0AFD58B1" w14:textId="77777777" w:rsidTr="00781359">
        <w:tc>
          <w:tcPr>
            <w:tcW w:w="2405" w:type="dxa"/>
          </w:tcPr>
          <w:p w14:paraId="232F8054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žadatel</w:t>
            </w:r>
          </w:p>
        </w:tc>
        <w:tc>
          <w:tcPr>
            <w:tcW w:w="4253" w:type="dxa"/>
          </w:tcPr>
          <w:p w14:paraId="705AE064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výdaje spojené s šířením výsledků</w:t>
            </w:r>
          </w:p>
        </w:tc>
        <w:tc>
          <w:tcPr>
            <w:tcW w:w="2404" w:type="dxa"/>
          </w:tcPr>
          <w:p w14:paraId="695F6046" w14:textId="77777777" w:rsidR="00781359" w:rsidRPr="00731403" w:rsidRDefault="00781359" w:rsidP="00781359">
            <w:pPr>
              <w:pStyle w:val="Default"/>
              <w:spacing w:after="13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30 000,-</w:t>
            </w:r>
          </w:p>
        </w:tc>
      </w:tr>
    </w:tbl>
    <w:p w14:paraId="34402A0F" w14:textId="77777777" w:rsidR="00B307AB" w:rsidRPr="00731403" w:rsidRDefault="00B307AB" w:rsidP="00975082">
      <w:pPr>
        <w:pStyle w:val="Default"/>
        <w:spacing w:after="13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9A5E4A" w14:textId="77777777" w:rsidR="009B6A50" w:rsidRPr="00731403" w:rsidRDefault="00975082" w:rsidP="00975082">
      <w:pPr>
        <w:pStyle w:val="Default"/>
        <w:spacing w:after="13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570C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Výzkumná instituce a broker předloží žadateli vyúčtování vynaložených účelových finančních prostředků za každý rok realizace projektu a to takto: za období od 1.7.2024 do 31.5.2025 k datu 10.6.2025 a za období od 1.6.2025 do 30.6.2026 k datu 10.7.2026. Jeho součásti bude: </w:t>
      </w:r>
      <w:r w:rsidR="004E1AF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</w:p>
    <w:p w14:paraId="691FF261" w14:textId="77777777" w:rsidR="009B6A50" w:rsidRPr="00731403" w:rsidRDefault="009B6A50" w:rsidP="009B6A50">
      <w:pPr>
        <w:pStyle w:val="Default"/>
        <w:spacing w:after="13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souhrnný přehled čerpání nákladů, </w:t>
      </w:r>
    </w:p>
    <w:p w14:paraId="09A2679B" w14:textId="77777777" w:rsidR="009B6A50" w:rsidRPr="00731403" w:rsidRDefault="009B6A50" w:rsidP="009B6A50">
      <w:pPr>
        <w:pStyle w:val="Defaul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u mzdových nákladů podrobný rozpis s uvedením pracovníků. </w:t>
      </w:r>
    </w:p>
    <w:p w14:paraId="366D5C28" w14:textId="77777777" w:rsidR="00110EDD" w:rsidRPr="00731403" w:rsidRDefault="00110EDD" w:rsidP="009B6A50">
      <w:pPr>
        <w:pStyle w:val="Defaul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1C7542E0" w14:textId="77777777" w:rsidR="00604FAC" w:rsidRPr="00731403" w:rsidRDefault="00604FAC" w:rsidP="00604FAC">
      <w:pPr>
        <w:pStyle w:val="Default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4. Náklady na projekt nese žadatel.</w:t>
      </w:r>
    </w:p>
    <w:p w14:paraId="599344C5" w14:textId="77777777" w:rsidR="00604FAC" w:rsidRPr="00731403" w:rsidRDefault="00604FAC" w:rsidP="00604FAC">
      <w:pPr>
        <w:pStyle w:val="Default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Úhrada plánovaných jednotkových nákladů výzkumné organizace bude hrazena žadatelem na základě této dohody o spolupráci. Úhrada nákladů brokera bude hrazena žadatelem jednou ročně na základě schváleného vyúčtování žadatelem. </w:t>
      </w:r>
    </w:p>
    <w:p w14:paraId="01C218A8" w14:textId="77777777" w:rsidR="00604FAC" w:rsidRPr="00731403" w:rsidRDefault="00604FAC" w:rsidP="00604FAC">
      <w:pPr>
        <w:pStyle w:val="Default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Žadatel zaplatí úhrady nákladů výzkumné organizace a brokera s ohledem na harmonogram prací uvedený v žádosti viz příloha této zprávy:</w:t>
      </w:r>
    </w:p>
    <w:p w14:paraId="0E388567" w14:textId="77777777" w:rsidR="00EF4A9F" w:rsidRPr="00731403" w:rsidRDefault="00EF4A9F" w:rsidP="00110EDD">
      <w:pPr>
        <w:pStyle w:val="Default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</w:p>
    <w:p w14:paraId="296285E1" w14:textId="77777777" w:rsidR="006B1C21" w:rsidRPr="00731403" w:rsidRDefault="00A3272E" w:rsidP="00110EDD">
      <w:pPr>
        <w:pStyle w:val="Default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Výzkumnému ústavu mlékárenskému</w:t>
      </w:r>
      <w:r w:rsidR="00272451" w:rsidRPr="00731403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s.r.o.</w:t>
      </w:r>
    </w:p>
    <w:p w14:paraId="43B6E1D4" w14:textId="77777777" w:rsidR="00EF4A9F" w:rsidRPr="00731403" w:rsidRDefault="00EF4A9F" w:rsidP="006B1C21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5A025ABB" w14:textId="77777777" w:rsidR="00604FAC" w:rsidRPr="00731403" w:rsidRDefault="00604FAC" w:rsidP="00604FAC">
      <w:pPr>
        <w:spacing w:after="0" w:line="240" w:lineRule="auto"/>
        <w:rPr>
          <w:rFonts w:cstheme="minorHAnsi"/>
          <w:iCs/>
          <w:color w:val="000000" w:themeColor="text1"/>
        </w:rPr>
      </w:pPr>
      <w:r w:rsidRPr="00731403">
        <w:rPr>
          <w:rFonts w:cstheme="minorHAnsi"/>
          <w:iCs/>
          <w:color w:val="000000" w:themeColor="text1"/>
        </w:rPr>
        <w:t>zaplatí na základě jeho faktur po předání výsledků ve formě písemných zpráv žadateli</w:t>
      </w:r>
    </w:p>
    <w:p w14:paraId="275F942C" w14:textId="77777777" w:rsidR="00604FAC" w:rsidRPr="00731403" w:rsidRDefault="00604FAC" w:rsidP="006B1C21">
      <w:pPr>
        <w:spacing w:after="0" w:line="240" w:lineRule="auto"/>
        <w:rPr>
          <w:rFonts w:cstheme="minorHAnsi"/>
          <w:b/>
          <w:iCs/>
          <w:color w:val="000000" w:themeColor="text1"/>
        </w:rPr>
      </w:pPr>
    </w:p>
    <w:p w14:paraId="18C42677" w14:textId="77777777" w:rsidR="006B1C21" w:rsidRPr="00731403" w:rsidRDefault="00EF4A9F" w:rsidP="006B1C21">
      <w:pPr>
        <w:spacing w:after="0" w:line="240" w:lineRule="auto"/>
        <w:rPr>
          <w:color w:val="000000" w:themeColor="text1"/>
        </w:rPr>
      </w:pPr>
      <w:r w:rsidRPr="00731403">
        <w:rPr>
          <w:rFonts w:cstheme="minorHAnsi"/>
          <w:b/>
          <w:iCs/>
          <w:color w:val="000000" w:themeColor="text1"/>
        </w:rPr>
        <w:t>Z</w:t>
      </w:r>
      <w:r w:rsidR="00272451" w:rsidRPr="00731403">
        <w:rPr>
          <w:rFonts w:cstheme="minorHAnsi"/>
          <w:b/>
          <w:iCs/>
          <w:color w:val="000000" w:themeColor="text1"/>
        </w:rPr>
        <w:t>a splnění etap</w:t>
      </w:r>
      <w:r w:rsidR="006B1C21" w:rsidRPr="00731403">
        <w:rPr>
          <w:rFonts w:cstheme="minorHAnsi"/>
          <w:iCs/>
          <w:color w:val="000000" w:themeColor="text1"/>
        </w:rPr>
        <w:t xml:space="preserve">  </w:t>
      </w:r>
    </w:p>
    <w:p w14:paraId="38046BD6" w14:textId="77777777" w:rsidR="00946874" w:rsidRPr="00731403" w:rsidRDefault="007843F6" w:rsidP="00272451">
      <w:pPr>
        <w:spacing w:after="0" w:line="240" w:lineRule="auto"/>
        <w:rPr>
          <w:color w:val="000000" w:themeColor="text1"/>
        </w:rPr>
      </w:pPr>
      <w:r w:rsidRPr="00731403">
        <w:rPr>
          <w:color w:val="000000" w:themeColor="text1"/>
        </w:rPr>
        <w:t>- výběr surovin – 3.Q</w:t>
      </w:r>
      <w:r w:rsidR="00A3272E" w:rsidRPr="00731403">
        <w:rPr>
          <w:color w:val="000000" w:themeColor="text1"/>
        </w:rPr>
        <w:t>/2024</w:t>
      </w:r>
    </w:p>
    <w:p w14:paraId="1CA9CAF5" w14:textId="77777777" w:rsidR="00272451" w:rsidRPr="00731403" w:rsidRDefault="00272451" w:rsidP="00272451">
      <w:pPr>
        <w:spacing w:after="0" w:line="240" w:lineRule="auto"/>
        <w:rPr>
          <w:color w:val="000000" w:themeColor="text1"/>
        </w:rPr>
      </w:pPr>
      <w:r w:rsidRPr="00731403">
        <w:rPr>
          <w:color w:val="000000" w:themeColor="text1"/>
        </w:rPr>
        <w:lastRenderedPageBreak/>
        <w:t xml:space="preserve"> Vytipování potenciálně vhodných surovin, posouzení jejich nutrič</w:t>
      </w:r>
      <w:r w:rsidR="007843F6" w:rsidRPr="00731403">
        <w:rPr>
          <w:color w:val="000000" w:themeColor="text1"/>
        </w:rPr>
        <w:t>ních a senzorických vlastností</w:t>
      </w:r>
      <w:r w:rsidRPr="00731403">
        <w:rPr>
          <w:color w:val="000000" w:themeColor="text1"/>
        </w:rPr>
        <w:t xml:space="preserve"> (tato etapa bude vyžadovat 0,5 úvazek výzkumného pracovníka po dobu cca 1 měsíce)</w:t>
      </w:r>
    </w:p>
    <w:p w14:paraId="38DBE728" w14:textId="77777777" w:rsidR="00272451" w:rsidRPr="00731403" w:rsidRDefault="00A3272E" w:rsidP="00272451">
      <w:pPr>
        <w:spacing w:after="0" w:line="240" w:lineRule="auto"/>
        <w:rPr>
          <w:color w:val="000000" w:themeColor="text1"/>
          <w:highlight w:val="yellow"/>
        </w:rPr>
      </w:pPr>
      <w:r w:rsidRPr="00731403">
        <w:rPr>
          <w:color w:val="000000" w:themeColor="text1"/>
        </w:rPr>
        <w:t>- test</w:t>
      </w:r>
      <w:r w:rsidR="00E1528D" w:rsidRPr="00731403">
        <w:rPr>
          <w:color w:val="000000" w:themeColor="text1"/>
        </w:rPr>
        <w:t>ování vlastností surovin – 4.Q</w:t>
      </w:r>
      <w:r w:rsidRPr="00731403">
        <w:rPr>
          <w:color w:val="000000" w:themeColor="text1"/>
        </w:rPr>
        <w:t>/2024</w:t>
      </w:r>
      <w:r w:rsidR="00272451" w:rsidRPr="00731403">
        <w:rPr>
          <w:color w:val="000000" w:themeColor="text1"/>
        </w:rPr>
        <w:t xml:space="preserve"> Testování surovin z hlediska jejich funkční</w:t>
      </w:r>
      <w:r w:rsidR="000029D2" w:rsidRPr="00731403">
        <w:rPr>
          <w:color w:val="000000" w:themeColor="text1"/>
        </w:rPr>
        <w:t xml:space="preserve">ch a </w:t>
      </w:r>
      <w:r w:rsidR="00E1528D" w:rsidRPr="00731403">
        <w:rPr>
          <w:color w:val="000000" w:themeColor="text1"/>
        </w:rPr>
        <w:t>technologických vlastností</w:t>
      </w:r>
      <w:r w:rsidR="00272451" w:rsidRPr="00731403">
        <w:rPr>
          <w:color w:val="000000" w:themeColor="text1"/>
        </w:rPr>
        <w:t xml:space="preserve"> (tato etapa bude vyžadovat 0,5 úvazek výzkumného pracovníka po dobu cca 1 měsíce)</w:t>
      </w:r>
    </w:p>
    <w:p w14:paraId="673FAE50" w14:textId="77777777" w:rsidR="006B1C21" w:rsidRPr="00731403" w:rsidRDefault="000029D2" w:rsidP="006B1C21">
      <w:pPr>
        <w:spacing w:after="0" w:line="240" w:lineRule="auto"/>
        <w:jc w:val="both"/>
        <w:rPr>
          <w:color w:val="000000" w:themeColor="text1"/>
        </w:rPr>
      </w:pPr>
      <w:r w:rsidRPr="00731403">
        <w:rPr>
          <w:color w:val="000000" w:themeColor="text1"/>
        </w:rPr>
        <w:t>- návrh receptur – 4.Q/2024 – 1.Q</w:t>
      </w:r>
      <w:r w:rsidR="000D257F" w:rsidRPr="00731403">
        <w:rPr>
          <w:color w:val="000000" w:themeColor="text1"/>
        </w:rPr>
        <w:t>/2025</w:t>
      </w:r>
      <w:r w:rsidR="006B1C21" w:rsidRPr="00731403">
        <w:rPr>
          <w:color w:val="000000" w:themeColor="text1"/>
        </w:rPr>
        <w:t xml:space="preserve"> Navržení a optimalizace nových receptur z hlediska jejich nutričního složení a senzorických a užitných vlastností</w:t>
      </w:r>
      <w:r w:rsidRPr="00731403">
        <w:rPr>
          <w:color w:val="000000" w:themeColor="text1"/>
        </w:rPr>
        <w:t xml:space="preserve"> </w:t>
      </w:r>
      <w:r w:rsidR="006B1C21" w:rsidRPr="00731403">
        <w:rPr>
          <w:color w:val="000000" w:themeColor="text1"/>
        </w:rPr>
        <w:t>(tato etapa bude vyžadovat 0,5 úvazek výzkumného pracovníka po dobu cca 2 měsíců)</w:t>
      </w:r>
    </w:p>
    <w:p w14:paraId="110F2987" w14:textId="77777777" w:rsidR="000D257F" w:rsidRPr="00731403" w:rsidRDefault="0044348E" w:rsidP="0044348E">
      <w:pPr>
        <w:spacing w:after="0" w:line="240" w:lineRule="auto"/>
        <w:jc w:val="both"/>
        <w:rPr>
          <w:color w:val="000000" w:themeColor="text1"/>
        </w:rPr>
      </w:pPr>
      <w:r w:rsidRPr="00731403">
        <w:rPr>
          <w:color w:val="000000" w:themeColor="text1"/>
        </w:rPr>
        <w:t>- návrh postupu výroby – 4.Q/2024 – 1.Q</w:t>
      </w:r>
      <w:r w:rsidR="000D257F" w:rsidRPr="00731403">
        <w:rPr>
          <w:color w:val="000000" w:themeColor="text1"/>
        </w:rPr>
        <w:t>/2025</w:t>
      </w:r>
      <w:r w:rsidR="00EF4A9F" w:rsidRPr="00731403">
        <w:rPr>
          <w:color w:val="000000" w:themeColor="text1"/>
        </w:rPr>
        <w:t xml:space="preserve"> Navržení nových postupů výroby realizovatelných ve výrobních prostorách žadatele</w:t>
      </w:r>
      <w:r w:rsidRPr="00731403">
        <w:rPr>
          <w:color w:val="000000" w:themeColor="text1"/>
        </w:rPr>
        <w:t xml:space="preserve"> </w:t>
      </w:r>
      <w:r w:rsidR="00EF4A9F" w:rsidRPr="00731403">
        <w:rPr>
          <w:color w:val="000000" w:themeColor="text1"/>
        </w:rPr>
        <w:t>(tato etapa bude vyžadovat 0,5 úvazek výzkumného pracovníka po dobu cca 2 měsíců)</w:t>
      </w:r>
    </w:p>
    <w:p w14:paraId="0DB8DA31" w14:textId="77777777" w:rsidR="00EF4A9F" w:rsidRPr="00731403" w:rsidRDefault="000D257F" w:rsidP="00EF4A9F">
      <w:pPr>
        <w:spacing w:after="0" w:line="240" w:lineRule="auto"/>
        <w:jc w:val="both"/>
        <w:rPr>
          <w:color w:val="000000" w:themeColor="text1"/>
        </w:rPr>
      </w:pPr>
      <w:r w:rsidRPr="00731403">
        <w:rPr>
          <w:color w:val="000000" w:themeColor="text1"/>
        </w:rPr>
        <w:t>- ná</w:t>
      </w:r>
      <w:r w:rsidR="0044348E" w:rsidRPr="00731403">
        <w:rPr>
          <w:color w:val="000000" w:themeColor="text1"/>
        </w:rPr>
        <w:t>vrh technologického zařízení – 1.Q/2025 – 2.Q</w:t>
      </w:r>
      <w:r w:rsidRPr="00731403">
        <w:rPr>
          <w:color w:val="000000" w:themeColor="text1"/>
        </w:rPr>
        <w:t>/2025</w:t>
      </w:r>
      <w:r w:rsidR="00EF4A9F" w:rsidRPr="00731403">
        <w:rPr>
          <w:color w:val="000000" w:themeColor="text1"/>
        </w:rPr>
        <w:t xml:space="preserve"> Vypracování ideového návrhu potřebného technologického zařízení, spoluprá</w:t>
      </w:r>
      <w:r w:rsidR="0044348E" w:rsidRPr="00731403">
        <w:rPr>
          <w:color w:val="000000" w:themeColor="text1"/>
        </w:rPr>
        <w:t xml:space="preserve">ce na realizaci nutných investic </w:t>
      </w:r>
      <w:r w:rsidR="00EF4A9F" w:rsidRPr="00731403">
        <w:rPr>
          <w:color w:val="000000" w:themeColor="text1"/>
        </w:rPr>
        <w:t>(tato etapa bude vyžadovat 0,5 úvazek výzkumného pracovníka a 0,5 úvazek technického pracovníka žadatele po dobu cca 4 měsíců)</w:t>
      </w:r>
    </w:p>
    <w:p w14:paraId="07973B7B" w14:textId="77777777" w:rsidR="000D257F" w:rsidRPr="00731403" w:rsidRDefault="000D257F" w:rsidP="000D257F">
      <w:pPr>
        <w:spacing w:after="0" w:line="240" w:lineRule="auto"/>
        <w:rPr>
          <w:color w:val="000000" w:themeColor="text1"/>
        </w:rPr>
      </w:pPr>
    </w:p>
    <w:p w14:paraId="4FD1A191" w14:textId="77777777" w:rsidR="0022320D" w:rsidRPr="00731403" w:rsidRDefault="00226FD8" w:rsidP="0044348E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6E5FF4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30</w:t>
      </w:r>
      <w:r w:rsidR="009E13E5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44348E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E5FF4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9E13E5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44348E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E13E5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 částku</w:t>
      </w:r>
      <w:r w:rsidR="0022320D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570CD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minimálně 600 000,-</w:t>
      </w:r>
      <w:r w:rsidR="008A0296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Kč bez DPH (slovy</w:t>
      </w:r>
      <w:r w:rsidR="00E570CD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E570CD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šestsettisíc</w:t>
      </w:r>
      <w:proofErr w:type="spellEnd"/>
      <w:r w:rsidR="00E570CD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korun českých</w:t>
      </w:r>
      <w:r w:rsidR="008A0296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  <w:r w:rsidR="0022320D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+ </w:t>
      </w:r>
      <w:r w:rsidR="0071745E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DPH</w:t>
      </w:r>
      <w:r w:rsidR="0022320D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1609A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dle platných </w:t>
      </w:r>
      <w:r w:rsidR="0071745E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legislativních</w:t>
      </w:r>
      <w:r w:rsidR="0001609A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předpisů</w:t>
      </w:r>
      <w:r w:rsidR="0022320D" w:rsidRPr="007314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</w:p>
    <w:p w14:paraId="3830273F" w14:textId="77777777" w:rsidR="0044348E" w:rsidRPr="00731403" w:rsidRDefault="0044348E" w:rsidP="0044348E">
      <w:pPr>
        <w:pStyle w:val="Default"/>
        <w:jc w:val="both"/>
        <w:rPr>
          <w:color w:val="000000" w:themeColor="text1"/>
        </w:rPr>
      </w:pPr>
    </w:p>
    <w:p w14:paraId="2A5E611F" w14:textId="77777777" w:rsidR="0022320D" w:rsidRPr="00731403" w:rsidRDefault="0022320D" w:rsidP="0044348E">
      <w:pPr>
        <w:pStyle w:val="Default"/>
        <w:jc w:val="both"/>
        <w:rPr>
          <w:color w:val="000000" w:themeColor="text1"/>
        </w:rPr>
      </w:pPr>
    </w:p>
    <w:p w14:paraId="01C0B5D0" w14:textId="77777777" w:rsidR="009E13E5" w:rsidRPr="00731403" w:rsidRDefault="009E13E5" w:rsidP="00946874">
      <w:pPr>
        <w:spacing w:after="0" w:line="240" w:lineRule="auto"/>
        <w:jc w:val="both"/>
        <w:rPr>
          <w:b/>
          <w:color w:val="000000" w:themeColor="text1"/>
        </w:rPr>
      </w:pPr>
      <w:r w:rsidRPr="00731403">
        <w:rPr>
          <w:b/>
          <w:color w:val="000000" w:themeColor="text1"/>
        </w:rPr>
        <w:t>Za splnění etap</w:t>
      </w:r>
      <w:r w:rsidR="00CB60B0" w:rsidRPr="00731403">
        <w:rPr>
          <w:b/>
          <w:color w:val="000000" w:themeColor="text1"/>
        </w:rPr>
        <w:t>y</w:t>
      </w:r>
    </w:p>
    <w:p w14:paraId="590B8DFB" w14:textId="77777777" w:rsidR="009E13E5" w:rsidRPr="00731403" w:rsidRDefault="00EF4A9F" w:rsidP="00946874">
      <w:pPr>
        <w:spacing w:after="0" w:line="240" w:lineRule="auto"/>
        <w:jc w:val="both"/>
        <w:rPr>
          <w:color w:val="000000" w:themeColor="text1"/>
        </w:rPr>
      </w:pPr>
      <w:r w:rsidRPr="00731403">
        <w:rPr>
          <w:color w:val="000000" w:themeColor="text1"/>
        </w:rPr>
        <w:t>-</w:t>
      </w:r>
      <w:r w:rsidR="009E13E5" w:rsidRPr="00731403">
        <w:rPr>
          <w:color w:val="000000" w:themeColor="text1"/>
        </w:rPr>
        <w:t>o</w:t>
      </w:r>
      <w:r w:rsidR="00616649" w:rsidRPr="00731403">
        <w:rPr>
          <w:color w:val="000000" w:themeColor="text1"/>
        </w:rPr>
        <w:t>věření a optimalizace výroby – 4.Q/2025 – 1.Q</w:t>
      </w:r>
      <w:r w:rsidR="009E13E5" w:rsidRPr="00731403">
        <w:rPr>
          <w:color w:val="000000" w:themeColor="text1"/>
        </w:rPr>
        <w:t>/2026</w:t>
      </w:r>
      <w:r w:rsidRPr="00731403">
        <w:rPr>
          <w:color w:val="000000" w:themeColor="text1"/>
        </w:rPr>
        <w:t xml:space="preserve"> </w:t>
      </w:r>
      <w:r w:rsidR="009E13E5" w:rsidRPr="00731403">
        <w:rPr>
          <w:color w:val="000000" w:themeColor="text1"/>
        </w:rPr>
        <w:t xml:space="preserve"> Ověření výstupů v místě realizace projektu, optimalizace výrobního procesu (tato etapa bude vyžadovat 0,5 úvazek výzkumného pracovníka po dobu cca 2 měsíců)</w:t>
      </w:r>
    </w:p>
    <w:p w14:paraId="2B52B07A" w14:textId="77777777" w:rsidR="00EF4A9F" w:rsidRPr="00731403" w:rsidRDefault="00EF4A9F" w:rsidP="00946874">
      <w:pPr>
        <w:spacing w:after="0" w:line="240" w:lineRule="auto"/>
        <w:jc w:val="both"/>
        <w:rPr>
          <w:color w:val="000000" w:themeColor="text1"/>
        </w:rPr>
      </w:pPr>
    </w:p>
    <w:p w14:paraId="1E48FE15" w14:textId="77777777" w:rsidR="00EA6BA4" w:rsidRPr="00731403" w:rsidRDefault="00226FD8" w:rsidP="00946874">
      <w:pPr>
        <w:spacing w:after="0" w:line="240" w:lineRule="auto"/>
        <w:jc w:val="both"/>
        <w:rPr>
          <w:b/>
          <w:color w:val="000000" w:themeColor="text1"/>
        </w:rPr>
      </w:pPr>
      <w:r w:rsidRPr="00731403">
        <w:rPr>
          <w:b/>
          <w:color w:val="000000" w:themeColor="text1"/>
        </w:rPr>
        <w:t>d</w:t>
      </w:r>
      <w:r w:rsidR="00616649" w:rsidRPr="00731403">
        <w:rPr>
          <w:b/>
          <w:color w:val="000000" w:themeColor="text1"/>
        </w:rPr>
        <w:t xml:space="preserve">o </w:t>
      </w:r>
      <w:r w:rsidR="00904EA1" w:rsidRPr="00731403">
        <w:rPr>
          <w:b/>
          <w:color w:val="000000" w:themeColor="text1"/>
        </w:rPr>
        <w:t>20</w:t>
      </w:r>
      <w:r w:rsidR="00E570CD" w:rsidRPr="00731403">
        <w:rPr>
          <w:b/>
          <w:color w:val="000000" w:themeColor="text1"/>
        </w:rPr>
        <w:t>.</w:t>
      </w:r>
      <w:r w:rsidR="00CB60B0" w:rsidRPr="00731403">
        <w:rPr>
          <w:b/>
          <w:color w:val="000000" w:themeColor="text1"/>
        </w:rPr>
        <w:t xml:space="preserve"> </w:t>
      </w:r>
      <w:r w:rsidR="00E570CD" w:rsidRPr="00731403">
        <w:rPr>
          <w:b/>
          <w:color w:val="000000" w:themeColor="text1"/>
        </w:rPr>
        <w:t>7</w:t>
      </w:r>
      <w:r w:rsidR="009E13E5" w:rsidRPr="00731403">
        <w:rPr>
          <w:b/>
          <w:color w:val="000000" w:themeColor="text1"/>
        </w:rPr>
        <w:t xml:space="preserve">. 2026 </w:t>
      </w:r>
      <w:r w:rsidR="00E570CD" w:rsidRPr="00731403">
        <w:rPr>
          <w:b/>
          <w:color w:val="000000" w:themeColor="text1"/>
        </w:rPr>
        <w:t xml:space="preserve">zbývající </w:t>
      </w:r>
      <w:r w:rsidR="009E13E5" w:rsidRPr="00731403">
        <w:rPr>
          <w:b/>
          <w:color w:val="000000" w:themeColor="text1"/>
        </w:rPr>
        <w:t>částku</w:t>
      </w:r>
      <w:r w:rsidR="00EA6BA4" w:rsidRPr="00731403">
        <w:rPr>
          <w:b/>
          <w:color w:val="000000" w:themeColor="text1"/>
        </w:rPr>
        <w:t xml:space="preserve"> </w:t>
      </w:r>
      <w:r w:rsidR="00CB60B0" w:rsidRPr="00731403">
        <w:rPr>
          <w:b/>
          <w:color w:val="000000" w:themeColor="text1"/>
        </w:rPr>
        <w:t>do celkových nákladů výzkumné organiza</w:t>
      </w:r>
      <w:r w:rsidR="0071745E" w:rsidRPr="00731403">
        <w:rPr>
          <w:b/>
          <w:color w:val="000000" w:themeColor="text1"/>
        </w:rPr>
        <w:t>ce obsažené v rozpočtu projektu + DPH dle platných legislativních předpisů</w:t>
      </w:r>
      <w:r w:rsidR="00CB60B0" w:rsidRPr="00731403">
        <w:rPr>
          <w:b/>
          <w:color w:val="000000" w:themeColor="text1"/>
        </w:rPr>
        <w:t>.</w:t>
      </w:r>
    </w:p>
    <w:p w14:paraId="71482339" w14:textId="77777777" w:rsidR="00B555A4" w:rsidRPr="00731403" w:rsidRDefault="00B555A4" w:rsidP="00946874">
      <w:pPr>
        <w:spacing w:after="0" w:line="240" w:lineRule="auto"/>
        <w:jc w:val="both"/>
        <w:rPr>
          <w:color w:val="000000" w:themeColor="text1"/>
        </w:rPr>
      </w:pPr>
    </w:p>
    <w:p w14:paraId="777C395D" w14:textId="77777777" w:rsidR="009E13E5" w:rsidRPr="00731403" w:rsidRDefault="00B555A4" w:rsidP="00946874">
      <w:pPr>
        <w:spacing w:after="0" w:line="240" w:lineRule="auto"/>
        <w:jc w:val="both"/>
        <w:rPr>
          <w:color w:val="000000" w:themeColor="text1"/>
        </w:rPr>
      </w:pPr>
      <w:r w:rsidRPr="00731403">
        <w:rPr>
          <w:color w:val="000000" w:themeColor="text1"/>
        </w:rPr>
        <w:t>Plnění výše uvedených etap bude formou</w:t>
      </w:r>
      <w:r w:rsidR="00EF4A9F" w:rsidRPr="00731403">
        <w:rPr>
          <w:color w:val="000000" w:themeColor="text1"/>
        </w:rPr>
        <w:t xml:space="preserve"> písemné </w:t>
      </w:r>
      <w:r w:rsidRPr="00731403">
        <w:rPr>
          <w:color w:val="000000" w:themeColor="text1"/>
        </w:rPr>
        <w:t>zprávy o průběhu a výsledcích jednotlivých výše uvedených et</w:t>
      </w:r>
      <w:r w:rsidR="00EF4A9F" w:rsidRPr="00731403">
        <w:rPr>
          <w:color w:val="000000" w:themeColor="text1"/>
        </w:rPr>
        <w:t>a</w:t>
      </w:r>
      <w:r w:rsidRPr="00731403">
        <w:rPr>
          <w:color w:val="000000" w:themeColor="text1"/>
        </w:rPr>
        <w:t>p s příslušný</w:t>
      </w:r>
      <w:r w:rsidR="00CB60B0" w:rsidRPr="00731403">
        <w:rPr>
          <w:color w:val="000000" w:themeColor="text1"/>
        </w:rPr>
        <w:t>mi</w:t>
      </w:r>
      <w:r w:rsidRPr="00731403">
        <w:rPr>
          <w:color w:val="000000" w:themeColor="text1"/>
        </w:rPr>
        <w:t xml:space="preserve"> výkaz</w:t>
      </w:r>
      <w:r w:rsidR="00CB60B0" w:rsidRPr="00731403">
        <w:rPr>
          <w:color w:val="000000" w:themeColor="text1"/>
        </w:rPr>
        <w:t>y práce výzkumných pracovníků.</w:t>
      </w:r>
    </w:p>
    <w:p w14:paraId="73B1A822" w14:textId="77777777" w:rsidR="00CB60B0" w:rsidRPr="00731403" w:rsidRDefault="00CB60B0" w:rsidP="00946874">
      <w:pPr>
        <w:spacing w:after="0" w:line="240" w:lineRule="auto"/>
        <w:jc w:val="both"/>
        <w:rPr>
          <w:color w:val="000000" w:themeColor="text1"/>
        </w:rPr>
      </w:pPr>
    </w:p>
    <w:p w14:paraId="018C0A3B" w14:textId="77777777" w:rsidR="009E13E5" w:rsidRPr="00731403" w:rsidRDefault="009E13E5" w:rsidP="00946874">
      <w:pPr>
        <w:spacing w:after="0" w:line="240" w:lineRule="auto"/>
        <w:jc w:val="both"/>
        <w:rPr>
          <w:b/>
          <w:color w:val="000000" w:themeColor="text1"/>
        </w:rPr>
      </w:pPr>
      <w:r w:rsidRPr="00731403">
        <w:rPr>
          <w:b/>
          <w:color w:val="000000" w:themeColor="text1"/>
        </w:rPr>
        <w:t>B</w:t>
      </w:r>
      <w:r w:rsidR="00027843" w:rsidRPr="00731403">
        <w:rPr>
          <w:b/>
          <w:color w:val="000000" w:themeColor="text1"/>
        </w:rPr>
        <w:t>r</w:t>
      </w:r>
      <w:r w:rsidRPr="00731403">
        <w:rPr>
          <w:b/>
          <w:color w:val="000000" w:themeColor="text1"/>
        </w:rPr>
        <w:t>ok</w:t>
      </w:r>
      <w:r w:rsidR="00027843" w:rsidRPr="00731403">
        <w:rPr>
          <w:b/>
          <w:color w:val="000000" w:themeColor="text1"/>
        </w:rPr>
        <w:t>e</w:t>
      </w:r>
      <w:r w:rsidRPr="00731403">
        <w:rPr>
          <w:b/>
          <w:color w:val="000000" w:themeColor="text1"/>
        </w:rPr>
        <w:t>rovi</w:t>
      </w:r>
    </w:p>
    <w:p w14:paraId="74711FDE" w14:textId="77777777" w:rsidR="009E13E5" w:rsidRPr="00731403" w:rsidRDefault="009E13E5" w:rsidP="00946874">
      <w:pPr>
        <w:spacing w:after="0" w:line="240" w:lineRule="auto"/>
        <w:jc w:val="both"/>
        <w:rPr>
          <w:color w:val="000000" w:themeColor="text1"/>
        </w:rPr>
      </w:pPr>
    </w:p>
    <w:p w14:paraId="32E08ED2" w14:textId="77777777" w:rsidR="009E13E5" w:rsidRPr="00731403" w:rsidRDefault="009E13E5" w:rsidP="009E13E5">
      <w:pPr>
        <w:pStyle w:val="Default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Odměna brokera bude hrazena žadatelem jednou ročně </w:t>
      </w:r>
      <w:r w:rsidR="00904EA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a to k datu 30.6.2025 a 20.7.2026 dle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uzavřené dohody o provedení práce mezi ním a žadatelem a to rovněž na základě schváleného vyúčtování žadatelem. </w:t>
      </w:r>
      <w:r w:rsidR="00904EA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Tato dohoda o provedení práce bude uzavřena nejpozději do okamžiku </w:t>
      </w:r>
      <w:r w:rsidR="00574D2F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uzavření dohody mezi žadatelem a Státním zemědělským intervenčním fondem.</w:t>
      </w:r>
    </w:p>
    <w:p w14:paraId="6BD3E760" w14:textId="77777777" w:rsidR="009E13E5" w:rsidRPr="00731403" w:rsidRDefault="009E13E5" w:rsidP="00946874">
      <w:pPr>
        <w:spacing w:after="0" w:line="240" w:lineRule="auto"/>
        <w:jc w:val="both"/>
        <w:rPr>
          <w:color w:val="000000" w:themeColor="text1"/>
        </w:rPr>
      </w:pPr>
    </w:p>
    <w:p w14:paraId="3B604CF4" w14:textId="77777777" w:rsidR="00C7459E" w:rsidRPr="00731403" w:rsidRDefault="00134D03" w:rsidP="00C7459E">
      <w:pPr>
        <w:jc w:val="both"/>
        <w:rPr>
          <w:color w:val="000000" w:themeColor="text1"/>
        </w:rPr>
      </w:pPr>
      <w:r w:rsidRPr="00731403">
        <w:rPr>
          <w:color w:val="000000" w:themeColor="text1"/>
        </w:rPr>
        <w:t>5</w:t>
      </w:r>
      <w:r w:rsidR="00C7459E" w:rsidRPr="00731403">
        <w:rPr>
          <w:color w:val="000000" w:themeColor="text1"/>
        </w:rPr>
        <w:t xml:space="preserve">. Čerpání dotačních prostředků bude zajištěno dle podmínek uvedených v Obecných podmínkách Pravidel platných pro dané kolo příjmu ŽOD a ve </w:t>
      </w:r>
      <w:r w:rsidR="00C7459E" w:rsidRPr="00731403">
        <w:rPr>
          <w:rFonts w:cstheme="minorHAnsi"/>
          <w:color w:val="000000" w:themeColor="text1"/>
          <w:spacing w:val="4"/>
          <w:shd w:val="clear" w:color="auto" w:fill="FFFFFF"/>
        </w:rPr>
        <w:t>Specifických podmínkách pro poskytování dotace na základě Strategického plánu SZP na období 2023–2027 platné pro 1. kolo příjmu žádostí Intervence 53.77 – Podpora operačních skupin a projektů EIP.</w:t>
      </w:r>
      <w:r w:rsidR="00C7459E" w:rsidRPr="00731403">
        <w:rPr>
          <w:color w:val="000000" w:themeColor="text1"/>
        </w:rPr>
        <w:t xml:space="preserve"> </w:t>
      </w:r>
    </w:p>
    <w:p w14:paraId="787508E0" w14:textId="77777777" w:rsidR="00C7459E" w:rsidRPr="00731403" w:rsidRDefault="00C7459E" w:rsidP="00110EDD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E26A38" w14:textId="77777777" w:rsidR="009B6A50" w:rsidRPr="00731403" w:rsidRDefault="009B6A50" w:rsidP="00DA25EE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Článek III</w:t>
      </w:r>
    </w:p>
    <w:p w14:paraId="5511AF19" w14:textId="77777777" w:rsidR="009B6A50" w:rsidRPr="00731403" w:rsidRDefault="009B6A50" w:rsidP="00DA25EE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Povinnosti účastník</w:t>
      </w:r>
      <w:r w:rsidR="00975082"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ů</w:t>
      </w: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projektu</w:t>
      </w:r>
    </w:p>
    <w:p w14:paraId="22773A3C" w14:textId="77777777" w:rsidR="00DA25EE" w:rsidRPr="00731403" w:rsidRDefault="00DA25EE" w:rsidP="00DA25EE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01D5B4" w14:textId="77777777" w:rsidR="00027843" w:rsidRPr="00731403" w:rsidRDefault="009B6A50" w:rsidP="00027843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Účastníci projektu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se zavazuj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í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používat účelové finanční prostředky poskytnuté podle smlouvy o poskytnutí dotace co nejúčelněji a v </w:t>
      </w:r>
      <w:r w:rsidR="00027843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souladu se stanovenými pravidly.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</w:p>
    <w:p w14:paraId="0870464B" w14:textId="77777777" w:rsidR="009B6A50" w:rsidRPr="00731403" w:rsidRDefault="00027843" w:rsidP="00027843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Ž</w:t>
      </w:r>
      <w:r w:rsidR="00203B94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adatel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</w:t>
      </w:r>
      <w:r w:rsidR="00203B94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broker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se zavazují organizovat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práce na spoluřešení projektu tak, aby bylo dosaženo cílů projektu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 plánované době.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</w:p>
    <w:p w14:paraId="56454DF0" w14:textId="77777777" w:rsidR="009B6A50" w:rsidRPr="00731403" w:rsidRDefault="00027843" w:rsidP="00015B1E">
      <w:pPr>
        <w:pStyle w:val="Default"/>
        <w:spacing w:after="12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3. Výzkumná organizace a broker se zavazují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na požádání informovat 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žadatele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o stavu prací na projektu a čerpání účelových finančních prostředků. </w:t>
      </w:r>
    </w:p>
    <w:p w14:paraId="3BCBCDD9" w14:textId="77777777" w:rsidR="009B6A50" w:rsidRPr="00731403" w:rsidRDefault="00027843" w:rsidP="00015B1E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B2558A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Všichni účastníci projektu</w:t>
      </w:r>
      <w:r w:rsidR="00086F34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j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sou povin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i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vést evidenci o hospodaření s účelovými finančními prostředky odděleně od evidence hospodaření s jinými prostředky. </w:t>
      </w:r>
    </w:p>
    <w:p w14:paraId="14A4D99F" w14:textId="77777777" w:rsidR="009B6A50" w:rsidRPr="00731403" w:rsidRDefault="00027843" w:rsidP="002F05E0">
      <w:pPr>
        <w:pStyle w:val="Default"/>
        <w:spacing w:after="12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Pokud 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kterýkoliv z účastníků projektu nebude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ze závažného důvodu schopen dále pokračovat v řešení projektu, je povinen tuto skutečnost neprodleně sdělit 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žadateli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který požádá o schválení příslušných změn projektu. </w:t>
      </w:r>
    </w:p>
    <w:p w14:paraId="133D6FCC" w14:textId="77777777" w:rsidR="009B6A50" w:rsidRPr="00731403" w:rsidRDefault="00027843" w:rsidP="00975082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Žadatel je odpovědný za řízení projektu a dosažení jeho cílů a výsledků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</w:t>
      </w:r>
      <w:r w:rsidR="00AC1894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ýzkumná </w:t>
      </w:r>
      <w:r w:rsidR="00903B6E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organizace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je odpovědn</w:t>
      </w:r>
      <w:r w:rsidR="00AC1894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á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za výzkumn</w:t>
      </w:r>
      <w:r w:rsidR="00B2558A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ou část</w:t>
      </w:r>
      <w:r w:rsidR="00975082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projektu</w:t>
      </w:r>
      <w:r w:rsidR="008266A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 rovněž za ověření technologie v provozních podmínkách žadatele</w:t>
      </w:r>
      <w:r w:rsidR="00110ED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Broker je odpovědný </w:t>
      </w:r>
      <w:r w:rsidR="008266A1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za koordinaci operační skupiny</w:t>
      </w:r>
      <w:r w:rsidR="00110ED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 za administraci projektu. Detailní působnost a činnosti jednotlivých účastníků projektu jsou uvedeny v Žádosti o </w:t>
      </w:r>
      <w:r w:rsidR="00B2558A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dotaci</w:t>
      </w:r>
      <w:r w:rsidR="00110ED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která tvoří přílohu č.</w:t>
      </w:r>
      <w:r w:rsidR="002C50F8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110ED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1 této smlouvy. </w:t>
      </w:r>
    </w:p>
    <w:p w14:paraId="36F6A014" w14:textId="77777777" w:rsidR="009B6A50" w:rsidRPr="00731403" w:rsidRDefault="00027843" w:rsidP="0097508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10ED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Účastníci projektu se dohodli, že </w:t>
      </w:r>
      <w:r w:rsidR="00C35CD9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se budou účastnit p</w:t>
      </w:r>
      <w:r w:rsidR="00946874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</w:t>
      </w:r>
      <w:r w:rsidR="00110ED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avideln</w:t>
      </w:r>
      <w:r w:rsidR="00C35CD9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ých</w:t>
      </w:r>
      <w:r w:rsidR="00110ED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jednání operační skupiny, která se budou konat </w:t>
      </w:r>
      <w:r w:rsidR="00B2558A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dle potřeb realizace projektu, minimálně však jednou za </w:t>
      </w:r>
      <w:r w:rsidR="005A0E95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6</w:t>
      </w:r>
      <w:r w:rsidR="00B2558A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měsíc</w:t>
      </w:r>
      <w:r w:rsidR="005A0E95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ů</w:t>
      </w:r>
      <w:r w:rsidR="00110ED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 Za jejich organizac</w:t>
      </w:r>
      <w:r w:rsidR="00B2558A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i</w:t>
      </w:r>
      <w:r w:rsidR="00110EDD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odpovídá broker.</w:t>
      </w:r>
    </w:p>
    <w:p w14:paraId="2E67F73C" w14:textId="77777777" w:rsidR="009B6A50" w:rsidRPr="00731403" w:rsidRDefault="009B6A50" w:rsidP="0097508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8475B6" w14:textId="77777777" w:rsidR="009B6A50" w:rsidRPr="00731403" w:rsidRDefault="009B6A50" w:rsidP="00086F34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Článek IV</w:t>
      </w:r>
    </w:p>
    <w:p w14:paraId="25A4BACF" w14:textId="77777777" w:rsidR="009B6A50" w:rsidRPr="00731403" w:rsidRDefault="009B6A50" w:rsidP="00086F34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Ochrana informací</w:t>
      </w:r>
    </w:p>
    <w:p w14:paraId="3B9F5C0F" w14:textId="77777777" w:rsidR="00086F34" w:rsidRPr="00731403" w:rsidRDefault="00086F34" w:rsidP="009B6A50">
      <w:pPr>
        <w:pStyle w:val="Default"/>
        <w:spacing w:after="13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9B8283" w14:textId="77777777" w:rsidR="009B6A50" w:rsidRPr="00731403" w:rsidRDefault="009B6A50" w:rsidP="00110EDD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Smluvní strany se zavazují, že veškeré informace nutné pro vykonávání činností podle této smlouvy, které si smluvní strany vzájemně poskytnou, a to v ústní či písemné podobě, či ve formě zachycené jinými technickými prostředky, resp. ve formě výrobku či jeho návrhu (prototypu apod.), a jsou považovány za důvěrné informace nebo informace tvořící předmět obchodního tajemství (dále jen „důvěrné informace“), budou takto při jejich předání ostatním smluvním stranám jasně a zřetelně označeny. </w:t>
      </w:r>
    </w:p>
    <w:p w14:paraId="47EADE57" w14:textId="77777777" w:rsidR="009B6A50" w:rsidRPr="00731403" w:rsidRDefault="009B6A50" w:rsidP="00110EDD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Smluvní strany se zavazují důvěrné informace získané od ostatních smluvních stran využívat pouze k účelu, ke kterému byly poskytnuty, tyto nezneužít ve svůj prospěch nebo ve prospěch jiné osoby, uchovávat je v tajnosti a zajistit dostatečnou ochranu před přístupem nepovolaných osob k nim, jakož i tyto nepředat bez předchozího písemného souhlasu ostatních smluvních stran další osobě. </w:t>
      </w:r>
    </w:p>
    <w:p w14:paraId="18608819" w14:textId="77777777" w:rsidR="009B6A50" w:rsidRPr="00731403" w:rsidRDefault="009B6A50" w:rsidP="00110EDD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Závazek ochrany důvěrných informací se nevztahuje na důvěrné informace, které: </w:t>
      </w:r>
    </w:p>
    <w:p w14:paraId="4A51EE6A" w14:textId="77777777" w:rsidR="009B6A50" w:rsidRPr="00731403" w:rsidRDefault="009B6A50" w:rsidP="00110EDD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a) smluvní strana získala z veřejně dostupného zdroje nebo od další osoby a při jejich získání nedošlo k protiprávnímu jednání smluvní strany nebo této další osoby, </w:t>
      </w:r>
    </w:p>
    <w:p w14:paraId="44342F5A" w14:textId="77777777" w:rsidR="009B6A50" w:rsidRPr="00731403" w:rsidRDefault="009B6A50" w:rsidP="00110EDD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b) byly uveřejněny a staly se všeobecně přístupnými veřejnosti bez porušení této smlouvy smluvní stranou, </w:t>
      </w:r>
    </w:p>
    <w:p w14:paraId="2109572E" w14:textId="77777777" w:rsidR="009B6A50" w:rsidRPr="00731403" w:rsidRDefault="009B6A50" w:rsidP="00110EDD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c) v době zpřístupnění smluvní straně byly této smluvní straně známy bez omezení, což tato smluvní strana může doložit, a při jejich získání nedošlo k protiprávnímu jednání smluvní strany, </w:t>
      </w:r>
    </w:p>
    <w:p w14:paraId="7E623E1F" w14:textId="77777777" w:rsidR="009B6A50" w:rsidRPr="00731403" w:rsidRDefault="009B6A50" w:rsidP="00110EDD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d) byly z takové ochrany vyloučeny s předchozím písemným souhlasem ostatních smluvních stran, </w:t>
      </w:r>
    </w:p>
    <w:p w14:paraId="19F6373B" w14:textId="77777777" w:rsidR="009B6A50" w:rsidRPr="00731403" w:rsidRDefault="009B6A50" w:rsidP="00110EDD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e) je nutné zpřístupnit podle zákona, soudního či obdobného rozhodnutí. </w:t>
      </w:r>
    </w:p>
    <w:p w14:paraId="15B1919A" w14:textId="77777777" w:rsidR="00574D2F" w:rsidRPr="00731403" w:rsidRDefault="00574D2F" w:rsidP="00015B1E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82B7924" w14:textId="77777777" w:rsidR="009B6A50" w:rsidRPr="00731403" w:rsidRDefault="009B6A50" w:rsidP="00086F34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Článek V</w:t>
      </w:r>
    </w:p>
    <w:p w14:paraId="16D33CC3" w14:textId="77777777" w:rsidR="009B6A50" w:rsidRPr="00731403" w:rsidRDefault="009B6A50" w:rsidP="00086F34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Práva k</w:t>
      </w:r>
      <w:r w:rsidR="002F05E0"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 hmotnému </w:t>
      </w: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majetku</w:t>
      </w:r>
    </w:p>
    <w:p w14:paraId="40CEC0C8" w14:textId="77777777" w:rsidR="00086F34" w:rsidRPr="00731403" w:rsidRDefault="00086F34" w:rsidP="009B6A50">
      <w:pPr>
        <w:pStyle w:val="Defaul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56C69E7C" w14:textId="77777777" w:rsidR="00B87CE8" w:rsidRPr="00731403" w:rsidRDefault="004A79CD" w:rsidP="00110EDD">
      <w:pPr>
        <w:pStyle w:val="Default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1.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Vlastníkem hmotného majetku, nutného k řešení projektu a pořízeného z poskytnutých účelo</w:t>
      </w:r>
      <w:r w:rsidR="00B87CE8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vých finančních prostředků, je žadatel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</w:p>
    <w:p w14:paraId="1CBACF1E" w14:textId="77777777" w:rsidR="009B6A50" w:rsidRPr="00731403" w:rsidRDefault="004A79CD" w:rsidP="00110EDD">
      <w:pPr>
        <w:pStyle w:val="Default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2. </w:t>
      </w:r>
      <w:r w:rsidR="00B87CE8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Byl-li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hmotný majetek pořízen či vytvořen smluvními stranami společně, je tento hmotný majetek v podílovém spoluvlastnictví smluvních stran, přičemž jejich podíl na vlastnictví hmotného majetku se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 xml:space="preserve">stanoví podle poměru finančních prostředků vynaložených na pořízení tohoto hmotného majetku, pokud se smluvní strany nedohodnou písemně jinak. </w:t>
      </w:r>
    </w:p>
    <w:p w14:paraId="45A88418" w14:textId="77777777" w:rsidR="009215C4" w:rsidRPr="00731403" w:rsidRDefault="009215C4" w:rsidP="00086F34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CE07085" w14:textId="77777777" w:rsidR="009B6A50" w:rsidRPr="00731403" w:rsidRDefault="009B6A50" w:rsidP="00086F34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Článek VI</w:t>
      </w:r>
    </w:p>
    <w:p w14:paraId="79499C6B" w14:textId="77777777" w:rsidR="009B6A50" w:rsidRPr="00731403" w:rsidRDefault="009B6A50" w:rsidP="00086F34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Práva k výsledkům projektu a jejich využití</w:t>
      </w:r>
    </w:p>
    <w:p w14:paraId="1802A9B0" w14:textId="77777777" w:rsidR="00086F34" w:rsidRPr="00731403" w:rsidRDefault="00086F34" w:rsidP="009B6A50">
      <w:pPr>
        <w:pStyle w:val="Default"/>
        <w:spacing w:after="13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347F4F" w14:textId="77777777" w:rsidR="002F05E0" w:rsidRPr="00731403" w:rsidRDefault="002F05E0" w:rsidP="002F05E0">
      <w:pPr>
        <w:pStyle w:val="Default"/>
        <w:widowControl w:val="0"/>
        <w:spacing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1403">
        <w:rPr>
          <w:rFonts w:ascii="Calibri" w:hAnsi="Calibri" w:cs="Calibri"/>
          <w:color w:val="000000" w:themeColor="text1"/>
          <w:sz w:val="22"/>
          <w:szCs w:val="22"/>
        </w:rPr>
        <w:t>1. Otázky práv k duševnímu vlastnictví se řídí obecně závaznými právními předpisy, zejména zákonem č.121/2000 Sb., o právu autorském, o právech souvisejících s právem autorským a o změně některých zákonů (autorský zákon), ve znění pozdějších předpisů, zákonem č. 527/1990 Sb., o vynálezech, průmyslových vzorech a zlepšovacích návrzích, ve znění pozdějších předpisů, a zákonem č. 130/2002 Sb., o podpoře výzkumu, experimentálního vývoje a inovací z veřejných prostředků a o změně některých souvisejících zákonů (zákon o podpoře výzkumu a vývoje), ve znění pozdějších předpisů.</w:t>
      </w:r>
    </w:p>
    <w:p w14:paraId="2E04C048" w14:textId="77777777" w:rsidR="002F05E0" w:rsidRPr="00731403" w:rsidRDefault="002F05E0" w:rsidP="002F05E0">
      <w:pPr>
        <w:shd w:val="clear" w:color="auto" w:fill="FFFFFF"/>
        <w:spacing w:after="0" w:line="240" w:lineRule="auto"/>
        <w:ind w:right="11"/>
        <w:jc w:val="both"/>
        <w:outlineLvl w:val="0"/>
        <w:rPr>
          <w:rFonts w:ascii="Calibri" w:hAnsi="Calibri" w:cs="Calibri"/>
          <w:color w:val="000000" w:themeColor="text1"/>
        </w:rPr>
      </w:pPr>
      <w:r w:rsidRPr="00731403">
        <w:rPr>
          <w:rFonts w:ascii="Calibri" w:hAnsi="Calibri" w:cs="Calibri"/>
          <w:color w:val="000000" w:themeColor="text1"/>
        </w:rPr>
        <w:t xml:space="preserve">2. Způsob komerčního využití konkrétního výsledku vzniklého při řešení společného projektu bude vždy řešen písemnou smlouvou uzavřenou mezi smluvními stranami. </w:t>
      </w:r>
    </w:p>
    <w:p w14:paraId="0751680C" w14:textId="77777777" w:rsidR="009B6A50" w:rsidRPr="00731403" w:rsidRDefault="009B6A50" w:rsidP="00C7459E">
      <w:pPr>
        <w:pStyle w:val="Default"/>
        <w:spacing w:after="13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113853" w14:textId="77777777" w:rsidR="00C7459E" w:rsidRPr="00731403" w:rsidRDefault="00C7459E" w:rsidP="00C7459E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Článek VIII</w:t>
      </w:r>
    </w:p>
    <w:p w14:paraId="04AAA930" w14:textId="77777777" w:rsidR="00C7459E" w:rsidRPr="00731403" w:rsidRDefault="00C7459E" w:rsidP="00C7459E">
      <w:pPr>
        <w:jc w:val="center"/>
        <w:rPr>
          <w:rFonts w:cstheme="minorHAnsi"/>
          <w:i/>
          <w:color w:val="000000" w:themeColor="text1"/>
          <w:u w:val="single"/>
        </w:rPr>
      </w:pPr>
      <w:r w:rsidRPr="00731403">
        <w:rPr>
          <w:rFonts w:cstheme="minorHAnsi"/>
          <w:b/>
          <w:color w:val="000000" w:themeColor="text1"/>
        </w:rPr>
        <w:t xml:space="preserve">Stanovení vnitřních postupů zajišťujících transparentnost činnosti a předcházení střetu zájmů </w:t>
      </w:r>
    </w:p>
    <w:p w14:paraId="22295288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31403">
        <w:rPr>
          <w:rFonts w:cstheme="minorHAnsi"/>
          <w:b/>
          <w:bCs/>
          <w:color w:val="000000" w:themeColor="text1"/>
        </w:rPr>
        <w:t>Zásady zákonnosti</w:t>
      </w:r>
    </w:p>
    <w:p w14:paraId="264FF8CF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>1. Smluvní strany se při své práci řídí Ústavou ČR, zákony a dalšími právními předpisy České republiky.</w:t>
      </w:r>
    </w:p>
    <w:p w14:paraId="6508E906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2. Účastník projektu je povinen se zdržet jednání, které by ohrozilo důvěryhodnost projektu. </w:t>
      </w:r>
    </w:p>
    <w:p w14:paraId="21E0847E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3. Smluvní strany činí rozhodnutí svěřená do jeho kompetence a související s procesem implementace projektu nestranně, neúplatně, přičemž zásadu poctivosti a neovlivnitelnosti dodržuje jak vůči veřejnosti, tak i vůči </w:t>
      </w:r>
      <w:r w:rsidR="00C475BA" w:rsidRPr="00731403">
        <w:rPr>
          <w:rFonts w:cstheme="minorHAnsi"/>
          <w:color w:val="000000" w:themeColor="text1"/>
        </w:rPr>
        <w:t>dalším účastníkům projektu</w:t>
      </w:r>
      <w:r w:rsidRPr="00731403">
        <w:rPr>
          <w:rFonts w:cstheme="minorHAnsi"/>
          <w:color w:val="000000" w:themeColor="text1"/>
        </w:rPr>
        <w:t xml:space="preserve"> navzájem.</w:t>
      </w:r>
    </w:p>
    <w:p w14:paraId="3D478C2C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5. </w:t>
      </w:r>
      <w:r w:rsidR="00C475BA" w:rsidRPr="00731403">
        <w:rPr>
          <w:rFonts w:cstheme="minorHAnsi"/>
          <w:color w:val="000000" w:themeColor="text1"/>
        </w:rPr>
        <w:t>Smluvní strany</w:t>
      </w:r>
      <w:r w:rsidRPr="00731403">
        <w:rPr>
          <w:rFonts w:cstheme="minorHAnsi"/>
          <w:color w:val="000000" w:themeColor="text1"/>
        </w:rPr>
        <w:t xml:space="preserve"> řeší záležitosti spjaté s implementací projektu objektivně. Nejedn</w:t>
      </w:r>
      <w:r w:rsidR="00C475BA" w:rsidRPr="00731403">
        <w:rPr>
          <w:rFonts w:cstheme="minorHAnsi"/>
          <w:color w:val="000000" w:themeColor="text1"/>
        </w:rPr>
        <w:t>ají</w:t>
      </w:r>
      <w:r w:rsidRPr="00731403">
        <w:rPr>
          <w:rFonts w:cstheme="minorHAnsi"/>
          <w:color w:val="000000" w:themeColor="text1"/>
        </w:rPr>
        <w:t xml:space="preserve"> svévolně k újmě či prospěchu jakékoli fyzické či právnické osoby nebo skupiny osob.</w:t>
      </w:r>
    </w:p>
    <w:p w14:paraId="7CD948E0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6. V případě, že jakýkoli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zjistí podvodné či korupční jednání související s procesem implementace projektu, je povinen to neprodleně ohlásit </w:t>
      </w:r>
      <w:r w:rsidR="005A0E95" w:rsidRPr="00731403">
        <w:rPr>
          <w:rFonts w:cstheme="minorHAnsi"/>
          <w:color w:val="000000" w:themeColor="text1"/>
        </w:rPr>
        <w:t>žadateli</w:t>
      </w:r>
      <w:r w:rsidRPr="00731403">
        <w:rPr>
          <w:rFonts w:cstheme="minorHAnsi"/>
          <w:color w:val="000000" w:themeColor="text1"/>
        </w:rPr>
        <w:t xml:space="preserve">, popř. </w:t>
      </w:r>
      <w:r w:rsidR="00C475BA" w:rsidRPr="00731403">
        <w:rPr>
          <w:rFonts w:cstheme="minorHAnsi"/>
          <w:color w:val="000000" w:themeColor="text1"/>
        </w:rPr>
        <w:t>brokerovi</w:t>
      </w:r>
      <w:r w:rsidRPr="00731403">
        <w:rPr>
          <w:rFonts w:cstheme="minorHAnsi"/>
          <w:color w:val="000000" w:themeColor="text1"/>
        </w:rPr>
        <w:t>.</w:t>
      </w:r>
    </w:p>
    <w:p w14:paraId="36CDB1DC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C2D21C3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31403">
        <w:rPr>
          <w:rFonts w:cstheme="minorHAnsi"/>
          <w:b/>
          <w:bCs/>
          <w:color w:val="000000" w:themeColor="text1"/>
        </w:rPr>
        <w:t>Zásada kvality a efektivity</w:t>
      </w:r>
    </w:p>
    <w:p w14:paraId="3A74EB57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1.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pracuj</w:t>
      </w:r>
      <w:r w:rsidR="00C475BA" w:rsidRPr="00731403">
        <w:rPr>
          <w:rFonts w:cstheme="minorHAnsi"/>
          <w:color w:val="000000" w:themeColor="text1"/>
        </w:rPr>
        <w:t>e</w:t>
      </w:r>
      <w:r w:rsidRPr="00731403">
        <w:rPr>
          <w:rFonts w:cstheme="minorHAnsi"/>
          <w:color w:val="000000" w:themeColor="text1"/>
        </w:rPr>
        <w:t xml:space="preserve"> v zájmu implementace projektu na vysoké odborné úrovni, kterou je povinen si studiem průběžně zvyšovat a doplňovat. Získáváním znalostí a dovedností vedoucích ke kvalitnímu a efektivnímu výkonu v procesu implementace přispívá k naplňování cílů projektů EIP.</w:t>
      </w:r>
    </w:p>
    <w:p w14:paraId="3275369B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2.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je povinen dbát na efektivní a ekonomické spravování či využívání lidského potenciálu, finančních zdrojů a zařízení mu svěřených a používat je výhradně k činnostem spojeným s realizací projektu.</w:t>
      </w:r>
    </w:p>
    <w:p w14:paraId="55BCB585" w14:textId="77777777" w:rsidR="00AC1894" w:rsidRPr="00731403" w:rsidRDefault="00AC1894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38C87A8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31403">
        <w:rPr>
          <w:rFonts w:cstheme="minorHAnsi"/>
          <w:b/>
          <w:bCs/>
          <w:color w:val="000000" w:themeColor="text1"/>
        </w:rPr>
        <w:t>Zásada etiky práce a rovného přístupu</w:t>
      </w:r>
    </w:p>
    <w:p w14:paraId="013D17CB" w14:textId="77777777" w:rsidR="00C475BA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1.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je povinen pracovat v zájmu implementace projektu odpovědně, čestně, svědomitě a ve shodě s posláním a cíli opatření 16 Spolupráce.</w:t>
      </w:r>
    </w:p>
    <w:p w14:paraId="1FC67F78" w14:textId="77777777" w:rsidR="00C7459E" w:rsidRPr="00731403" w:rsidRDefault="00C475BA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>2. Účastník projektu</w:t>
      </w:r>
      <w:r w:rsidR="00C7459E" w:rsidRPr="00731403">
        <w:rPr>
          <w:rFonts w:cstheme="minorHAnsi"/>
          <w:color w:val="000000" w:themeColor="text1"/>
        </w:rPr>
        <w:t xml:space="preserve"> ve všech svých aktivitách a v celém svém jednání dodržuje zásadu rovného přístupu a jedná bez ohledu na pohlaví, etnický nebo sociální původ, sexuální orientaci, národnost, majetkové poměry, zdravotní stav, věk, státní příslušnost, rodinný stav či víru a náboženství.</w:t>
      </w:r>
    </w:p>
    <w:p w14:paraId="1D14E554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31403">
        <w:rPr>
          <w:rFonts w:cstheme="minorHAnsi"/>
          <w:b/>
          <w:bCs/>
          <w:color w:val="000000" w:themeColor="text1"/>
        </w:rPr>
        <w:t>Zásada informační otevřenosti</w:t>
      </w:r>
    </w:p>
    <w:p w14:paraId="45AE987A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1.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poskytuje v rámci implementačního týmu potřebné informace související s jeho činností bez zbytečného prodlení, a to výhradně v rozsahu svého pracovního zařazení a z něj plynoucích kompetencí.</w:t>
      </w:r>
    </w:p>
    <w:p w14:paraId="561C510E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2.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nakládá s informacemi, které získal ve svém postavení, s nezbytnou diskrétností. Je povinen zachovávat mlčenlivost o skutečnostech týkajících se obchodních, ekonomických či </w:t>
      </w:r>
      <w:r w:rsidRPr="00731403">
        <w:rPr>
          <w:rFonts w:cstheme="minorHAnsi"/>
          <w:color w:val="000000" w:themeColor="text1"/>
        </w:rPr>
        <w:lastRenderedPageBreak/>
        <w:t xml:space="preserve">osobních údajů jiných fyzických či právnických osob, které se podílejí na procesu implementace projektu, a to minimálně do oficiálního ukončení projektu. </w:t>
      </w:r>
    </w:p>
    <w:p w14:paraId="175E683F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3.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je povinen zdržet se předání informací, které se dozví při výkonu svých pracovních povinností, pokud by tím mohl být negativně ovlivněn proces transparentnosti, rovného zacházení a nediskriminace vůči </w:t>
      </w:r>
      <w:r w:rsidR="00C35CD9" w:rsidRPr="00731403">
        <w:rPr>
          <w:rFonts w:cstheme="minorHAnsi"/>
          <w:color w:val="000000" w:themeColor="text1"/>
        </w:rPr>
        <w:t>žadateli</w:t>
      </w:r>
      <w:r w:rsidRPr="00731403">
        <w:rPr>
          <w:rFonts w:cstheme="minorHAnsi"/>
          <w:color w:val="000000" w:themeColor="text1"/>
        </w:rPr>
        <w:t>.</w:t>
      </w:r>
    </w:p>
    <w:p w14:paraId="1BD1EA6B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4.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neuvede vědomě v omyl veřejnost sdělováním mylných či neověřených informací, nečiní nepravdivé nebo zavádějící prohlášení nebo záměrně nezamlčuje příslušné informace.</w:t>
      </w:r>
    </w:p>
    <w:p w14:paraId="5F1AC0D1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06409BD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31403">
        <w:rPr>
          <w:rFonts w:cstheme="minorHAnsi"/>
          <w:b/>
          <w:bCs/>
          <w:color w:val="000000" w:themeColor="text1"/>
        </w:rPr>
        <w:t>Střet zájmu a ohlášení zájmu</w:t>
      </w:r>
    </w:p>
    <w:p w14:paraId="38D65C25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1.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se zdrží takového jednání, které by vedlo ke střetu veřejného zájmu s jeho zájmem soukromým. </w:t>
      </w:r>
    </w:p>
    <w:p w14:paraId="1299D208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2.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nevyužívá informace související s jeho činností v rámci implementace a fungování projektu k osobnímu prospěchu ani k prospěchu jiných osob.</w:t>
      </w:r>
    </w:p>
    <w:p w14:paraId="321B4789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B94294F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31403">
        <w:rPr>
          <w:rFonts w:cstheme="minorHAnsi"/>
          <w:b/>
          <w:bCs/>
          <w:color w:val="000000" w:themeColor="text1"/>
        </w:rPr>
        <w:t>Dary a výhody</w:t>
      </w:r>
    </w:p>
    <w:p w14:paraId="5E01B408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1.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nevyžaduje ani nepřijímá dary, úsluhy, ani žádná jiná zvýhodnění, která by mohla ovlivnit rozhodování či narušit nestranný přístup.</w:t>
      </w:r>
    </w:p>
    <w:p w14:paraId="02648C2C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2.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nepřipustí, aby se v souvislosti se svou činností dostal do postavení, ve kterém je zavázán oplatit prokázanou laskavost, nebo které jej činí přístupným nepatřičnému vlivu jiných osob.</w:t>
      </w:r>
    </w:p>
    <w:p w14:paraId="666231B9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3.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nenabízí ani neposkytuje žádnou výhodu jakýmkoli způsobem spojenou s jeho činností.</w:t>
      </w:r>
    </w:p>
    <w:p w14:paraId="601A79D2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4. Při výkonu své činnosti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neučiní a/nebo nenavrhne učinit úkony, které by ho zvýhodnily v budoucím osobním nebo profesním životě.</w:t>
      </w:r>
    </w:p>
    <w:p w14:paraId="72C0688B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A7794FB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31403">
        <w:rPr>
          <w:rFonts w:cstheme="minorHAnsi"/>
          <w:b/>
          <w:bCs/>
          <w:color w:val="000000" w:themeColor="text1"/>
        </w:rPr>
        <w:t>Oznámení nepřípustné činnosti a kontrola</w:t>
      </w:r>
    </w:p>
    <w:p w14:paraId="389B3E05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1. V případě, že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zjistí újmu způsobenou nedbalým, podvodným či korupčním jednáním jiného </w:t>
      </w:r>
      <w:r w:rsidR="00C475BA" w:rsidRPr="00731403">
        <w:rPr>
          <w:rFonts w:cstheme="minorHAnsi"/>
          <w:color w:val="000000" w:themeColor="text1"/>
        </w:rPr>
        <w:t>účastníka projektu</w:t>
      </w:r>
      <w:r w:rsidRPr="00731403">
        <w:rPr>
          <w:rFonts w:cstheme="minorHAnsi"/>
          <w:color w:val="000000" w:themeColor="text1"/>
        </w:rPr>
        <w:t xml:space="preserve"> nebo jakékoliv osoby mimo implementační struktury, čímž by se mohla narušit transparentnost, rovný přístup a princip nediskriminace procesu implementace projektu, bezprostředně oznámí tuto skutečnost hlavnímu řešiteli projektu.</w:t>
      </w:r>
    </w:p>
    <w:p w14:paraId="36A721AE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2. Případné podezření z porušení ustanovení kodexu prověří hlavní řešitel projektu, který výsledné zjištění oznámí </w:t>
      </w:r>
      <w:r w:rsidR="00C475BA" w:rsidRPr="00731403">
        <w:rPr>
          <w:rFonts w:cstheme="minorHAnsi"/>
          <w:color w:val="000000" w:themeColor="text1"/>
        </w:rPr>
        <w:t>ostatním účastníkům projektu</w:t>
      </w:r>
      <w:r w:rsidRPr="00731403">
        <w:rPr>
          <w:rFonts w:cstheme="minorHAnsi"/>
          <w:color w:val="000000" w:themeColor="text1"/>
        </w:rPr>
        <w:t xml:space="preserve"> a zajistí archivaci dokumentů. V případě pozitivního zjištění postupuje dle platné legislativy a zabezpečí nápravu a plynulost implementačního procesu projektu.</w:t>
      </w:r>
    </w:p>
    <w:p w14:paraId="44C3DE36" w14:textId="77777777" w:rsidR="00C7459E" w:rsidRPr="00731403" w:rsidRDefault="00C7459E" w:rsidP="00C745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3. </w:t>
      </w:r>
      <w:r w:rsidR="00C475BA" w:rsidRPr="00731403">
        <w:rPr>
          <w:rFonts w:cstheme="minorHAnsi"/>
          <w:color w:val="000000" w:themeColor="text1"/>
        </w:rPr>
        <w:t>Účastník projektu</w:t>
      </w:r>
      <w:r w:rsidRPr="00731403">
        <w:rPr>
          <w:rFonts w:cstheme="minorHAnsi"/>
          <w:color w:val="000000" w:themeColor="text1"/>
        </w:rPr>
        <w:t xml:space="preserve"> si je vědom, že porušení kodexu může mít za následek zpochybnění celého průběhu implementace projektu, což muže mít za následek neudělení či pozastavení dotace ze strany S</w:t>
      </w:r>
      <w:r w:rsidR="005A0E95" w:rsidRPr="00731403">
        <w:rPr>
          <w:rFonts w:cstheme="minorHAnsi"/>
          <w:color w:val="000000" w:themeColor="text1"/>
        </w:rPr>
        <w:t>tátního zemědělského intervenčního fondu</w:t>
      </w:r>
      <w:r w:rsidRPr="00731403">
        <w:rPr>
          <w:rFonts w:cstheme="minorHAnsi"/>
          <w:color w:val="000000" w:themeColor="text1"/>
        </w:rPr>
        <w:t>.</w:t>
      </w:r>
    </w:p>
    <w:p w14:paraId="29309AD4" w14:textId="77777777" w:rsidR="00C34319" w:rsidRPr="00731403" w:rsidRDefault="00C34319" w:rsidP="00C7459E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8B08F5B" w14:textId="77777777" w:rsidR="00C7459E" w:rsidRPr="00731403" w:rsidRDefault="00C7459E" w:rsidP="00C7459E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Článek IX</w:t>
      </w:r>
    </w:p>
    <w:p w14:paraId="387875D1" w14:textId="77777777" w:rsidR="00C7459E" w:rsidRPr="00731403" w:rsidRDefault="00C7459E" w:rsidP="00C7459E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Ostatní ujednání</w:t>
      </w:r>
    </w:p>
    <w:p w14:paraId="004CB204" w14:textId="77777777" w:rsidR="00EC2DA3" w:rsidRPr="00731403" w:rsidRDefault="00EC2DA3" w:rsidP="002F05E0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955E3D3" w14:textId="77777777" w:rsidR="002F05E0" w:rsidRPr="00731403" w:rsidRDefault="002F05E0" w:rsidP="002F05E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1. Kontaktními osobami za jednotlivé účastníky projektu jsou:</w:t>
      </w:r>
    </w:p>
    <w:p w14:paraId="0F11DB1E" w14:textId="77777777" w:rsidR="002F05E0" w:rsidRPr="00731403" w:rsidRDefault="004A79CD" w:rsidP="002F05E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- za žadatele – Jaroslav</w:t>
      </w:r>
      <w:r w:rsidR="002F05E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Macháček, tel.</w:t>
      </w:r>
      <w:r w:rsidR="00EC2DA3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2F05E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734 395</w:t>
      </w:r>
      <w:r w:rsidR="00EC2DA3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F05E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400</w:t>
      </w:r>
      <w:r w:rsidR="00EC2DA3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mail.: </w:t>
      </w:r>
      <w:hyperlink r:id="rId11" w:history="1">
        <w:r w:rsidR="00EC2DA3" w:rsidRPr="00731403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info@sensecoco.com</w:t>
        </w:r>
      </w:hyperlink>
    </w:p>
    <w:p w14:paraId="3B0FB7FD" w14:textId="77777777" w:rsidR="00EC2DA3" w:rsidRPr="00731403" w:rsidRDefault="00EC2DA3" w:rsidP="002F05E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za </w:t>
      </w:r>
      <w:r w:rsidR="005A0E95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výzkumnou </w:t>
      </w:r>
      <w:r w:rsidR="00C35CD9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organizaci</w:t>
      </w: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A79CD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Alexandra Šala</w:t>
      </w:r>
      <w:r w:rsidR="005A0E95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ková</w:t>
      </w: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, tel.: 7</w:t>
      </w:r>
      <w:r w:rsidR="005A0E95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28 377 542</w:t>
      </w: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mail.: </w:t>
      </w:r>
      <w:hyperlink r:id="rId12" w:history="1">
        <w:r w:rsidR="005A0E95" w:rsidRPr="00731403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salakova@milcom-as.cz</w:t>
        </w:r>
      </w:hyperlink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1249BE" w14:textId="77777777" w:rsidR="00EC2DA3" w:rsidRPr="00731403" w:rsidRDefault="00EC2DA3" w:rsidP="002F05E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za brokera – Jiří </w:t>
      </w:r>
      <w:r w:rsidR="002D4EA1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rnka, tel.: 724 153 581, mail.: </w:t>
      </w:r>
      <w:hyperlink r:id="rId13" w:history="1">
        <w:r w:rsidRPr="00731403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trnka@biom.cz</w:t>
        </w:r>
      </w:hyperlink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A3F277" w14:textId="77777777" w:rsidR="00015B1E" w:rsidRPr="00731403" w:rsidRDefault="00015B1E" w:rsidP="002F05E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997D0B" w14:textId="77777777" w:rsidR="00015B1E" w:rsidRPr="00731403" w:rsidRDefault="00015B1E" w:rsidP="002F05E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Projektový tým, tj. osoby, které se budou podílet na činnostech operační skupiny</w:t>
      </w:r>
      <w:r w:rsidR="004A79CD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za jednotlivé účastníky projektu následující osoby:</w:t>
      </w:r>
    </w:p>
    <w:p w14:paraId="285F0995" w14:textId="77777777" w:rsidR="00015B1E" w:rsidRPr="00731403" w:rsidRDefault="004A79CD" w:rsidP="002F05E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- za žadatele – Jaroslav</w:t>
      </w:r>
      <w:r w:rsidR="00015B1E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Macháček</w:t>
      </w:r>
    </w:p>
    <w:p w14:paraId="60FF52E6" w14:textId="77777777" w:rsidR="00015B1E" w:rsidRPr="00731403" w:rsidRDefault="00015B1E" w:rsidP="002F05E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- za</w:t>
      </w:r>
      <w:r w:rsidR="005A0E95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výzkumnou </w:t>
      </w:r>
      <w:r w:rsidR="00C35CD9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organizaci</w:t>
      </w:r>
      <w:r w:rsidR="004A79CD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Alexandra Šala</w:t>
      </w: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ková</w:t>
      </w:r>
      <w:r w:rsidR="005A0E95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A79CD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Šárka Trešlová</w:t>
      </w:r>
    </w:p>
    <w:p w14:paraId="3E1C1D1E" w14:textId="77777777" w:rsidR="00015B1E" w:rsidRPr="00731403" w:rsidRDefault="00015B1E" w:rsidP="002F05E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- za brokera – Jiří Trnka</w:t>
      </w:r>
    </w:p>
    <w:p w14:paraId="5795E063" w14:textId="77777777" w:rsidR="002F05E0" w:rsidRPr="00731403" w:rsidRDefault="002F05E0" w:rsidP="002F05E0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CE23A9" w14:textId="77777777" w:rsidR="00392850" w:rsidRPr="00731403" w:rsidRDefault="00392850" w:rsidP="002F05E0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3AE13D" w14:textId="77777777" w:rsidR="002F05E0" w:rsidRPr="00731403" w:rsidRDefault="002F05E0" w:rsidP="002F05E0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Článek </w:t>
      </w:r>
      <w:r w:rsidR="00C7459E"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</w:t>
      </w:r>
    </w:p>
    <w:p w14:paraId="53DFA8A4" w14:textId="77777777" w:rsidR="002F05E0" w:rsidRPr="00731403" w:rsidRDefault="002F05E0" w:rsidP="002F05E0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Závěrečná ustanovení</w:t>
      </w:r>
    </w:p>
    <w:p w14:paraId="4655805B" w14:textId="77777777" w:rsidR="00086F34" w:rsidRPr="00731403" w:rsidRDefault="00086F34" w:rsidP="009B6A50">
      <w:pPr>
        <w:pStyle w:val="Default"/>
        <w:spacing w:after="13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2A08A9" w14:textId="77777777" w:rsidR="009B6A50" w:rsidRPr="00731403" w:rsidRDefault="009B6A50" w:rsidP="00BB0210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Není-li v této smlouvě vysloveně uvedeno jinak, řídí se vztahy jí upravené, z ní vyplývající a s ní související podle příslušných pravidel </w:t>
      </w:r>
      <w:r w:rsidR="00BB021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poskytnutí podpory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s jejichž obsahem jsou smluvní strany ke dni uzavření této smlouvy plně seznámeny, což svými podpisy na této smlouvě potvrzují. </w:t>
      </w:r>
    </w:p>
    <w:p w14:paraId="3C9B20EC" w14:textId="77777777" w:rsidR="009B6A50" w:rsidRPr="00731403" w:rsidRDefault="009B6A50" w:rsidP="00BB0210">
      <w:pPr>
        <w:pStyle w:val="Default"/>
        <w:spacing w:after="139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Veškeré změny této smlouvy mohou být prováděny pouze formou písemných a vzestupně číslovaných „Dodatků ke smlouvě“ podepsaných všemi smluvními stranami. </w:t>
      </w:r>
    </w:p>
    <w:p w14:paraId="264ADC4C" w14:textId="77777777" w:rsidR="00EC2DA3" w:rsidRPr="00731403" w:rsidRDefault="00EC2DA3" w:rsidP="00EC2DA3">
      <w:pPr>
        <w:spacing w:after="120" w:line="257" w:lineRule="auto"/>
        <w:jc w:val="both"/>
        <w:rPr>
          <w:rFonts w:eastAsia="Times New Roman" w:cs="Arial"/>
          <w:color w:val="000000" w:themeColor="text1"/>
          <w:lang w:eastAsia="cs-CZ"/>
        </w:rPr>
      </w:pPr>
      <w:r w:rsidRPr="00731403">
        <w:rPr>
          <w:rFonts w:eastAsia="Times New Roman" w:cs="Arial"/>
          <w:color w:val="000000" w:themeColor="text1"/>
          <w:lang w:eastAsia="cs-CZ"/>
        </w:rPr>
        <w:t xml:space="preserve">3. Tato Smlouva </w:t>
      </w:r>
      <w:r w:rsidRPr="00731403">
        <w:rPr>
          <w:rFonts w:eastAsia="Droid Sans Fallback" w:cs="Arial"/>
          <w:color w:val="000000" w:themeColor="text1"/>
          <w:kern w:val="2"/>
        </w:rPr>
        <w:t xml:space="preserve">nabývá platnosti dnem podpisu </w:t>
      </w:r>
      <w:r w:rsidR="005A0E95" w:rsidRPr="00731403">
        <w:rPr>
          <w:rFonts w:eastAsia="Droid Sans Fallback" w:cs="Arial"/>
          <w:color w:val="000000" w:themeColor="text1"/>
          <w:kern w:val="2"/>
        </w:rPr>
        <w:t xml:space="preserve">všech </w:t>
      </w:r>
      <w:r w:rsidRPr="00731403">
        <w:rPr>
          <w:rFonts w:eastAsia="Droid Sans Fallback" w:cs="Arial"/>
          <w:color w:val="000000" w:themeColor="text1"/>
          <w:kern w:val="2"/>
        </w:rPr>
        <w:t xml:space="preserve">smluvních stran a účinnosti dnem uveřejnění v registru smluv podle zákona č. 340/2015 Sb., o registru smluv, v platném znění. Uveřejnění v registru smluv, ve smyslu čl. III odst. 10 zajistí </w:t>
      </w:r>
      <w:r w:rsidR="00AC1894" w:rsidRPr="00731403">
        <w:rPr>
          <w:rFonts w:eastAsia="Droid Sans Fallback" w:cs="Arial"/>
          <w:color w:val="000000" w:themeColor="text1"/>
          <w:kern w:val="2"/>
        </w:rPr>
        <w:t xml:space="preserve">výzkumná </w:t>
      </w:r>
      <w:r w:rsidR="00903B6E" w:rsidRPr="00731403">
        <w:rPr>
          <w:rFonts w:eastAsia="Droid Sans Fallback" w:cs="Arial"/>
          <w:color w:val="000000" w:themeColor="text1"/>
          <w:kern w:val="2"/>
        </w:rPr>
        <w:t>organizace</w:t>
      </w:r>
      <w:r w:rsidRPr="00731403">
        <w:rPr>
          <w:rFonts w:eastAsia="Droid Sans Fallback" w:cs="Arial"/>
          <w:color w:val="000000" w:themeColor="text1"/>
          <w:kern w:val="2"/>
        </w:rPr>
        <w:t xml:space="preserve"> a o této provedené registraci informuje bez zbytečného odkladu žadatele. </w:t>
      </w:r>
    </w:p>
    <w:p w14:paraId="20F20BEE" w14:textId="77777777" w:rsidR="009B6A50" w:rsidRPr="00731403" w:rsidRDefault="00EC2DA3" w:rsidP="00BB0210">
      <w:pPr>
        <w:pStyle w:val="Default"/>
        <w:spacing w:after="139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Tato smlouva se uzavírá na dobu určitou, a to dobu schválenou </w:t>
      </w:r>
      <w:r w:rsidR="00BB021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poskytovatelem dotace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k řešení projektu</w:t>
      </w:r>
      <w:r w:rsidR="005A0E95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14:paraId="00C06568" w14:textId="77777777" w:rsidR="00C91FFD" w:rsidRPr="00731403" w:rsidRDefault="00C91FFD" w:rsidP="00C91FFD">
      <w:pPr>
        <w:spacing w:after="120" w:line="240" w:lineRule="auto"/>
        <w:jc w:val="both"/>
        <w:rPr>
          <w:rFonts w:cstheme="minorHAnsi"/>
          <w:color w:val="000000" w:themeColor="text1"/>
        </w:rPr>
      </w:pPr>
      <w:r w:rsidRPr="00731403">
        <w:rPr>
          <w:rFonts w:cstheme="minorHAnsi"/>
          <w:color w:val="000000" w:themeColor="text1"/>
        </w:rPr>
        <w:t xml:space="preserve">5. Případné spory mezi </w:t>
      </w:r>
      <w:r w:rsidR="009215C4" w:rsidRPr="00731403">
        <w:rPr>
          <w:rFonts w:cstheme="minorHAnsi"/>
          <w:color w:val="000000" w:themeColor="text1"/>
        </w:rPr>
        <w:t>smluvními stranami</w:t>
      </w:r>
      <w:r w:rsidRPr="00731403">
        <w:rPr>
          <w:rFonts w:cstheme="minorHAnsi"/>
          <w:color w:val="000000" w:themeColor="text1"/>
        </w:rPr>
        <w:t xml:space="preserve"> vzniklé z této Smlouvy budou řešeny dohodou, popřípadě rozhodovány věcně a místně příslušným soudem České republiky. </w:t>
      </w:r>
    </w:p>
    <w:p w14:paraId="6FFF063E" w14:textId="77777777" w:rsidR="009B6A50" w:rsidRPr="00731403" w:rsidRDefault="009215C4" w:rsidP="00BB0210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Nedílnou součástí této smlouvy je příloha</w:t>
      </w:r>
      <w:r w:rsidR="00BB021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č.1 Žádost o poskytnutí dotace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</w:p>
    <w:p w14:paraId="259F72F6" w14:textId="77777777" w:rsidR="009B6A50" w:rsidRPr="00731403" w:rsidRDefault="009215C4" w:rsidP="00BB0210">
      <w:pPr>
        <w:pStyle w:val="Default"/>
        <w:spacing w:after="13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Tato smlouva je vyhotovena v</w:t>
      </w:r>
      <w:r w:rsidR="00BB021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e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EC2DA3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třech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stejnopisech, každý s platností originálu, z nichž každá smluvní strana obdrží po </w:t>
      </w:r>
      <w:r w:rsidR="00BB021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jednom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stejnopis</w:t>
      </w:r>
      <w:r w:rsidR="00BB021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u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</w:p>
    <w:p w14:paraId="7109FEBD" w14:textId="77777777" w:rsidR="009B6A50" w:rsidRPr="00731403" w:rsidRDefault="009215C4" w:rsidP="00BB021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9B6A50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B6A50" w:rsidRPr="0073140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Smluvní strany prohlašují, že tuto smlouvu přečetly, že byla uzavřena po vzájemném projednání podle jejich pravé a svobodné vůle, určitě, vážně a srozumitelně, a na důkaz svého souhlasu s jejím obsahem pod ní připojují své podpisy. </w:t>
      </w:r>
    </w:p>
    <w:p w14:paraId="277E7B6B" w14:textId="77777777" w:rsidR="009B6A50" w:rsidRPr="00731403" w:rsidRDefault="009B6A50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517AEF" w14:textId="77777777" w:rsidR="008F7D69" w:rsidRPr="00731403" w:rsidRDefault="008F7D69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E5EC1A" w14:textId="77777777" w:rsidR="008F7D69" w:rsidRPr="00731403" w:rsidRDefault="008F7D69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9F9403" w14:textId="77777777" w:rsidR="00BB0210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Praze dne </w:t>
      </w:r>
      <w:r w:rsidR="009215C4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</w:p>
    <w:p w14:paraId="69FE0683" w14:textId="77777777" w:rsidR="00B87CE8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4CBE1C" w14:textId="77777777" w:rsidR="00015B1E" w:rsidRPr="00731403" w:rsidRDefault="00015B1E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260EF1" w14:textId="77777777" w:rsidR="00B87CE8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17F411" w14:textId="77777777" w:rsidR="00946874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9215C4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ense</w:t>
      </w:r>
      <w:proofErr w:type="spellEnd"/>
      <w:r w:rsidR="008F7D69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215C4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Coco</w:t>
      </w:r>
      <w:proofErr w:type="spellEnd"/>
      <w:r w:rsidR="009215C4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s.r.o.</w:t>
      </w:r>
      <w:r w:rsidR="00FC389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CFAF2B7" w14:textId="77777777" w:rsidR="00B87CE8" w:rsidRPr="00731403" w:rsidRDefault="00946874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FC389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Žadatel</w:t>
      </w: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………………………………….</w:t>
      </w:r>
    </w:p>
    <w:p w14:paraId="323E1559" w14:textId="77777777" w:rsidR="00B87CE8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C5BA05" w14:textId="77777777" w:rsidR="00B87CE8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E1E9E" w14:textId="77777777" w:rsidR="008F7D69" w:rsidRPr="00731403" w:rsidRDefault="008F7D69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697434" w14:textId="77777777" w:rsidR="00FC3898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Výzkumný ústav </w:t>
      </w:r>
      <w:r w:rsidR="009215C4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mlékárenský s.r.o. </w:t>
      </w:r>
    </w:p>
    <w:p w14:paraId="3B9BE2CE" w14:textId="77777777" w:rsidR="00B87CE8" w:rsidRPr="00731403" w:rsidRDefault="00946874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FC389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Výzkumná</w:t>
      </w:r>
      <w:r w:rsidR="00C35CD9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organizace </w:t>
      </w: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9215C4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</w:t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6536C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………………………………….</w:t>
      </w:r>
    </w:p>
    <w:p w14:paraId="6658D2AC" w14:textId="77777777" w:rsidR="00B87CE8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970884" w14:textId="77777777" w:rsidR="009215C4" w:rsidRPr="00731403" w:rsidRDefault="009215C4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2EAFB4" w14:textId="77777777" w:rsidR="00B87CE8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17810D" w14:textId="77777777" w:rsidR="00946874" w:rsidRPr="00731403" w:rsidRDefault="00B87CE8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Ing. Jiří Trnka</w:t>
      </w:r>
      <w:r w:rsidR="009215C4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FBEC8CE" w14:textId="77777777" w:rsidR="00B87CE8" w:rsidRPr="00731403" w:rsidRDefault="009215C4" w:rsidP="009B6A5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>(broker)</w:t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C389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CE8" w:rsidRPr="0073140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………………………………….</w:t>
      </w:r>
    </w:p>
    <w:sectPr w:rsidR="00B87CE8" w:rsidRPr="0073140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D939" w14:textId="77777777" w:rsidR="001D7883" w:rsidRDefault="001D7883" w:rsidP="009B6A50">
      <w:pPr>
        <w:spacing w:after="0" w:line="240" w:lineRule="auto"/>
      </w:pPr>
      <w:r>
        <w:separator/>
      </w:r>
    </w:p>
  </w:endnote>
  <w:endnote w:type="continuationSeparator" w:id="0">
    <w:p w14:paraId="5948295D" w14:textId="77777777" w:rsidR="001D7883" w:rsidRDefault="001D7883" w:rsidP="009B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424160"/>
      <w:docPartObj>
        <w:docPartGallery w:val="Page Numbers (Bottom of Page)"/>
        <w:docPartUnique/>
      </w:docPartObj>
    </w:sdtPr>
    <w:sdtContent>
      <w:p w14:paraId="003DBF78" w14:textId="77777777" w:rsidR="00946874" w:rsidRDefault="009468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03">
          <w:rPr>
            <w:noProof/>
          </w:rPr>
          <w:t>4</w:t>
        </w:r>
        <w:r>
          <w:fldChar w:fldCharType="end"/>
        </w:r>
      </w:p>
    </w:sdtContent>
  </w:sdt>
  <w:p w14:paraId="5BE70E52" w14:textId="77777777" w:rsidR="00E44FD2" w:rsidRDefault="00E44F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9DA5" w14:textId="77777777" w:rsidR="001D7883" w:rsidRDefault="001D7883" w:rsidP="009B6A50">
      <w:pPr>
        <w:spacing w:after="0" w:line="240" w:lineRule="auto"/>
      </w:pPr>
      <w:r>
        <w:separator/>
      </w:r>
    </w:p>
  </w:footnote>
  <w:footnote w:type="continuationSeparator" w:id="0">
    <w:p w14:paraId="4CCB9667" w14:textId="77777777" w:rsidR="001D7883" w:rsidRDefault="001D7883" w:rsidP="009B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22DF" w14:textId="77777777" w:rsidR="009B6A50" w:rsidRDefault="009B6A50" w:rsidP="009B6A5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5BC89A"/>
    <w:multiLevelType w:val="hybridMultilevel"/>
    <w:tmpl w:val="C55C9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E35DBD"/>
    <w:multiLevelType w:val="hybridMultilevel"/>
    <w:tmpl w:val="8F95C0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D2238B"/>
    <w:multiLevelType w:val="hybridMultilevel"/>
    <w:tmpl w:val="C1A32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DCF5E"/>
    <w:multiLevelType w:val="hybridMultilevel"/>
    <w:tmpl w:val="E78020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550EF1"/>
    <w:multiLevelType w:val="hybridMultilevel"/>
    <w:tmpl w:val="06C13C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6C08EB"/>
    <w:multiLevelType w:val="multilevel"/>
    <w:tmpl w:val="9D7894B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77BC4A1"/>
    <w:multiLevelType w:val="hybridMultilevel"/>
    <w:tmpl w:val="E4EA83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4C7D12"/>
    <w:multiLevelType w:val="hybridMultilevel"/>
    <w:tmpl w:val="C7103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52B7"/>
    <w:multiLevelType w:val="hybridMultilevel"/>
    <w:tmpl w:val="5F28D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A633"/>
    <w:multiLevelType w:val="hybridMultilevel"/>
    <w:tmpl w:val="E3631C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FE6161"/>
    <w:multiLevelType w:val="hybridMultilevel"/>
    <w:tmpl w:val="FF1EA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39AE"/>
    <w:multiLevelType w:val="hybridMultilevel"/>
    <w:tmpl w:val="07269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6515E"/>
    <w:multiLevelType w:val="hybridMultilevel"/>
    <w:tmpl w:val="FCE00B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8D4F11"/>
    <w:multiLevelType w:val="hybridMultilevel"/>
    <w:tmpl w:val="FE0E0CA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BAACD20"/>
    <w:multiLevelType w:val="hybridMultilevel"/>
    <w:tmpl w:val="D1677C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4003A67"/>
    <w:multiLevelType w:val="hybridMultilevel"/>
    <w:tmpl w:val="89D2C00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AACE194"/>
    <w:multiLevelType w:val="hybridMultilevel"/>
    <w:tmpl w:val="C92D82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C1C750E"/>
    <w:multiLevelType w:val="hybridMultilevel"/>
    <w:tmpl w:val="EA2E6ECA"/>
    <w:lvl w:ilvl="0" w:tplc="D416F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1B68"/>
    <w:multiLevelType w:val="hybridMultilevel"/>
    <w:tmpl w:val="D3A05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B2AEA"/>
    <w:multiLevelType w:val="hybridMultilevel"/>
    <w:tmpl w:val="EB860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31092"/>
    <w:multiLevelType w:val="hybridMultilevel"/>
    <w:tmpl w:val="D2E9DB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A6B3C0"/>
    <w:multiLevelType w:val="hybridMultilevel"/>
    <w:tmpl w:val="6C0A8C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9A23F40"/>
    <w:multiLevelType w:val="hybridMultilevel"/>
    <w:tmpl w:val="8042F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F9D05"/>
    <w:multiLevelType w:val="hybridMultilevel"/>
    <w:tmpl w:val="8536A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301166F"/>
    <w:multiLevelType w:val="hybridMultilevel"/>
    <w:tmpl w:val="4677C4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4C7E257"/>
    <w:multiLevelType w:val="hybridMultilevel"/>
    <w:tmpl w:val="579620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BA115C2"/>
    <w:multiLevelType w:val="hybridMultilevel"/>
    <w:tmpl w:val="92A446D6"/>
    <w:lvl w:ilvl="0" w:tplc="43789E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4062">
    <w:abstractNumId w:val="2"/>
  </w:num>
  <w:num w:numId="2" w16cid:durableId="1824539649">
    <w:abstractNumId w:val="14"/>
  </w:num>
  <w:num w:numId="3" w16cid:durableId="457796511">
    <w:abstractNumId w:val="23"/>
  </w:num>
  <w:num w:numId="4" w16cid:durableId="780955945">
    <w:abstractNumId w:val="6"/>
  </w:num>
  <w:num w:numId="5" w16cid:durableId="606471003">
    <w:abstractNumId w:val="25"/>
  </w:num>
  <w:num w:numId="6" w16cid:durableId="1926957302">
    <w:abstractNumId w:val="24"/>
  </w:num>
  <w:num w:numId="7" w16cid:durableId="1035697719">
    <w:abstractNumId w:val="21"/>
  </w:num>
  <w:num w:numId="8" w16cid:durableId="651834412">
    <w:abstractNumId w:val="16"/>
  </w:num>
  <w:num w:numId="9" w16cid:durableId="1580746461">
    <w:abstractNumId w:val="9"/>
  </w:num>
  <w:num w:numId="10" w16cid:durableId="1284189675">
    <w:abstractNumId w:val="20"/>
  </w:num>
  <w:num w:numId="11" w16cid:durableId="1221094565">
    <w:abstractNumId w:val="1"/>
  </w:num>
  <w:num w:numId="12" w16cid:durableId="1810899637">
    <w:abstractNumId w:val="4"/>
  </w:num>
  <w:num w:numId="13" w16cid:durableId="1331832834">
    <w:abstractNumId w:val="12"/>
  </w:num>
  <w:num w:numId="14" w16cid:durableId="802425744">
    <w:abstractNumId w:val="0"/>
  </w:num>
  <w:num w:numId="15" w16cid:durableId="175996116">
    <w:abstractNumId w:val="3"/>
  </w:num>
  <w:num w:numId="16" w16cid:durableId="2012561465">
    <w:abstractNumId w:val="22"/>
  </w:num>
  <w:num w:numId="17" w16cid:durableId="1355693774">
    <w:abstractNumId w:val="7"/>
  </w:num>
  <w:num w:numId="18" w16cid:durableId="1667632909">
    <w:abstractNumId w:val="13"/>
  </w:num>
  <w:num w:numId="19" w16cid:durableId="296643777">
    <w:abstractNumId w:val="15"/>
  </w:num>
  <w:num w:numId="20" w16cid:durableId="38286134">
    <w:abstractNumId w:val="11"/>
  </w:num>
  <w:num w:numId="21" w16cid:durableId="228154522">
    <w:abstractNumId w:val="17"/>
  </w:num>
  <w:num w:numId="22" w16cid:durableId="1720670734">
    <w:abstractNumId w:val="10"/>
  </w:num>
  <w:num w:numId="23" w16cid:durableId="1648776338">
    <w:abstractNumId w:val="19"/>
  </w:num>
  <w:num w:numId="24" w16cid:durableId="1437673803">
    <w:abstractNumId w:val="18"/>
  </w:num>
  <w:num w:numId="25" w16cid:durableId="168593290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5500018">
    <w:abstractNumId w:val="8"/>
  </w:num>
  <w:num w:numId="27" w16cid:durableId="19917868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50"/>
    <w:rsid w:val="000029D2"/>
    <w:rsid w:val="00015B1E"/>
    <w:rsid w:val="0001609A"/>
    <w:rsid w:val="00027843"/>
    <w:rsid w:val="000306A5"/>
    <w:rsid w:val="0004266C"/>
    <w:rsid w:val="0005705F"/>
    <w:rsid w:val="00086F34"/>
    <w:rsid w:val="000D257F"/>
    <w:rsid w:val="001021D8"/>
    <w:rsid w:val="00106C31"/>
    <w:rsid w:val="00110EDD"/>
    <w:rsid w:val="0012376C"/>
    <w:rsid w:val="00134D03"/>
    <w:rsid w:val="001A422E"/>
    <w:rsid w:val="001A7778"/>
    <w:rsid w:val="001D04F2"/>
    <w:rsid w:val="001D7883"/>
    <w:rsid w:val="00203B94"/>
    <w:rsid w:val="002046B7"/>
    <w:rsid w:val="00222B34"/>
    <w:rsid w:val="0022320D"/>
    <w:rsid w:val="00226FD8"/>
    <w:rsid w:val="00246837"/>
    <w:rsid w:val="00272451"/>
    <w:rsid w:val="0027763B"/>
    <w:rsid w:val="002C50F8"/>
    <w:rsid w:val="002D4EA1"/>
    <w:rsid w:val="002F05E0"/>
    <w:rsid w:val="00307A40"/>
    <w:rsid w:val="00307B91"/>
    <w:rsid w:val="00307C20"/>
    <w:rsid w:val="00324741"/>
    <w:rsid w:val="00392850"/>
    <w:rsid w:val="00394DC8"/>
    <w:rsid w:val="003A24C5"/>
    <w:rsid w:val="003B0D64"/>
    <w:rsid w:val="003B306F"/>
    <w:rsid w:val="003B3BFB"/>
    <w:rsid w:val="003F7970"/>
    <w:rsid w:val="00417011"/>
    <w:rsid w:val="0043074E"/>
    <w:rsid w:val="0044348E"/>
    <w:rsid w:val="00453E80"/>
    <w:rsid w:val="004A79CD"/>
    <w:rsid w:val="004E1AFD"/>
    <w:rsid w:val="004E41EF"/>
    <w:rsid w:val="0053768C"/>
    <w:rsid w:val="00537C01"/>
    <w:rsid w:val="00574D2F"/>
    <w:rsid w:val="005A0E95"/>
    <w:rsid w:val="005C7711"/>
    <w:rsid w:val="005F0652"/>
    <w:rsid w:val="00604FAC"/>
    <w:rsid w:val="00616649"/>
    <w:rsid w:val="006329F2"/>
    <w:rsid w:val="006B1C21"/>
    <w:rsid w:val="006C3DED"/>
    <w:rsid w:val="006E5FF4"/>
    <w:rsid w:val="006F1217"/>
    <w:rsid w:val="00712B5D"/>
    <w:rsid w:val="0071745E"/>
    <w:rsid w:val="00730AED"/>
    <w:rsid w:val="00731403"/>
    <w:rsid w:val="00761FC4"/>
    <w:rsid w:val="00781359"/>
    <w:rsid w:val="007827D4"/>
    <w:rsid w:val="007843F6"/>
    <w:rsid w:val="007A6438"/>
    <w:rsid w:val="007B0EE7"/>
    <w:rsid w:val="007C5054"/>
    <w:rsid w:val="008266A1"/>
    <w:rsid w:val="0085565E"/>
    <w:rsid w:val="00857C8B"/>
    <w:rsid w:val="00890DA5"/>
    <w:rsid w:val="008A0296"/>
    <w:rsid w:val="008F4B2C"/>
    <w:rsid w:val="008F7D69"/>
    <w:rsid w:val="00903B6E"/>
    <w:rsid w:val="00904EA1"/>
    <w:rsid w:val="00915EED"/>
    <w:rsid w:val="009211D9"/>
    <w:rsid w:val="009215C4"/>
    <w:rsid w:val="0093790C"/>
    <w:rsid w:val="00940818"/>
    <w:rsid w:val="00946874"/>
    <w:rsid w:val="00956748"/>
    <w:rsid w:val="0096375E"/>
    <w:rsid w:val="00975082"/>
    <w:rsid w:val="009B6A50"/>
    <w:rsid w:val="009E13E5"/>
    <w:rsid w:val="00A205B5"/>
    <w:rsid w:val="00A3272E"/>
    <w:rsid w:val="00A36EEA"/>
    <w:rsid w:val="00A90110"/>
    <w:rsid w:val="00AC1894"/>
    <w:rsid w:val="00AD0935"/>
    <w:rsid w:val="00AE7755"/>
    <w:rsid w:val="00B2558A"/>
    <w:rsid w:val="00B307AB"/>
    <w:rsid w:val="00B364B5"/>
    <w:rsid w:val="00B4133A"/>
    <w:rsid w:val="00B52602"/>
    <w:rsid w:val="00B555A4"/>
    <w:rsid w:val="00B73E18"/>
    <w:rsid w:val="00B84545"/>
    <w:rsid w:val="00B87CE8"/>
    <w:rsid w:val="00B975D7"/>
    <w:rsid w:val="00BB0210"/>
    <w:rsid w:val="00BD5D8D"/>
    <w:rsid w:val="00C34319"/>
    <w:rsid w:val="00C35CD9"/>
    <w:rsid w:val="00C44FD9"/>
    <w:rsid w:val="00C475BA"/>
    <w:rsid w:val="00C636E0"/>
    <w:rsid w:val="00C7459E"/>
    <w:rsid w:val="00C91FFD"/>
    <w:rsid w:val="00CA38E3"/>
    <w:rsid w:val="00CB375F"/>
    <w:rsid w:val="00CB60B0"/>
    <w:rsid w:val="00D20967"/>
    <w:rsid w:val="00D46B3F"/>
    <w:rsid w:val="00D96C36"/>
    <w:rsid w:val="00DA25EE"/>
    <w:rsid w:val="00DB1905"/>
    <w:rsid w:val="00DB2906"/>
    <w:rsid w:val="00DC14AD"/>
    <w:rsid w:val="00DD3E6C"/>
    <w:rsid w:val="00E12CEE"/>
    <w:rsid w:val="00E1528D"/>
    <w:rsid w:val="00E40B6D"/>
    <w:rsid w:val="00E44FD2"/>
    <w:rsid w:val="00E539A1"/>
    <w:rsid w:val="00E55692"/>
    <w:rsid w:val="00E570CD"/>
    <w:rsid w:val="00E64D13"/>
    <w:rsid w:val="00E6536C"/>
    <w:rsid w:val="00E77172"/>
    <w:rsid w:val="00EA6BA4"/>
    <w:rsid w:val="00EC2DA3"/>
    <w:rsid w:val="00EE5243"/>
    <w:rsid w:val="00EF4A9F"/>
    <w:rsid w:val="00F30A77"/>
    <w:rsid w:val="00F37554"/>
    <w:rsid w:val="00F57738"/>
    <w:rsid w:val="00FA0A79"/>
    <w:rsid w:val="00FA629E"/>
    <w:rsid w:val="00FC3898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A7F4"/>
  <w15:docId w15:val="{CF0EB68C-450E-4EB0-AB23-E7F3E799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B6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A50"/>
  </w:style>
  <w:style w:type="paragraph" w:styleId="Zpat">
    <w:name w:val="footer"/>
    <w:basedOn w:val="Normln"/>
    <w:link w:val="ZpatChar"/>
    <w:uiPriority w:val="99"/>
    <w:unhideWhenUsed/>
    <w:rsid w:val="009B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A50"/>
  </w:style>
  <w:style w:type="paragraph" w:styleId="Textbubliny">
    <w:name w:val="Balloon Text"/>
    <w:basedOn w:val="Normln"/>
    <w:link w:val="TextbublinyChar"/>
    <w:uiPriority w:val="99"/>
    <w:semiHidden/>
    <w:unhideWhenUsed/>
    <w:rsid w:val="00F5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7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8266A1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96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705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3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C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secoco.com" TargetMode="External"/><Relationship Id="rId13" Type="http://schemas.openxmlformats.org/officeDocument/2006/relationships/hyperlink" Target="mailto:trnka@bi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akova@milcom-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ensecoc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rnka@bi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meckova@milcom-as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D639-70F2-48FA-B1D8-7511C63E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2634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Floriánová Veronika</dc:creator>
  <cp:lastModifiedBy>Jana Chramostova</cp:lastModifiedBy>
  <cp:revision>2</cp:revision>
  <cp:lastPrinted>2023-11-06T22:07:00Z</cp:lastPrinted>
  <dcterms:created xsi:type="dcterms:W3CDTF">2024-01-10T08:41:00Z</dcterms:created>
  <dcterms:modified xsi:type="dcterms:W3CDTF">2024-01-10T08:41:00Z</dcterms:modified>
</cp:coreProperties>
</file>