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170E3C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EB11A6">
        <w:rPr>
          <w:color w:val="000000"/>
          <w:spacing w:val="-1"/>
          <w:sz w:val="24"/>
          <w:lang w:val="cs"/>
        </w:rPr>
        <w:t>02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DA7DA5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11A6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EB11A6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222391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415A85">
        <w:rPr>
          <w:color w:val="000000"/>
          <w:lang w:val="cs"/>
        </w:rPr>
        <w:t>B</w:t>
      </w:r>
      <w:r w:rsidR="00ED623D">
        <w:rPr>
          <w:color w:val="000000"/>
          <w:lang w:val="cs"/>
        </w:rPr>
        <w:t>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1935C310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D623D">
        <w:rPr>
          <w:color w:val="000000"/>
          <w:spacing w:val="1"/>
          <w:sz w:val="18"/>
          <w:szCs w:val="18"/>
          <w:lang w:val="cs"/>
        </w:rPr>
        <w:t>Rozšíření o 3x elektronického systému kontroly vstupu Aktion v pavilonu B1 přízemí pro jednostranné vstupní dveře na oddělení JIP, operační sály a vstup z rampy do budovy. Středisko 20121.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0A18C2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25ABD">
        <w:rPr>
          <w:color w:val="000000"/>
          <w:spacing w:val="2"/>
          <w:sz w:val="28"/>
          <w:szCs w:val="28"/>
          <w:lang w:val="cs"/>
        </w:rPr>
        <w:t>63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25ABD">
        <w:rPr>
          <w:color w:val="000000"/>
          <w:spacing w:val="2"/>
          <w:sz w:val="28"/>
          <w:szCs w:val="28"/>
          <w:lang w:val="cs"/>
        </w:rPr>
        <w:t>179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51EF2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25ABD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E25ABD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36200B-DD1C-49D3-AC81-488ACB6498FC}"/>
    <w:embedBold r:id="rId2" w:fontKey="{C0955914-904B-4812-90B8-A19DEE1C58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F3E013-96F1-4094-857D-94B4DE1CD91A}"/>
    <w:embedBold r:id="rId4" w:fontKey="{6B2C9EAF-BE86-470F-BEFC-79617F14AA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40A54D-0A6C-4B57-B565-01A2A1A8CD9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21FDB28-BD40-4BD4-81F8-3A083D601CA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BCE9F23-E025-48C2-B694-AC25C5D393F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FA9D1BF-B671-47CA-A467-F0F9C4412E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74</cp:revision>
  <cp:lastPrinted>2021-12-27T07:28:00Z</cp:lastPrinted>
  <dcterms:created xsi:type="dcterms:W3CDTF">2021-12-27T09:22:00Z</dcterms:created>
  <dcterms:modified xsi:type="dcterms:W3CDTF">2024-01-09T11:57:00Z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