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Příloha č.1 - Oceněný soupis prací změn závazku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Lama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Construction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s.r.o.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Bezručova 5877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43003 Chomutov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Číslo: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Zakázka: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Komentář: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---: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Stavbyvedoucí: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Celkem (bez DPH): </w:t>
      </w:r>
      <w:r>
        <w:rPr>
          <w:rFonts w:ascii="CIDFont+F2" w:hAnsi="CIDFont+F2" w:cs="CIDFont+F2"/>
          <w:color w:val="FF0000"/>
          <w:sz w:val="20"/>
          <w:szCs w:val="20"/>
        </w:rPr>
        <w:t xml:space="preserve">-381 543,05 </w:t>
      </w:r>
      <w:r>
        <w:rPr>
          <w:rFonts w:ascii="CIDFont+F2" w:hAnsi="CIDFont+F2" w:cs="CIDFont+F2"/>
          <w:color w:val="000000"/>
          <w:sz w:val="20"/>
          <w:szCs w:val="20"/>
        </w:rPr>
        <w:t>Kč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DPH: </w:t>
      </w:r>
      <w:r>
        <w:rPr>
          <w:rFonts w:ascii="CIDFont+F1" w:hAnsi="CIDFont+F1" w:cs="CIDFont+F1"/>
          <w:color w:val="FF0000"/>
          <w:sz w:val="20"/>
          <w:szCs w:val="20"/>
        </w:rPr>
        <w:t xml:space="preserve">-80 124,04 </w:t>
      </w:r>
      <w:r>
        <w:rPr>
          <w:rFonts w:ascii="CIDFont+F1" w:hAnsi="CIDFont+F1" w:cs="CIDFont+F1"/>
          <w:color w:val="000000"/>
          <w:sz w:val="20"/>
          <w:szCs w:val="20"/>
        </w:rPr>
        <w:t>Kč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Celkem včetně DPH: </w:t>
      </w:r>
      <w:r>
        <w:rPr>
          <w:rFonts w:ascii="CIDFont+F1" w:hAnsi="CIDFont+F1" w:cs="CIDFont+F1"/>
          <w:color w:val="FF0000"/>
          <w:sz w:val="20"/>
          <w:szCs w:val="20"/>
        </w:rPr>
        <w:t xml:space="preserve">-461 667,09 </w:t>
      </w:r>
      <w:r>
        <w:rPr>
          <w:rFonts w:ascii="CIDFont+F1" w:hAnsi="CIDFont+F1" w:cs="CIDFont+F1"/>
          <w:color w:val="000000"/>
          <w:sz w:val="20"/>
          <w:szCs w:val="20"/>
        </w:rPr>
        <w:t>Kč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---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Dodatek č.4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REALIZAČNÍ TÝM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ROZPOČET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ZAKÁZKA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058/2022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PPV, KP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Zahradní - odkrytí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koryta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FIRMY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Vytvořeno systémem euroCALC4 </w:t>
      </w:r>
      <w:r>
        <w:rPr>
          <w:rFonts w:ascii="CIDFont+F1" w:hAnsi="CIDFont+F1" w:cs="CIDFont+F1"/>
          <w:color w:val="000000"/>
          <w:sz w:val="20"/>
          <w:szCs w:val="20"/>
        </w:rPr>
        <w:t>1/</w:t>
      </w:r>
      <w:r w:rsidR="00294CD9">
        <w:rPr>
          <w:rFonts w:ascii="CIDFont+F1" w:hAnsi="CIDFont+F1" w:cs="CIDFont+F1"/>
          <w:color w:val="000000"/>
          <w:sz w:val="20"/>
          <w:szCs w:val="20"/>
        </w:rPr>
        <w:t>1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PPV, KP </w:t>
      </w:r>
      <w:proofErr w:type="gramStart"/>
      <w:r>
        <w:rPr>
          <w:rFonts w:ascii="CIDFont+F2" w:hAnsi="CIDFont+F2" w:cs="CIDFont+F2"/>
          <w:color w:val="000000"/>
        </w:rPr>
        <w:t>Zahradní - odkrytí</w:t>
      </w:r>
      <w:proofErr w:type="gramEnd"/>
      <w:r>
        <w:rPr>
          <w:rFonts w:ascii="CIDFont+F2" w:hAnsi="CIDFont+F2" w:cs="CIDFont+F2"/>
          <w:color w:val="000000"/>
        </w:rPr>
        <w:t xml:space="preserve"> koryta - Dodatek č.4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Popis Cena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S: Stavba -381 543,05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7"/>
          <w:szCs w:val="17"/>
        </w:rPr>
      </w:pPr>
      <w:r>
        <w:rPr>
          <w:rFonts w:ascii="CIDFont+F3" w:hAnsi="CIDFont+F3" w:cs="CIDFont+F3"/>
          <w:color w:val="000000"/>
          <w:sz w:val="17"/>
          <w:szCs w:val="17"/>
        </w:rPr>
        <w:t>4: Dodatek č.4 -381 543,05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04: SO 04 Lávka -321 543,05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1: Zemní práce -20 144,74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2: Zakládání -33 002,96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3: Svislé a kompletní konstrukce -21 716,77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4: Vodorovné konstrukce -89 762,00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767: Konstrukce zámečnické -90 749,48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 xml:space="preserve">783: Dokončovací 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práce - nátěry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 xml:space="preserve"> -17 890,99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789: Povrchové úpravy ocelových konstrukcí a technologických zařízení -27 004,83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9: Ostatní konstrukce a práce, bourání -19 786,00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998: Přesun hmot -1 485,27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06: Ostatní a vedlejší náklady -60 000,00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VRN: Vedlejší rozpočtové náklady -60 000,00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Celkem (bez DPH) -381 543,05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DPH -80 124,04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DPH 21 % ze základny: -381 543 -80 124,04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Celkem (včetně DPH) -461 667,09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Vytvořeno systémem euroCALC4 </w:t>
      </w:r>
      <w:r w:rsidR="00294CD9">
        <w:rPr>
          <w:rFonts w:ascii="CIDFont+F1" w:hAnsi="CIDFont+F1" w:cs="CIDFont+F1"/>
          <w:color w:val="000000"/>
          <w:sz w:val="15"/>
          <w:szCs w:val="15"/>
        </w:rPr>
        <w:t>1</w:t>
      </w:r>
      <w:r w:rsidR="00294CD9">
        <w:rPr>
          <w:rFonts w:ascii="CIDFont+F1" w:hAnsi="CIDFont+F1" w:cs="CIDFont+F1"/>
          <w:color w:val="000000"/>
          <w:sz w:val="18"/>
          <w:szCs w:val="18"/>
        </w:rPr>
        <w:t>/1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PPV, KP </w:t>
      </w:r>
      <w:proofErr w:type="gramStart"/>
      <w:r>
        <w:rPr>
          <w:rFonts w:ascii="CIDFont+F2" w:hAnsi="CIDFont+F2" w:cs="CIDFont+F2"/>
          <w:color w:val="000000"/>
        </w:rPr>
        <w:t>Zahradní - odkrytí</w:t>
      </w:r>
      <w:proofErr w:type="gramEnd"/>
      <w:r>
        <w:rPr>
          <w:rFonts w:ascii="CIDFont+F2" w:hAnsi="CIDFont+F2" w:cs="CIDFont+F2"/>
          <w:color w:val="000000"/>
        </w:rPr>
        <w:t xml:space="preserve"> koryta - Dodatek č.4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proofErr w:type="spellStart"/>
      <w:r>
        <w:rPr>
          <w:rFonts w:ascii="CIDFont+F2" w:hAnsi="CIDFont+F2" w:cs="CIDFont+F2"/>
          <w:color w:val="000000"/>
          <w:sz w:val="15"/>
          <w:szCs w:val="15"/>
        </w:rPr>
        <w:t>Poř</w:t>
      </w:r>
      <w:proofErr w:type="spellEnd"/>
      <w:r>
        <w:rPr>
          <w:rFonts w:ascii="CIDFont+F2" w:hAnsi="CIDFont+F2" w:cs="CIDFont+F2"/>
          <w:color w:val="000000"/>
          <w:sz w:val="15"/>
          <w:szCs w:val="15"/>
        </w:rPr>
        <w:t xml:space="preserve">. Typ Kód Popis MJ Výměra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Jedn</w:t>
      </w:r>
      <w:proofErr w:type="spellEnd"/>
      <w:r>
        <w:rPr>
          <w:rFonts w:ascii="CIDFont+F2" w:hAnsi="CIDFont+F2" w:cs="CIDFont+F2"/>
          <w:color w:val="000000"/>
          <w:sz w:val="15"/>
          <w:szCs w:val="15"/>
        </w:rPr>
        <w:t xml:space="preserve">. Cena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Cena</w:t>
      </w:r>
      <w:proofErr w:type="spellEnd"/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Stavba S: Stavba -381 543,05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Dodatek 4: Dodatek č.4 -381 543,05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Objekt 04: SO 04 Lávka -321 543,05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1: Zemní práce -20 144,74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 SP 132251101 Hloubení rýh nezapažených š do 800 mm v hornině třídy těžitelnosti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I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skupiny 3 objem do 20 m3 strojně m3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- 13,440 </w:t>
      </w:r>
      <w:r>
        <w:rPr>
          <w:rFonts w:ascii="CIDFont+F1" w:hAnsi="CIDFont+F1" w:cs="CIDFont+F1"/>
          <w:color w:val="000000"/>
          <w:sz w:val="15"/>
          <w:szCs w:val="15"/>
        </w:rPr>
        <w:t>970,75 -13 046,88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 SP 162351103 Vodorovné přemístění přes 50 do 500 m výkopku/sypaniny z horniny třídy těžitelnosti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I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skupiny 1 až 3 m3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- 19,680 </w:t>
      </w:r>
      <w:r>
        <w:rPr>
          <w:rFonts w:ascii="CIDFont+F1" w:hAnsi="CIDFont+F1" w:cs="CIDFont+F1"/>
          <w:color w:val="000000"/>
          <w:sz w:val="15"/>
          <w:szCs w:val="15"/>
        </w:rPr>
        <w:t>79,22 -1 559,05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 SP 16270110R Odvoz zeminy tř.1-3 na skládku </w:t>
      </w:r>
      <w:proofErr w:type="spellStart"/>
      <w:proofErr w:type="gramStart"/>
      <w:r>
        <w:rPr>
          <w:rFonts w:ascii="CIDFont+F1" w:hAnsi="CIDFont+F1" w:cs="CIDFont+F1"/>
          <w:color w:val="000000"/>
          <w:sz w:val="15"/>
          <w:szCs w:val="15"/>
        </w:rPr>
        <w:t>vč.uložení</w:t>
      </w:r>
      <w:proofErr w:type="spellEnd"/>
      <w:proofErr w:type="gramEnd"/>
      <w:r>
        <w:rPr>
          <w:rFonts w:ascii="CIDFont+F1" w:hAnsi="CIDFont+F1" w:cs="CIDFont+F1"/>
          <w:color w:val="000000"/>
          <w:sz w:val="15"/>
          <w:szCs w:val="15"/>
        </w:rPr>
        <w:t>(poplatku) dle platné legislativy Odvoz zeminy tř.1-3 na skládku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15"/>
          <w:szCs w:val="15"/>
        </w:rPr>
        <w:t>vč.uložení</w:t>
      </w:r>
      <w:proofErr w:type="spellEnd"/>
      <w:proofErr w:type="gramEnd"/>
      <w:r>
        <w:rPr>
          <w:rFonts w:ascii="CIDFont+F1" w:hAnsi="CIDFont+F1" w:cs="CIDFont+F1"/>
          <w:color w:val="000000"/>
          <w:sz w:val="15"/>
          <w:szCs w:val="15"/>
        </w:rPr>
        <w:t>(poplatku) dle platné legislativy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M3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- 3,600 </w:t>
      </w:r>
      <w:r>
        <w:rPr>
          <w:rFonts w:ascii="CIDFont+F1" w:hAnsi="CIDFont+F1" w:cs="CIDFont+F1"/>
          <w:color w:val="000000"/>
          <w:sz w:val="15"/>
          <w:szCs w:val="15"/>
        </w:rPr>
        <w:t>478,00 -1 720,80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4 SP 167151101 Nakládání výkopku z hornin třídy těžitelnosti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I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skupiny 1 až 3 do 100 m3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m3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- 9,840 </w:t>
      </w:r>
      <w:r>
        <w:rPr>
          <w:rFonts w:ascii="CIDFont+F1" w:hAnsi="CIDFont+F1" w:cs="CIDFont+F1"/>
          <w:color w:val="000000"/>
          <w:sz w:val="15"/>
          <w:szCs w:val="15"/>
        </w:rPr>
        <w:t>154,04 -1 515,75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5 SP 174111101 Zásyp jam, šachet rýh nebo kolem objektů sypaninou se zhutněním ručně m3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- 9,840 </w:t>
      </w:r>
      <w:r>
        <w:rPr>
          <w:rFonts w:ascii="CIDFont+F1" w:hAnsi="CIDFont+F1" w:cs="CIDFont+F1"/>
          <w:color w:val="000000"/>
          <w:sz w:val="15"/>
          <w:szCs w:val="15"/>
        </w:rPr>
        <w:t>233,97 -2 302,26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2: Zakládání -33 002,96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6 SP 274321116 Základové pasy, prahy, věnce a ostruhy mostních konstrukcí ze ŽB C 20/25 m3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- 2,500 </w:t>
      </w:r>
      <w:r>
        <w:rPr>
          <w:rFonts w:ascii="CIDFont+F1" w:hAnsi="CIDFont+F1" w:cs="CIDFont+F1"/>
          <w:color w:val="000000"/>
          <w:sz w:val="15"/>
          <w:szCs w:val="15"/>
        </w:rPr>
        <w:t>4 017,54 -10 043,85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7 SP 274354111 Bednění základových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pasů - zřízení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- 12,480 </w:t>
      </w:r>
      <w:r>
        <w:rPr>
          <w:rFonts w:ascii="CIDFont+F1" w:hAnsi="CIDFont+F1" w:cs="CIDFont+F1"/>
          <w:color w:val="000000"/>
          <w:sz w:val="15"/>
          <w:szCs w:val="15"/>
        </w:rPr>
        <w:t>1 056,47 -13 184,75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8 SP 274354211 Bednění základových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pasů - odstranění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- 12,480 </w:t>
      </w:r>
      <w:r>
        <w:rPr>
          <w:rFonts w:ascii="CIDFont+F1" w:hAnsi="CIDFont+F1" w:cs="CIDFont+F1"/>
          <w:color w:val="000000"/>
          <w:sz w:val="15"/>
          <w:szCs w:val="15"/>
        </w:rPr>
        <w:t>60,76 -758,28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9 SP 274361412 Výztuž základových pasů, prahů, věnců a ostruh ze svařovaných sítí přes 3,5 do 6 kg/m2 t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- 0,182 </w:t>
      </w:r>
      <w:r>
        <w:rPr>
          <w:rFonts w:ascii="CIDFont+F1" w:hAnsi="CIDFont+F1" w:cs="CIDFont+F1"/>
          <w:color w:val="000000"/>
          <w:sz w:val="15"/>
          <w:szCs w:val="15"/>
        </w:rPr>
        <w:t>47 522,51 -8 649,10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10 SP 278311213 Zálivka kotevních otvorů z cementové zálivkové malty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obj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do 0,25 m3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m3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- 0,007 </w:t>
      </w:r>
      <w:r>
        <w:rPr>
          <w:rFonts w:ascii="CIDFont+F1" w:hAnsi="CIDFont+F1" w:cs="CIDFont+F1"/>
          <w:color w:val="000000"/>
          <w:sz w:val="15"/>
          <w:szCs w:val="15"/>
        </w:rPr>
        <w:t>52 426,93 -366,99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3: Svislé a kompletní konstrukce -21 716,77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11 SP 348181121 Výroba mostního zábradlí trvalého ze dřeva měkkého hoblovaného bez výplně m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- 15,400 </w:t>
      </w:r>
      <w:r>
        <w:rPr>
          <w:rFonts w:ascii="CIDFont+F1" w:hAnsi="CIDFont+F1" w:cs="CIDFont+F1"/>
          <w:color w:val="000000"/>
          <w:sz w:val="15"/>
          <w:szCs w:val="15"/>
        </w:rPr>
        <w:t>1 116,95 -17 201,02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12 SP 348181122 Montáž mostního zábradlí trvalého ze dřeva měkkého hoblovaného bez výplně m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- 15,400 </w:t>
      </w:r>
      <w:r>
        <w:rPr>
          <w:rFonts w:ascii="CIDFont+F1" w:hAnsi="CIDFont+F1" w:cs="CIDFont+F1"/>
          <w:color w:val="000000"/>
          <w:sz w:val="15"/>
          <w:szCs w:val="15"/>
        </w:rPr>
        <w:t>293,23 -4 515,75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lastRenderedPageBreak/>
        <w:t>Oddíl 4: Vodorovné konstrukce -89 762,00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13 SP 421953311 Dřevěné mostní podlahy trvalé z fošen a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hranolů - výroba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- 15,400 </w:t>
      </w:r>
      <w:r>
        <w:rPr>
          <w:rFonts w:ascii="CIDFont+F1" w:hAnsi="CIDFont+F1" w:cs="CIDFont+F1"/>
          <w:color w:val="000000"/>
          <w:sz w:val="15"/>
          <w:szCs w:val="15"/>
        </w:rPr>
        <w:t>1 241,94 -19 125,88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14 SP 421953321 Dřevěné mostní podlahy trvalé z fošen a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hranolů - montáž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- 15,400 </w:t>
      </w:r>
      <w:r>
        <w:rPr>
          <w:rFonts w:ascii="CIDFont+F1" w:hAnsi="CIDFont+F1" w:cs="CIDFont+F1"/>
          <w:color w:val="000000"/>
          <w:sz w:val="15"/>
          <w:szCs w:val="15"/>
        </w:rPr>
        <w:t>629,49 -9 694,15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15 SP 42317211R Montáž zabetonovaných ocelových nosníků most o 1 poli rozpětí do 13 m kotvení na povrchu podkladního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betonového bloku Montáž zabetonovaných ocelových nosníků most o 1 poli rozpětí do 13 m kotvení na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povrchu podkladního betonového bloku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- 2,000 </w:t>
      </w:r>
      <w:r>
        <w:rPr>
          <w:rFonts w:ascii="CIDFont+F1" w:hAnsi="CIDFont+F1" w:cs="CIDFont+F1"/>
          <w:color w:val="000000"/>
          <w:sz w:val="15"/>
          <w:szCs w:val="15"/>
        </w:rPr>
        <w:t>10 000,00 -20 000,00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16 H 1301102R ocel profilová U 260 </w:t>
      </w:r>
      <w:proofErr w:type="spellStart"/>
      <w:proofErr w:type="gramStart"/>
      <w:r>
        <w:rPr>
          <w:rFonts w:ascii="CIDFont+F1" w:hAnsi="CIDFont+F1" w:cs="CIDFont+F1"/>
          <w:color w:val="000000"/>
          <w:sz w:val="15"/>
          <w:szCs w:val="15"/>
        </w:rPr>
        <w:t>mat.S</w:t>
      </w:r>
      <w:proofErr w:type="spellEnd"/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235 ocel profilová U 260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mat.S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235 T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- 0,642 </w:t>
      </w:r>
      <w:r>
        <w:rPr>
          <w:rFonts w:ascii="CIDFont+F1" w:hAnsi="CIDFont+F1" w:cs="CIDFont+F1"/>
          <w:color w:val="000000"/>
          <w:sz w:val="15"/>
          <w:szCs w:val="15"/>
        </w:rPr>
        <w:t>60 000,00 -38 520,00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17 SP 451315114 Podkladní nebo výplňová vrstva z betonu C 12/15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do 100 mm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- 4,320 </w:t>
      </w:r>
      <w:r>
        <w:rPr>
          <w:rFonts w:ascii="CIDFont+F1" w:hAnsi="CIDFont+F1" w:cs="CIDFont+F1"/>
          <w:color w:val="000000"/>
          <w:sz w:val="15"/>
          <w:szCs w:val="15"/>
        </w:rPr>
        <w:t>340,86 -1 472,52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18 SP 451576121 Podkladní a výplňová vrstva ze štěrkopísku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do 200 mm m2 4,320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- 219,78 </w:t>
      </w:r>
      <w:r>
        <w:rPr>
          <w:rFonts w:ascii="CIDFont+F1" w:hAnsi="CIDFont+F1" w:cs="CIDFont+F1"/>
          <w:color w:val="000000"/>
          <w:sz w:val="15"/>
          <w:szCs w:val="15"/>
        </w:rPr>
        <w:t>-949,45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767: Konstrukce zámečnické -90 749,48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25 SP 767995117 Montáž atypických zámečnických konstrukcí hm přes 250 do 500 kg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kg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- 339,480 </w:t>
      </w:r>
      <w:r>
        <w:rPr>
          <w:rFonts w:ascii="CIDFont+F1" w:hAnsi="CIDFont+F1" w:cs="CIDFont+F1"/>
          <w:color w:val="000000"/>
          <w:sz w:val="15"/>
          <w:szCs w:val="15"/>
        </w:rPr>
        <w:t>33,85 -11 491,40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26 SP 13011001R Dodávka a výroba profilů lávky pro pěší </w:t>
      </w:r>
      <w:proofErr w:type="spellStart"/>
      <w:proofErr w:type="gramStart"/>
      <w:r>
        <w:rPr>
          <w:rFonts w:ascii="CIDFont+F1" w:hAnsi="CIDFont+F1" w:cs="CIDFont+F1"/>
          <w:color w:val="000000"/>
          <w:sz w:val="15"/>
          <w:szCs w:val="15"/>
        </w:rPr>
        <w:t>mat.S</w:t>
      </w:r>
      <w:proofErr w:type="spellEnd"/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235 viz D.1.04.1,poz.2-7 Dodávka a výroba profilů lávky pro pěší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proofErr w:type="spellStart"/>
      <w:proofErr w:type="gramStart"/>
      <w:r>
        <w:rPr>
          <w:rFonts w:ascii="CIDFont+F1" w:hAnsi="CIDFont+F1" w:cs="CIDFont+F1"/>
          <w:color w:val="000000"/>
          <w:sz w:val="15"/>
          <w:szCs w:val="15"/>
        </w:rPr>
        <w:t>mat.S</w:t>
      </w:r>
      <w:proofErr w:type="spellEnd"/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235 viz D.1.04.1,poz.2-7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KG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- 372,900 </w:t>
      </w:r>
      <w:r>
        <w:rPr>
          <w:rFonts w:ascii="CIDFont+F1" w:hAnsi="CIDFont+F1" w:cs="CIDFont+F1"/>
          <w:color w:val="000000"/>
          <w:sz w:val="15"/>
          <w:szCs w:val="15"/>
        </w:rPr>
        <w:t>210,00 -78 309,00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27 SP 3092512R šroub metrický DIN 933 8.8 BZ M20x170mm ocel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pozink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šroub metrický DIN 933 8.8 BZ M20x170mm ocel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proofErr w:type="spellStart"/>
      <w:r>
        <w:rPr>
          <w:rFonts w:ascii="CIDFont+F1" w:hAnsi="CIDFont+F1" w:cs="CIDFont+F1"/>
          <w:color w:val="000000"/>
          <w:sz w:val="15"/>
          <w:szCs w:val="15"/>
        </w:rPr>
        <w:t>pozink</w:t>
      </w:r>
      <w:proofErr w:type="spellEnd"/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100 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- 0,240 </w:t>
      </w:r>
      <w:r>
        <w:rPr>
          <w:rFonts w:ascii="CIDFont+F1" w:hAnsi="CIDFont+F1" w:cs="CIDFont+F1"/>
          <w:color w:val="000000"/>
          <w:sz w:val="15"/>
          <w:szCs w:val="15"/>
        </w:rPr>
        <w:t>145,00 -34,80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28 H 31111009 matice přesná šestihranná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Pz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DIN 934-8 M20 100 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- 0,240 </w:t>
      </w:r>
      <w:r>
        <w:rPr>
          <w:rFonts w:ascii="CIDFont+F1" w:hAnsi="CIDFont+F1" w:cs="CIDFont+F1"/>
          <w:color w:val="000000"/>
          <w:sz w:val="15"/>
          <w:szCs w:val="15"/>
        </w:rPr>
        <w:t>1 040,00 -249,60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29 H 31121030 podložka DIN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125-A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ZB D 22mm 100 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- 0,480 </w:t>
      </w:r>
      <w:r>
        <w:rPr>
          <w:rFonts w:ascii="CIDFont+F1" w:hAnsi="CIDFont+F1" w:cs="CIDFont+F1"/>
          <w:color w:val="000000"/>
          <w:sz w:val="15"/>
          <w:szCs w:val="15"/>
        </w:rPr>
        <w:t>226,00 -108,48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30 SP 998767101 Přesun hmot tonážní pro zámečnické konstrukce v objektech v do 6 m t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- 0,398 </w:t>
      </w:r>
      <w:r>
        <w:rPr>
          <w:rFonts w:ascii="CIDFont+F1" w:hAnsi="CIDFont+F1" w:cs="CIDFont+F1"/>
          <w:color w:val="000000"/>
          <w:sz w:val="15"/>
          <w:szCs w:val="15"/>
        </w:rPr>
        <w:t>1 397,49 -556,20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 xml:space="preserve">Oddíl 783: Dokončovací 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práce - nátěry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 xml:space="preserve"> -17 890,99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31 SP 783201201 Obroušení tesařských konstrukcí před provedením nátěru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- 62,486 </w:t>
      </w:r>
      <w:r>
        <w:rPr>
          <w:rFonts w:ascii="CIDFont+F1" w:hAnsi="CIDFont+F1" w:cs="CIDFont+F1"/>
          <w:color w:val="000000"/>
          <w:sz w:val="15"/>
          <w:szCs w:val="15"/>
        </w:rPr>
        <w:t>49,57 -3 097,43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Vytvořeno systémem euroCALC4 </w:t>
      </w:r>
      <w:r w:rsidR="00294CD9">
        <w:rPr>
          <w:rFonts w:ascii="CIDFont+F1" w:hAnsi="CIDFont+F1" w:cs="CIDFont+F1"/>
          <w:color w:val="000000"/>
          <w:sz w:val="15"/>
          <w:szCs w:val="15"/>
        </w:rPr>
        <w:t>1</w:t>
      </w:r>
      <w:r>
        <w:rPr>
          <w:rFonts w:ascii="CIDFont+F1" w:hAnsi="CIDFont+F1" w:cs="CIDFont+F1"/>
          <w:color w:val="000000"/>
          <w:sz w:val="18"/>
          <w:szCs w:val="18"/>
        </w:rPr>
        <w:t>/</w:t>
      </w:r>
      <w:r w:rsidR="00294CD9">
        <w:rPr>
          <w:rFonts w:ascii="CIDFont+F1" w:hAnsi="CIDFont+F1" w:cs="CIDFont+F1"/>
          <w:color w:val="000000"/>
          <w:sz w:val="18"/>
          <w:szCs w:val="18"/>
        </w:rPr>
        <w:t>2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proofErr w:type="spellStart"/>
      <w:r>
        <w:rPr>
          <w:rFonts w:ascii="CIDFont+F2" w:hAnsi="CIDFont+F2" w:cs="CIDFont+F2"/>
          <w:color w:val="000000"/>
          <w:sz w:val="15"/>
          <w:szCs w:val="15"/>
        </w:rPr>
        <w:t>Poř</w:t>
      </w:r>
      <w:proofErr w:type="spellEnd"/>
      <w:r>
        <w:rPr>
          <w:rFonts w:ascii="CIDFont+F2" w:hAnsi="CIDFont+F2" w:cs="CIDFont+F2"/>
          <w:color w:val="000000"/>
          <w:sz w:val="15"/>
          <w:szCs w:val="15"/>
        </w:rPr>
        <w:t xml:space="preserve">. Typ Kód Popis MJ Výměra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Jedn</w:t>
      </w:r>
      <w:proofErr w:type="spellEnd"/>
      <w:r>
        <w:rPr>
          <w:rFonts w:ascii="CIDFont+F2" w:hAnsi="CIDFont+F2" w:cs="CIDFont+F2"/>
          <w:color w:val="000000"/>
          <w:sz w:val="15"/>
          <w:szCs w:val="15"/>
        </w:rPr>
        <w:t xml:space="preserve">. Cena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Cena</w:t>
      </w:r>
      <w:proofErr w:type="spellEnd"/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32 SP 783213021 Napouštěcí dvojnásobný syntetický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biodní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nátěr tesařských prvků nezabudovaných do konstrukce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- 62,486 </w:t>
      </w:r>
      <w:r>
        <w:rPr>
          <w:rFonts w:ascii="CIDFont+F1" w:hAnsi="CIDFont+F1" w:cs="CIDFont+F1"/>
          <w:color w:val="000000"/>
          <w:sz w:val="15"/>
          <w:szCs w:val="15"/>
        </w:rPr>
        <w:t>129,05 -8 063,82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33 SP 783217101 Krycí jednonásobný syntetický nátěr tesařských konstrukcí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- 62,486 </w:t>
      </w:r>
      <w:r>
        <w:rPr>
          <w:rFonts w:ascii="CIDFont+F1" w:hAnsi="CIDFont+F1" w:cs="CIDFont+F1"/>
          <w:color w:val="000000"/>
          <w:sz w:val="15"/>
          <w:szCs w:val="15"/>
        </w:rPr>
        <w:t>107,70 -6 729,74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789: Povrchové úpravy ocelových konstrukcí a technologických zařízení -27 004,83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34 SP 789121240 Odmaštění ocelových konstrukcí třídy I 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- 20,327 </w:t>
      </w:r>
      <w:r>
        <w:rPr>
          <w:rFonts w:ascii="CIDFont+F1" w:hAnsi="CIDFont+F1" w:cs="CIDFont+F1"/>
          <w:color w:val="000000"/>
          <w:sz w:val="15"/>
          <w:szCs w:val="15"/>
        </w:rPr>
        <w:t>48,52 -986,27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35 SP 78932591R Nátěr ocelových konstrukcí na bázi syntetických pryskyřic s nízkým obsahem rozpouštědel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do 80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μm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Nátěr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ocelových konstrukcí na bázi syntetických pryskyřic s nízkým obsahem rozpouštědel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do 80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μm</w:t>
      </w:r>
      <w:proofErr w:type="spellEnd"/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- 20,327 </w:t>
      </w:r>
      <w:r>
        <w:rPr>
          <w:rFonts w:ascii="CIDFont+F1" w:hAnsi="CIDFont+F1" w:cs="CIDFont+F1"/>
          <w:color w:val="000000"/>
          <w:sz w:val="15"/>
          <w:szCs w:val="15"/>
        </w:rPr>
        <w:t>640,00 -13 009,28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36 SP 78932512R Nátěr ocelových konstrukcí bázi syntetických pryskyřic s nízkým obsahem rozpouštědel –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. 120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μm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Nátěr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ocelových konstrukcí bázi syntetických pryskyřic s nízkým obsahem rozpouštědel –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tl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. 120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μm</w:t>
      </w:r>
      <w:proofErr w:type="spellEnd"/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M2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- 20,327 </w:t>
      </w:r>
      <w:r>
        <w:rPr>
          <w:rFonts w:ascii="CIDFont+F1" w:hAnsi="CIDFont+F1" w:cs="CIDFont+F1"/>
          <w:color w:val="000000"/>
          <w:sz w:val="15"/>
          <w:szCs w:val="15"/>
        </w:rPr>
        <w:t>640,00 -13 009,28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9: Ostatní konstrukce a práce, bourání -19 786,00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19 SUB 95396111R Kotvy chemické s vyvrtáním otvoru do betonu, železobetonu nebo tvrdého kamene tmel, velikost M 20, hloubka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200 mm Kotvy chemické s vyvrtáním otvoru do betonu, železobetonu nebo tvrdého kamene tmel, velikost M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20, hloubka 200 mm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- 8,000 </w:t>
      </w:r>
      <w:r>
        <w:rPr>
          <w:rFonts w:ascii="CIDFont+F1" w:hAnsi="CIDFont+F1" w:cs="CIDFont+F1"/>
          <w:color w:val="000000"/>
          <w:sz w:val="15"/>
          <w:szCs w:val="15"/>
        </w:rPr>
        <w:t>546,00 -4 368,00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20 SUB HLT.210609R Kotevní šroub HIT-Z M20x200 Kotevní šroub HIT-Z M20x200 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- 8,000 </w:t>
      </w:r>
      <w:r>
        <w:rPr>
          <w:rFonts w:ascii="CIDFont+F1" w:hAnsi="CIDFont+F1" w:cs="CIDFont+F1"/>
          <w:color w:val="000000"/>
          <w:sz w:val="15"/>
          <w:szCs w:val="15"/>
        </w:rPr>
        <w:t>96,00 -768,00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21 SUB 22018202R Uložení HDPE trubky k ocelovému rámu lávky včetně fixace Uložení HDPE trubky k ocelovému rámu lávky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včetně fixace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M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- 15,000 </w:t>
      </w:r>
      <w:r>
        <w:rPr>
          <w:rFonts w:ascii="CIDFont+F1" w:hAnsi="CIDFont+F1" w:cs="CIDFont+F1"/>
          <w:color w:val="000000"/>
          <w:sz w:val="15"/>
          <w:szCs w:val="15"/>
        </w:rPr>
        <w:t>600,00 -9 000,00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22 SUB 10.076.185 Trubka KOPOFLEX 90 rudá,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50m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Trubka KOPOFLEX 90 rudá,50m M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- 16,500 </w:t>
      </w:r>
      <w:r>
        <w:rPr>
          <w:rFonts w:ascii="CIDFont+F1" w:hAnsi="CIDFont+F1" w:cs="CIDFont+F1"/>
          <w:color w:val="000000"/>
          <w:sz w:val="15"/>
          <w:szCs w:val="15"/>
        </w:rPr>
        <w:t>100,00 -1 650,00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23 SUB 10.076.R Příchytka (objímka) pro chráničku Příchytka (objímka) pro chráničku KUS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- 16,000 </w:t>
      </w:r>
      <w:r>
        <w:rPr>
          <w:rFonts w:ascii="CIDFont+F1" w:hAnsi="CIDFont+F1" w:cs="CIDFont+F1"/>
          <w:color w:val="000000"/>
          <w:sz w:val="15"/>
          <w:szCs w:val="15"/>
        </w:rPr>
        <w:t>250,00 -4 000,00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998: Přesun hmot -1 485,27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24 SP 998212111 Přesun hmot pro mosty zděné, monolitické betonové nebo ocelové v do 20 m t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- 3,742 </w:t>
      </w:r>
      <w:r>
        <w:rPr>
          <w:rFonts w:ascii="CIDFont+F1" w:hAnsi="CIDFont+F1" w:cs="CIDFont+F1"/>
          <w:color w:val="000000"/>
          <w:sz w:val="15"/>
          <w:szCs w:val="15"/>
        </w:rPr>
        <w:t>396,92 -1 485,27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Objekt 06: Ostatní a vedlejší náklady -60 000,00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Oddíl VRN: Vedlejší rozpočtové náklady -60 000,00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9 ON 09100303R Ostatní náklady v průběhu realizace a po realizaci stavby - zpracování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VD( Výrobně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dílenská dokumentace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pěší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lávky( Ostatní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náklady v průběhu realizace a po realizaci stavby - zpracování VD( Výrobně dílenská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dokumentace pěší 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lávky(</w:t>
      </w:r>
      <w:proofErr w:type="gramEnd"/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KPL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- 1,000 </w:t>
      </w:r>
      <w:r>
        <w:rPr>
          <w:rFonts w:ascii="CIDFont+F1" w:hAnsi="CIDFont+F1" w:cs="CIDFont+F1"/>
          <w:color w:val="000000"/>
          <w:sz w:val="15"/>
          <w:szCs w:val="15"/>
        </w:rPr>
        <w:t>45 000,00 -45 000,00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17 ON 11900328R Zajištění Mostního listu a Hlavní mostní prohlídky ke stavebnímu objektu SO 04 - lávka v souladu s ČSN 73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6221 Zajištění Mostního listu a Hlavní mostní prohlídky ke stavebnímu objektu SO 04 - lávka v souladu s ČSN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73 6221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KPL </w:t>
      </w:r>
      <w:r>
        <w:rPr>
          <w:rFonts w:ascii="CIDFont+F1" w:hAnsi="CIDFont+F1" w:cs="CIDFont+F1"/>
          <w:color w:val="FF0000"/>
          <w:sz w:val="15"/>
          <w:szCs w:val="15"/>
        </w:rPr>
        <w:t xml:space="preserve">- 1,000 </w:t>
      </w:r>
      <w:r>
        <w:rPr>
          <w:rFonts w:ascii="CIDFont+F1" w:hAnsi="CIDFont+F1" w:cs="CIDFont+F1"/>
          <w:color w:val="000000"/>
          <w:sz w:val="15"/>
          <w:szCs w:val="15"/>
        </w:rPr>
        <w:t>15 000,00 -15 000,00</w:t>
      </w:r>
    </w:p>
    <w:p w:rsidR="00E35BF7" w:rsidRDefault="00E35BF7" w:rsidP="00E35BF7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Vytvořeno systémem euroCALC4 </w:t>
      </w:r>
      <w:r w:rsidR="00294CD9">
        <w:rPr>
          <w:rFonts w:ascii="CIDFont+F1" w:hAnsi="CIDFont+F1" w:cs="CIDFont+F1"/>
          <w:color w:val="000000"/>
          <w:sz w:val="15"/>
          <w:szCs w:val="15"/>
        </w:rPr>
        <w:t>2</w:t>
      </w:r>
      <w:r>
        <w:rPr>
          <w:rFonts w:ascii="CIDFont+F1" w:hAnsi="CIDFont+F1" w:cs="CIDFont+F1"/>
          <w:color w:val="000000"/>
          <w:sz w:val="18"/>
          <w:szCs w:val="18"/>
        </w:rPr>
        <w:t>/</w:t>
      </w:r>
      <w:r w:rsidR="00294CD9">
        <w:rPr>
          <w:rFonts w:ascii="CIDFont+F1" w:hAnsi="CIDFont+F1" w:cs="CIDFont+F1"/>
          <w:color w:val="000000"/>
          <w:sz w:val="18"/>
          <w:szCs w:val="18"/>
        </w:rPr>
        <w:t>2</w:t>
      </w:r>
      <w:bookmarkStart w:id="0" w:name="_GoBack"/>
      <w:bookmarkEnd w:id="0"/>
    </w:p>
    <w:sectPr w:rsidR="00E35BF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DA" w:rsidRDefault="001F43DA" w:rsidP="005F4E53">
      <w:r>
        <w:separator/>
      </w:r>
    </w:p>
  </w:endnote>
  <w:endnote w:type="continuationSeparator" w:id="0">
    <w:p w:rsidR="001F43DA" w:rsidRDefault="001F43DA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DA" w:rsidRDefault="001F43DA" w:rsidP="005F4E53">
      <w:r>
        <w:separator/>
      </w:r>
    </w:p>
  </w:footnote>
  <w:footnote w:type="continuationSeparator" w:id="0">
    <w:p w:rsidR="001F43DA" w:rsidRDefault="001F43DA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1F43DA"/>
    <w:rsid w:val="00251D17"/>
    <w:rsid w:val="00294CD9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7C1569"/>
    <w:rsid w:val="0083569A"/>
    <w:rsid w:val="00927965"/>
    <w:rsid w:val="0097356C"/>
    <w:rsid w:val="00A9204E"/>
    <w:rsid w:val="00AD2871"/>
    <w:rsid w:val="00D84D53"/>
    <w:rsid w:val="00E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A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1051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2023-12-19T12:25:00Z</dcterms:modified>
</cp:coreProperties>
</file>