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300" w14:textId="110A2CE5" w:rsidR="00620296" w:rsidRDefault="0044308B" w:rsidP="008A5B52">
      <w:pPr>
        <w:jc w:val="right"/>
        <w:rPr>
          <w:i/>
        </w:rPr>
      </w:pPr>
      <w:r w:rsidRPr="00B91A34">
        <w:rPr>
          <w:i/>
        </w:rPr>
        <w:t>SPA-20</w:t>
      </w:r>
      <w:r w:rsidR="000854A2" w:rsidRPr="00B91A34">
        <w:rPr>
          <w:i/>
        </w:rPr>
        <w:t>2</w:t>
      </w:r>
      <w:r w:rsidR="006730B8" w:rsidRPr="00B91A34">
        <w:rPr>
          <w:i/>
        </w:rPr>
        <w:t>3</w:t>
      </w:r>
      <w:r w:rsidR="008A5B52" w:rsidRPr="00B91A34">
        <w:rPr>
          <w:i/>
        </w:rPr>
        <w:t>-800-000</w:t>
      </w:r>
      <w:r w:rsidR="00B91A34" w:rsidRPr="00B91A34">
        <w:rPr>
          <w:i/>
        </w:rPr>
        <w:t>230</w:t>
      </w:r>
    </w:p>
    <w:p w14:paraId="7FA4CE7A" w14:textId="77777777" w:rsidR="00620296" w:rsidRPr="00753054" w:rsidRDefault="00620296" w:rsidP="00A8425D">
      <w:pPr>
        <w:rPr>
          <w:i/>
        </w:rPr>
      </w:pPr>
    </w:p>
    <w:p w14:paraId="70922976" w14:textId="77777777" w:rsidR="00A8425D" w:rsidRPr="007A30C5" w:rsidRDefault="00A8425D" w:rsidP="00A8425D">
      <w:pPr>
        <w:jc w:val="center"/>
      </w:pPr>
    </w:p>
    <w:p w14:paraId="324D798C" w14:textId="77777777" w:rsidR="00393E06" w:rsidRPr="00EC778A" w:rsidRDefault="00393E06" w:rsidP="00393E06">
      <w:pPr>
        <w:jc w:val="center"/>
      </w:pPr>
    </w:p>
    <w:p w14:paraId="613CB611" w14:textId="77777777" w:rsidR="00A8425D" w:rsidRPr="007A30C5" w:rsidRDefault="00A8425D" w:rsidP="00A8425D">
      <w:pPr>
        <w:jc w:val="center"/>
      </w:pPr>
    </w:p>
    <w:p w14:paraId="71218B94" w14:textId="77777777" w:rsidR="00A8425D" w:rsidRDefault="00A8425D" w:rsidP="00A8425D">
      <w:pPr>
        <w:jc w:val="center"/>
      </w:pPr>
    </w:p>
    <w:p w14:paraId="2EF4B210" w14:textId="77777777" w:rsidR="00620296" w:rsidRDefault="00620296" w:rsidP="00A8425D">
      <w:pPr>
        <w:jc w:val="center"/>
      </w:pPr>
    </w:p>
    <w:p w14:paraId="7C5FEF0B" w14:textId="77777777" w:rsidR="00620296" w:rsidRDefault="00620296" w:rsidP="00A8425D">
      <w:pPr>
        <w:jc w:val="center"/>
      </w:pPr>
    </w:p>
    <w:p w14:paraId="07627408" w14:textId="77777777" w:rsidR="00620296" w:rsidRDefault="00620296" w:rsidP="00A8425D">
      <w:pPr>
        <w:jc w:val="center"/>
      </w:pPr>
    </w:p>
    <w:p w14:paraId="670A1445" w14:textId="77777777" w:rsidR="00620296" w:rsidRDefault="00620296" w:rsidP="00A8425D">
      <w:pPr>
        <w:jc w:val="center"/>
      </w:pPr>
    </w:p>
    <w:p w14:paraId="08B89235" w14:textId="77777777" w:rsidR="00620296" w:rsidRDefault="00620296" w:rsidP="00A8425D">
      <w:pPr>
        <w:jc w:val="center"/>
      </w:pPr>
    </w:p>
    <w:p w14:paraId="2BCDA763" w14:textId="77777777" w:rsidR="00620296" w:rsidRDefault="00620296" w:rsidP="00A8425D">
      <w:pPr>
        <w:jc w:val="center"/>
      </w:pPr>
    </w:p>
    <w:p w14:paraId="0B9B5A48" w14:textId="77777777" w:rsidR="00620296" w:rsidRDefault="00620296" w:rsidP="00A8425D">
      <w:pPr>
        <w:jc w:val="center"/>
      </w:pPr>
    </w:p>
    <w:p w14:paraId="61E34369" w14:textId="77777777" w:rsidR="00620296" w:rsidRDefault="00620296" w:rsidP="00A8425D">
      <w:pPr>
        <w:jc w:val="center"/>
      </w:pPr>
    </w:p>
    <w:p w14:paraId="669E0961" w14:textId="77777777" w:rsidR="00620296" w:rsidRDefault="00620296" w:rsidP="00A8425D">
      <w:pPr>
        <w:jc w:val="center"/>
      </w:pPr>
    </w:p>
    <w:p w14:paraId="57DAC034" w14:textId="77777777" w:rsidR="00620296" w:rsidRPr="007A30C5" w:rsidRDefault="00620296" w:rsidP="00A8425D">
      <w:pPr>
        <w:jc w:val="center"/>
      </w:pPr>
    </w:p>
    <w:p w14:paraId="7E0C6F4B" w14:textId="77777777" w:rsidR="00A8425D" w:rsidRPr="007A30C5" w:rsidRDefault="00A8425D" w:rsidP="00A8425D">
      <w:pPr>
        <w:jc w:val="center"/>
      </w:pPr>
    </w:p>
    <w:p w14:paraId="3E16795F" w14:textId="3C12C203" w:rsidR="00BF4320" w:rsidRPr="00785E92" w:rsidRDefault="00753909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25A35">
        <w:rPr>
          <w:b/>
          <w:sz w:val="24"/>
          <w:szCs w:val="24"/>
        </w:rPr>
        <w:t>Obec Valy</w:t>
      </w:r>
    </w:p>
    <w:p w14:paraId="7F3B055A" w14:textId="77777777"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14:paraId="164957B7" w14:textId="77777777" w:rsidR="00A8425D" w:rsidRPr="007A30C5" w:rsidRDefault="00A8425D" w:rsidP="00785E92">
      <w:pPr>
        <w:ind w:left="1418" w:right="1415"/>
        <w:jc w:val="center"/>
      </w:pPr>
    </w:p>
    <w:p w14:paraId="16B6D170" w14:textId="77777777" w:rsidR="0030344D" w:rsidRPr="007A30C5" w:rsidRDefault="0030344D" w:rsidP="00753909">
      <w:pPr>
        <w:jc w:val="center"/>
      </w:pPr>
      <w:r w:rsidRPr="007A30C5">
        <w:t>a</w:t>
      </w:r>
    </w:p>
    <w:p w14:paraId="7E8D73E0" w14:textId="77777777" w:rsidR="0030344D" w:rsidRPr="007A30C5" w:rsidRDefault="0030344D" w:rsidP="0030344D">
      <w:pPr>
        <w:jc w:val="center"/>
      </w:pPr>
    </w:p>
    <w:p w14:paraId="13A34F70" w14:textId="77777777"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14:paraId="7B2B4749" w14:textId="77777777" w:rsidR="007A30C5" w:rsidRPr="007A30C5" w:rsidRDefault="007A30C5">
      <w:pPr>
        <w:jc w:val="center"/>
      </w:pPr>
    </w:p>
    <w:p w14:paraId="465AC649" w14:textId="77777777" w:rsidR="00ED070E" w:rsidRPr="007A30C5" w:rsidRDefault="00ED070E">
      <w:pPr>
        <w:jc w:val="center"/>
      </w:pPr>
    </w:p>
    <w:p w14:paraId="2375C7A5" w14:textId="77777777"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FE10E8B" wp14:editId="27F7D3EC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6820" w14:textId="77777777"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58D88" w14:textId="77777777"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14:paraId="41D388A0" w14:textId="77777777"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0E8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15pt;margin-top:453.6pt;width:454.75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sR9AEAAMsDAAAOAAAAZHJzL2Uyb0RvYy54bWysU9uO0zAQfUfiHyy/07SlpWz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" o:allowincell="f" stroked="f">
                <v:textbox>
                  <w:txbxContent>
                    <w:p w14:paraId="7CB66820" w14:textId="77777777"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7CC58D88" w14:textId="77777777"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14:paraId="41D388A0" w14:textId="77777777"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878D8B5" w14:textId="77777777" w:rsidR="00E11E9B" w:rsidRDefault="00E11E9B">
      <w:pPr>
        <w:jc w:val="center"/>
      </w:pPr>
    </w:p>
    <w:p w14:paraId="4F1E9ACE" w14:textId="77777777" w:rsidR="00E11E9B" w:rsidRDefault="00E11E9B">
      <w:pPr>
        <w:jc w:val="center"/>
      </w:pPr>
    </w:p>
    <w:p w14:paraId="64259ED6" w14:textId="77777777" w:rsidR="00E11E9B" w:rsidRDefault="00E11E9B">
      <w:pPr>
        <w:jc w:val="center"/>
      </w:pPr>
    </w:p>
    <w:p w14:paraId="124B54F5" w14:textId="77777777" w:rsidR="00E11E9B" w:rsidRDefault="00E11E9B">
      <w:pPr>
        <w:jc w:val="center"/>
      </w:pPr>
    </w:p>
    <w:p w14:paraId="6F06ECFB" w14:textId="77777777" w:rsidR="00E11E9B" w:rsidRDefault="00E11E9B">
      <w:pPr>
        <w:jc w:val="center"/>
      </w:pPr>
    </w:p>
    <w:p w14:paraId="77BE38F0" w14:textId="77777777" w:rsidR="00E11E9B" w:rsidRDefault="00E11E9B">
      <w:pPr>
        <w:jc w:val="center"/>
      </w:pPr>
    </w:p>
    <w:p w14:paraId="579B54C9" w14:textId="1426AF28" w:rsidR="00ED070E" w:rsidRPr="007A30C5" w:rsidRDefault="00ED070E">
      <w:pPr>
        <w:jc w:val="center"/>
        <w:rPr>
          <w:b/>
        </w:rPr>
      </w:pPr>
      <w:r w:rsidRPr="007A30C5">
        <w:br w:type="page"/>
      </w:r>
      <w:r w:rsidRPr="007A30C5">
        <w:rPr>
          <w:b/>
        </w:rPr>
        <w:lastRenderedPageBreak/>
        <w:t>OBSAH:</w:t>
      </w:r>
    </w:p>
    <w:p w14:paraId="7D1077C3" w14:textId="77777777" w:rsidR="00ED070E" w:rsidRPr="007A30C5" w:rsidRDefault="00ED070E">
      <w:pPr>
        <w:jc w:val="center"/>
      </w:pPr>
    </w:p>
    <w:p w14:paraId="36C6AC28" w14:textId="2990650C" w:rsidR="00B85BE4" w:rsidRDefault="00B143CA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 w:rsidR="00C95D2C">
        <w:instrText xml:space="preserve"> TOC \o "1-2" \h \z \u </w:instrText>
      </w:r>
      <w:r>
        <w:fldChar w:fldCharType="separate"/>
      </w:r>
      <w:hyperlink w:anchor="_Toc138936318" w:history="1">
        <w:r w:rsidR="00B85BE4" w:rsidRPr="00F21A21">
          <w:rPr>
            <w:rStyle w:val="Hypertextovodkaz"/>
            <w:noProof/>
          </w:rPr>
          <w:t>1.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Předmět Smlouvy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_Toc138936318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4</w:t>
        </w:r>
        <w:r w:rsidR="00B85BE4">
          <w:rPr>
            <w:noProof/>
            <w:webHidden/>
          </w:rPr>
          <w:fldChar w:fldCharType="end"/>
        </w:r>
      </w:hyperlink>
    </w:p>
    <w:p w14:paraId="7EC74BD3" w14:textId="40AFD801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19" w:history="1">
        <w:r w:rsidR="00B85BE4" w:rsidRPr="00F21A21">
          <w:rPr>
            <w:rStyle w:val="Hypertextovodkaz"/>
            <w:noProof/>
          </w:rPr>
          <w:t>1.1.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_Toc138936319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4</w:t>
        </w:r>
        <w:r w:rsidR="00B85BE4">
          <w:rPr>
            <w:noProof/>
            <w:webHidden/>
          </w:rPr>
          <w:fldChar w:fldCharType="end"/>
        </w:r>
      </w:hyperlink>
    </w:p>
    <w:p w14:paraId="3EB4E0ED" w14:textId="1E4857BE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20" w:history="1">
        <w:r w:rsidR="00B85BE4" w:rsidRPr="00F21A21">
          <w:rPr>
            <w:rStyle w:val="Hypertextovodkaz"/>
            <w:noProof/>
          </w:rPr>
          <w:t>1.2.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Převod vlastnického práva k 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_Toc138936320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4</w:t>
        </w:r>
        <w:r w:rsidR="00B85BE4">
          <w:rPr>
            <w:noProof/>
            <w:webHidden/>
          </w:rPr>
          <w:fldChar w:fldCharType="end"/>
        </w:r>
      </w:hyperlink>
    </w:p>
    <w:p w14:paraId="3C25C6EE" w14:textId="2ED4FD77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21" w:history="1">
        <w:r w:rsidR="00B85BE4" w:rsidRPr="00F21A21">
          <w:rPr>
            <w:rStyle w:val="Hypertextovodkaz"/>
            <w:noProof/>
          </w:rPr>
          <w:t>2.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Kupní cena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_Toc138936321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104D6258" w14:textId="47E85698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22" w:history="1">
        <w:r w:rsidR="00B85BE4" w:rsidRPr="00F21A21">
          <w:rPr>
            <w:rStyle w:val="Hypertextovodkaz"/>
            <w:noProof/>
          </w:rPr>
          <w:t>2.1.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Proces stanovení kupní ceny za 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_Toc138936322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03C28132" w14:textId="67405A96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23" w:history="1">
        <w:r w:rsidR="00B85BE4" w:rsidRPr="00F21A21">
          <w:rPr>
            <w:rStyle w:val="Hypertextovodkaz"/>
            <w:noProof/>
          </w:rPr>
          <w:t>2.2.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Výše Kupní ceny 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_Toc138936323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57E3099E" w14:textId="7170A4C1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24" w:history="1">
        <w:r w:rsidR="00B85BE4" w:rsidRPr="00F21A21">
          <w:rPr>
            <w:rStyle w:val="Hypertextovodkaz"/>
            <w:noProof/>
          </w:rPr>
          <w:t>2.3.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Splatnost Kupní ceny za 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_Toc138936324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3BF4E3EA" w14:textId="446868A5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25" w:history="1">
        <w:r w:rsidR="00B85BE4" w:rsidRPr="00F21A21">
          <w:rPr>
            <w:rStyle w:val="Hypertextovodkaz"/>
            <w:noProof/>
          </w:rPr>
          <w:t>3.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Stav převáděného 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_Toc138936325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3CD868F7" w14:textId="6DF4BE5F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26" w:history="1">
        <w:r w:rsidR="00B85BE4" w:rsidRPr="00F21A21">
          <w:rPr>
            <w:rStyle w:val="Hypertextovodkaz"/>
            <w:noProof/>
          </w:rPr>
          <w:t>3.1.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Prohlášení Prodávajícího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_Toc138936326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553FA738" w14:textId="41ACEE8B" w:rsidR="00B85BE4" w:rsidRDefault="002E36E0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27" w:history="1">
        <w:r w:rsidR="00B85BE4" w:rsidRPr="00F21A21">
          <w:rPr>
            <w:rStyle w:val="Hypertextovodkaz"/>
            <w:noProof/>
          </w:rPr>
          <w:t>3.2.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Prohlášení Kupujícího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_Toc138936327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5</w:t>
        </w:r>
        <w:r w:rsidR="00B85BE4">
          <w:rPr>
            <w:noProof/>
            <w:webHidden/>
          </w:rPr>
          <w:fldChar w:fldCharType="end"/>
        </w:r>
      </w:hyperlink>
    </w:p>
    <w:p w14:paraId="05FEE0DF" w14:textId="464D55E7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28" w:history="1">
        <w:r w:rsidR="00B85BE4" w:rsidRPr="00F21A21">
          <w:rPr>
            <w:rStyle w:val="Hypertextovodkaz"/>
            <w:noProof/>
          </w:rPr>
          <w:t>4.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Okamžik převodu vlastnického práva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_Toc138936328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6</w:t>
        </w:r>
        <w:r w:rsidR="00B85BE4">
          <w:rPr>
            <w:noProof/>
            <w:webHidden/>
          </w:rPr>
          <w:fldChar w:fldCharType="end"/>
        </w:r>
      </w:hyperlink>
    </w:p>
    <w:p w14:paraId="1E05701B" w14:textId="3DAD2F16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29" w:history="1">
        <w:r w:rsidR="00B85BE4" w:rsidRPr="00F21A21">
          <w:rPr>
            <w:rStyle w:val="Hypertextovodkaz"/>
            <w:noProof/>
          </w:rPr>
          <w:t>5.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Doklady k 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_Toc138936329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6</w:t>
        </w:r>
        <w:r w:rsidR="00B85BE4">
          <w:rPr>
            <w:noProof/>
            <w:webHidden/>
          </w:rPr>
          <w:fldChar w:fldCharType="end"/>
        </w:r>
      </w:hyperlink>
    </w:p>
    <w:p w14:paraId="51AA6BE9" w14:textId="30012BDF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30" w:history="1">
        <w:r w:rsidR="00B85BE4" w:rsidRPr="00F21A21">
          <w:rPr>
            <w:rStyle w:val="Hypertextovodkaz"/>
            <w:noProof/>
          </w:rPr>
          <w:t>6.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Záruka na Zařízení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_Toc138936330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6</w:t>
        </w:r>
        <w:r w:rsidR="00B85BE4">
          <w:rPr>
            <w:noProof/>
            <w:webHidden/>
          </w:rPr>
          <w:fldChar w:fldCharType="end"/>
        </w:r>
      </w:hyperlink>
    </w:p>
    <w:p w14:paraId="11FABB04" w14:textId="7811FE27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31" w:history="1">
        <w:r w:rsidR="00B85BE4" w:rsidRPr="00F21A21">
          <w:rPr>
            <w:rStyle w:val="Hypertextovodkaz"/>
            <w:noProof/>
          </w:rPr>
          <w:t>7.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Odstoupení od Smlouvy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_Toc138936331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6</w:t>
        </w:r>
        <w:r w:rsidR="00B85BE4">
          <w:rPr>
            <w:noProof/>
            <w:webHidden/>
          </w:rPr>
          <w:fldChar w:fldCharType="end"/>
        </w:r>
      </w:hyperlink>
    </w:p>
    <w:p w14:paraId="5AE5351C" w14:textId="4E538CB4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32" w:history="1">
        <w:r w:rsidR="00B85BE4" w:rsidRPr="00F21A21">
          <w:rPr>
            <w:rStyle w:val="Hypertextovodkaz"/>
            <w:noProof/>
          </w:rPr>
          <w:t>8.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Změna Smlouvy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_Toc138936332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6</w:t>
        </w:r>
        <w:r w:rsidR="00B85BE4">
          <w:rPr>
            <w:noProof/>
            <w:webHidden/>
          </w:rPr>
          <w:fldChar w:fldCharType="end"/>
        </w:r>
      </w:hyperlink>
    </w:p>
    <w:p w14:paraId="263356E7" w14:textId="03E85B34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33" w:history="1">
        <w:r w:rsidR="00B85BE4" w:rsidRPr="00F21A21">
          <w:rPr>
            <w:rStyle w:val="Hypertextovodkaz"/>
            <w:noProof/>
          </w:rPr>
          <w:t>9.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Korekce plnění smlouvy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_Toc138936333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6</w:t>
        </w:r>
        <w:r w:rsidR="00B85BE4">
          <w:rPr>
            <w:noProof/>
            <w:webHidden/>
          </w:rPr>
          <w:fldChar w:fldCharType="end"/>
        </w:r>
      </w:hyperlink>
    </w:p>
    <w:p w14:paraId="572CF482" w14:textId="7F3DD10A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38" w:history="1">
        <w:r w:rsidR="00B85BE4" w:rsidRPr="00F21A21">
          <w:rPr>
            <w:rStyle w:val="Hypertextovodkaz"/>
            <w:noProof/>
          </w:rPr>
          <w:t>10.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Ustanovení společná a závěrečná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_Toc138936338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7</w:t>
        </w:r>
        <w:r w:rsidR="00B85BE4">
          <w:rPr>
            <w:noProof/>
            <w:webHidden/>
          </w:rPr>
          <w:fldChar w:fldCharType="end"/>
        </w:r>
      </w:hyperlink>
    </w:p>
    <w:p w14:paraId="72ACF1CB" w14:textId="0F74A740" w:rsidR="00B85BE4" w:rsidRDefault="002E36E0">
      <w:pPr>
        <w:pStyle w:val="Obsah2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39" w:history="1">
        <w:r w:rsidR="00B85BE4" w:rsidRPr="00F21A21">
          <w:rPr>
            <w:rStyle w:val="Hypertextovodkaz"/>
            <w:noProof/>
          </w:rPr>
          <w:t>10.1.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Platnost a účinnost Smlouvy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_Toc138936339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7</w:t>
        </w:r>
        <w:r w:rsidR="00B85BE4">
          <w:rPr>
            <w:noProof/>
            <w:webHidden/>
          </w:rPr>
          <w:fldChar w:fldCharType="end"/>
        </w:r>
      </w:hyperlink>
    </w:p>
    <w:p w14:paraId="6FC4FF64" w14:textId="1FA93502" w:rsidR="00B85BE4" w:rsidRDefault="002E36E0">
      <w:pPr>
        <w:pStyle w:val="Obsah2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hyperlink w:anchor="_Toc138936340" w:history="1">
        <w:r w:rsidR="00B85BE4" w:rsidRPr="00F21A21">
          <w:rPr>
            <w:rStyle w:val="Hypertextovodkaz"/>
            <w:noProof/>
          </w:rPr>
          <w:t>10.2.</w:t>
        </w:r>
        <w:r w:rsidR="00B85BE4">
          <w:rPr>
            <w:rFonts w:asciiTheme="minorHAnsi" w:eastAsiaTheme="minorEastAsia" w:hAnsiTheme="minorHAnsi" w:cstheme="minorBidi"/>
            <w:b w:val="0"/>
            <w:noProof/>
            <w:kern w:val="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Počet vyhotovení Smlouvy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_Toc138936340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7</w:t>
        </w:r>
        <w:r w:rsidR="00B85BE4">
          <w:rPr>
            <w:noProof/>
            <w:webHidden/>
          </w:rPr>
          <w:fldChar w:fldCharType="end"/>
        </w:r>
      </w:hyperlink>
    </w:p>
    <w:p w14:paraId="738688E6" w14:textId="32D88653" w:rsidR="00B85BE4" w:rsidRDefault="002E36E0" w:rsidP="00DF068A">
      <w:pPr>
        <w:pStyle w:val="Obsah1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38936341" w:history="1">
        <w:r w:rsidR="00B85BE4" w:rsidRPr="00F21A21">
          <w:rPr>
            <w:rStyle w:val="Hypertextovodkaz"/>
            <w:noProof/>
          </w:rPr>
          <w:t>11.</w:t>
        </w:r>
        <w:r w:rsidR="00B85BE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85BE4" w:rsidRPr="00F21A21">
          <w:rPr>
            <w:rStyle w:val="Hypertextovodkaz"/>
            <w:noProof/>
          </w:rPr>
          <w:t>Prohlášení Smluvních stran</w:t>
        </w:r>
        <w:r w:rsidR="00B85BE4">
          <w:rPr>
            <w:noProof/>
            <w:webHidden/>
          </w:rPr>
          <w:tab/>
        </w:r>
        <w:r w:rsidR="00B85BE4">
          <w:rPr>
            <w:noProof/>
            <w:webHidden/>
          </w:rPr>
          <w:fldChar w:fldCharType="begin"/>
        </w:r>
        <w:r w:rsidR="00B85BE4">
          <w:rPr>
            <w:noProof/>
            <w:webHidden/>
          </w:rPr>
          <w:instrText xml:space="preserve"> PAGEREF _Toc138936341 \h </w:instrText>
        </w:r>
        <w:r w:rsidR="00B85BE4">
          <w:rPr>
            <w:noProof/>
            <w:webHidden/>
          </w:rPr>
        </w:r>
        <w:r w:rsidR="00B85BE4">
          <w:rPr>
            <w:noProof/>
            <w:webHidden/>
          </w:rPr>
          <w:fldChar w:fldCharType="separate"/>
        </w:r>
        <w:r w:rsidR="00CC19C1">
          <w:rPr>
            <w:noProof/>
            <w:webHidden/>
          </w:rPr>
          <w:t>7</w:t>
        </w:r>
        <w:r w:rsidR="00B85BE4">
          <w:rPr>
            <w:noProof/>
            <w:webHidden/>
          </w:rPr>
          <w:fldChar w:fldCharType="end"/>
        </w:r>
      </w:hyperlink>
    </w:p>
    <w:p w14:paraId="34C4F4C3" w14:textId="0B3EDD37"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14:paraId="02EEAE24" w14:textId="77777777" w:rsidR="00A8425D" w:rsidRPr="00A8425D" w:rsidRDefault="00A8425D" w:rsidP="00A8425D"/>
    <w:p w14:paraId="4E871B0B" w14:textId="77777777" w:rsidR="00DF068A" w:rsidRDefault="00092F02" w:rsidP="00092F02">
      <w:pPr>
        <w:rPr>
          <w:b/>
          <w:i/>
          <w:sz w:val="24"/>
          <w:szCs w:val="24"/>
        </w:rPr>
      </w:pPr>
      <w:r w:rsidRPr="00092F02">
        <w:rPr>
          <w:b/>
          <w:i/>
          <w:sz w:val="24"/>
          <w:szCs w:val="24"/>
        </w:rPr>
        <w:t>Příloha č. 1 ……………………………………</w:t>
      </w:r>
      <w:r w:rsidR="002C1020"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…………………………………………….</w:t>
      </w:r>
      <w:r w:rsidR="00DF068A">
        <w:rPr>
          <w:b/>
          <w:i/>
          <w:sz w:val="24"/>
          <w:szCs w:val="24"/>
        </w:rPr>
        <w:t>9</w:t>
      </w:r>
    </w:p>
    <w:p w14:paraId="78157DEE" w14:textId="77777777" w:rsidR="00DF068A" w:rsidRDefault="00DF068A" w:rsidP="00092F02">
      <w:pPr>
        <w:rPr>
          <w:b/>
          <w:i/>
          <w:sz w:val="24"/>
          <w:szCs w:val="24"/>
        </w:rPr>
      </w:pPr>
      <w:r w:rsidRPr="00092F02">
        <w:rPr>
          <w:b/>
          <w:i/>
          <w:sz w:val="24"/>
          <w:szCs w:val="24"/>
        </w:rPr>
        <w:t xml:space="preserve">Příloha č. </w:t>
      </w:r>
      <w:r>
        <w:rPr>
          <w:b/>
          <w:i/>
          <w:sz w:val="24"/>
          <w:szCs w:val="24"/>
        </w:rPr>
        <w:t>2</w:t>
      </w:r>
      <w:r w:rsidRPr="00092F02">
        <w:rPr>
          <w:b/>
          <w:i/>
          <w:sz w:val="24"/>
          <w:szCs w:val="24"/>
        </w:rPr>
        <w:t xml:space="preserve"> ……………………………………</w:t>
      </w:r>
      <w:r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…………………………………………</w:t>
      </w:r>
      <w:r>
        <w:rPr>
          <w:b/>
          <w:i/>
          <w:sz w:val="24"/>
          <w:szCs w:val="24"/>
        </w:rPr>
        <w:t>...10</w:t>
      </w:r>
    </w:p>
    <w:p w14:paraId="2796468A" w14:textId="2D120CED" w:rsidR="00D10AD4" w:rsidRDefault="00DF068A" w:rsidP="00092F02">
      <w:r w:rsidRPr="00092F02">
        <w:rPr>
          <w:b/>
          <w:i/>
          <w:sz w:val="24"/>
          <w:szCs w:val="24"/>
        </w:rPr>
        <w:t xml:space="preserve">Příloha č. </w:t>
      </w:r>
      <w:r>
        <w:rPr>
          <w:b/>
          <w:i/>
          <w:sz w:val="24"/>
          <w:szCs w:val="24"/>
        </w:rPr>
        <w:t>3</w:t>
      </w:r>
      <w:r w:rsidRPr="00092F02">
        <w:rPr>
          <w:b/>
          <w:i/>
          <w:sz w:val="24"/>
          <w:szCs w:val="24"/>
        </w:rPr>
        <w:t xml:space="preserve"> ……………………………………</w:t>
      </w:r>
      <w:r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…………………………………………</w:t>
      </w:r>
      <w:r>
        <w:rPr>
          <w:b/>
          <w:i/>
          <w:sz w:val="24"/>
          <w:szCs w:val="24"/>
        </w:rPr>
        <w:t>...11</w:t>
      </w:r>
      <w:r w:rsidR="00ED070E" w:rsidRPr="007A30C5">
        <w:br w:type="page"/>
      </w:r>
    </w:p>
    <w:p w14:paraId="2EBF3E08" w14:textId="77777777" w:rsidR="00D10AD4" w:rsidRDefault="00D10AD4" w:rsidP="00092F02"/>
    <w:p w14:paraId="199B51A1" w14:textId="4B1CE663" w:rsidR="0030344D" w:rsidRPr="006068E5" w:rsidRDefault="0030344D" w:rsidP="00092F02">
      <w:pPr>
        <w:rPr>
          <w:b/>
          <w:snapToGrid w:val="0"/>
          <w:szCs w:val="22"/>
        </w:rPr>
      </w:pPr>
      <w:r w:rsidRPr="006068E5">
        <w:rPr>
          <w:b/>
          <w:szCs w:val="22"/>
        </w:rPr>
        <w:t>NÍŽE UVEDENÉHO DNE, MĚSÍCE A ROKU</w:t>
      </w:r>
      <w:r w:rsidRPr="006068E5">
        <w:rPr>
          <w:b/>
          <w:snapToGrid w:val="0"/>
          <w:szCs w:val="22"/>
        </w:rPr>
        <w:t>:</w:t>
      </w:r>
    </w:p>
    <w:p w14:paraId="769749F4" w14:textId="77777777"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14:paraId="24FD1CE3" w14:textId="77777777"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14:paraId="1D4A0510" w14:textId="266AD605" w:rsidR="00753909" w:rsidRPr="00115C17" w:rsidRDefault="00F30505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>Obec</w:t>
      </w:r>
      <w:r w:rsidR="00D25A35">
        <w:rPr>
          <w:b/>
          <w:snapToGrid w:val="0"/>
          <w:szCs w:val="22"/>
        </w:rPr>
        <w:t xml:space="preserve"> Valy</w:t>
      </w:r>
    </w:p>
    <w:p w14:paraId="3BB0ED10" w14:textId="28358563" w:rsidR="00442D07" w:rsidRDefault="00B85BE4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V Lukách 21,</w:t>
      </w:r>
    </w:p>
    <w:p w14:paraId="0D8345C6" w14:textId="309F5084" w:rsidR="00BF4320" w:rsidRDefault="00B85BE4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353 01 Valy u Mariánských Lázní</w:t>
      </w:r>
    </w:p>
    <w:p w14:paraId="001870EF" w14:textId="656F8380" w:rsidR="005818F8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IČ:</w:t>
      </w:r>
      <w:r w:rsidR="000C1A9E">
        <w:rPr>
          <w:snapToGrid w:val="0"/>
          <w:szCs w:val="22"/>
        </w:rPr>
        <w:tab/>
      </w:r>
      <w:r w:rsidR="00B85BE4">
        <w:rPr>
          <w:snapToGrid w:val="0"/>
          <w:szCs w:val="22"/>
        </w:rPr>
        <w:t>00572781</w:t>
      </w:r>
      <w:r w:rsidR="000C1A9E">
        <w:rPr>
          <w:snapToGrid w:val="0"/>
          <w:szCs w:val="22"/>
        </w:rPr>
        <w:tab/>
      </w:r>
    </w:p>
    <w:p w14:paraId="44B1368C" w14:textId="77777777" w:rsidR="00F3050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Zastoupena:</w:t>
      </w:r>
    </w:p>
    <w:p w14:paraId="21D282B2" w14:textId="41E2B623" w:rsidR="00B85BE4" w:rsidRDefault="00B85BE4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Andrea Kakašová, starostka</w:t>
      </w:r>
    </w:p>
    <w:p w14:paraId="0B46ECB1" w14:textId="77777777"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14:paraId="3AF2F7A6" w14:textId="77777777"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14:paraId="161381BC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14:paraId="0564C864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14:paraId="0668558F" w14:textId="77777777"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14:paraId="6BA70F63" w14:textId="77777777"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se sídlem Cheb, Tršnická 4/11, PSČ 350</w:t>
      </w:r>
      <w:r w:rsidR="00D468A4" w:rsidRPr="006068E5">
        <w:rPr>
          <w:szCs w:val="22"/>
        </w:rPr>
        <w:t xml:space="preserve"> 02</w:t>
      </w:r>
    </w:p>
    <w:p w14:paraId="03062AE6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14:paraId="1EA87C9E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r>
        <w:rPr>
          <w:szCs w:val="22"/>
        </w:rPr>
        <w:t>1.1.1994 u Krajského soudu v Plzni</w:t>
      </w:r>
    </w:p>
    <w:p w14:paraId="40C182AE" w14:textId="77777777"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14:paraId="5ABF306A" w14:textId="263DEE74" w:rsidR="007A2086" w:rsidRDefault="001452D4" w:rsidP="006068E5">
      <w:pPr>
        <w:ind w:left="1134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Zastoupení:</w:t>
      </w:r>
    </w:p>
    <w:p w14:paraId="78F5D671" w14:textId="7B977187" w:rsidR="001452D4" w:rsidRDefault="001452D4" w:rsidP="006068E5">
      <w:pPr>
        <w:ind w:left="1134"/>
        <w:jc w:val="both"/>
        <w:rPr>
          <w:snapToGrid w:val="0"/>
          <w:szCs w:val="22"/>
        </w:rPr>
      </w:pPr>
      <w:r>
        <w:rPr>
          <w:snapToGrid w:val="0"/>
          <w:szCs w:val="22"/>
        </w:rPr>
        <w:t>Mgr. David Bracháček, předseda představenstva</w:t>
      </w:r>
    </w:p>
    <w:p w14:paraId="26E1C58B" w14:textId="179EEB10" w:rsidR="001452D4" w:rsidRDefault="001452D4" w:rsidP="006068E5">
      <w:pPr>
        <w:ind w:left="1134"/>
        <w:jc w:val="both"/>
        <w:rPr>
          <w:snapToGrid w:val="0"/>
          <w:szCs w:val="22"/>
        </w:rPr>
      </w:pPr>
      <w:r>
        <w:rPr>
          <w:snapToGrid w:val="0"/>
          <w:szCs w:val="22"/>
        </w:rPr>
        <w:t>Ing. Milan Míka, místopředseda představenstva</w:t>
      </w:r>
    </w:p>
    <w:p w14:paraId="561DDD38" w14:textId="77777777" w:rsidR="001452D4" w:rsidRDefault="001452D4" w:rsidP="006068E5">
      <w:pPr>
        <w:ind w:left="1134"/>
        <w:jc w:val="both"/>
        <w:rPr>
          <w:snapToGrid w:val="0"/>
          <w:szCs w:val="22"/>
        </w:rPr>
      </w:pPr>
    </w:p>
    <w:p w14:paraId="73B13F3A" w14:textId="77777777" w:rsidR="0030344D" w:rsidRPr="006068E5" w:rsidRDefault="0030344D" w:rsidP="006068E5">
      <w:pPr>
        <w:ind w:left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Bankovní spojení:</w:t>
      </w:r>
      <w:r w:rsidRPr="006068E5">
        <w:rPr>
          <w:szCs w:val="22"/>
        </w:rPr>
        <w:t xml:space="preserve"> </w:t>
      </w:r>
      <w:r w:rsidR="00620296" w:rsidRPr="006068E5">
        <w:rPr>
          <w:szCs w:val="22"/>
        </w:rPr>
        <w:t>Komerční banka Cheb</w:t>
      </w:r>
    </w:p>
    <w:p w14:paraId="71D38369" w14:textId="77777777" w:rsidR="0030344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napToGrid w:val="0"/>
          <w:szCs w:val="22"/>
        </w:rPr>
        <w:t>Číslo účtu:</w:t>
      </w:r>
      <w:r w:rsidRPr="006068E5">
        <w:rPr>
          <w:szCs w:val="22"/>
        </w:rPr>
        <w:t xml:space="preserve"> </w:t>
      </w:r>
      <w:r w:rsidR="002C7C4D" w:rsidRPr="006068E5">
        <w:rPr>
          <w:szCs w:val="22"/>
        </w:rPr>
        <w:t>14102331/0100</w:t>
      </w:r>
    </w:p>
    <w:p w14:paraId="5A655059" w14:textId="77777777" w:rsidR="0030344D" w:rsidRPr="006068E5" w:rsidRDefault="0030344D" w:rsidP="006068E5">
      <w:pPr>
        <w:jc w:val="both"/>
        <w:rPr>
          <w:szCs w:val="22"/>
        </w:rPr>
      </w:pPr>
    </w:p>
    <w:p w14:paraId="7BC85440" w14:textId="77777777" w:rsidR="0030344D" w:rsidRPr="006068E5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14:paraId="4F5506FF" w14:textId="77777777" w:rsidR="0030344D" w:rsidRPr="006068E5" w:rsidRDefault="0030344D" w:rsidP="006068E5">
      <w:pPr>
        <w:jc w:val="both"/>
        <w:rPr>
          <w:szCs w:val="22"/>
        </w:rPr>
      </w:pPr>
    </w:p>
    <w:p w14:paraId="0BFA4646" w14:textId="77777777"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14:paraId="1B66928B" w14:textId="77777777" w:rsidR="005B1220" w:rsidRPr="006068E5" w:rsidRDefault="005B1220" w:rsidP="006068E5">
      <w:pPr>
        <w:jc w:val="both"/>
        <w:rPr>
          <w:szCs w:val="22"/>
        </w:rPr>
      </w:pPr>
    </w:p>
    <w:p w14:paraId="4910B14B" w14:textId="77777777" w:rsidR="00770CF8" w:rsidRDefault="00770CF8" w:rsidP="006068E5">
      <w:pPr>
        <w:jc w:val="both"/>
        <w:rPr>
          <w:b/>
          <w:snapToGrid w:val="0"/>
          <w:szCs w:val="22"/>
        </w:rPr>
      </w:pPr>
    </w:p>
    <w:p w14:paraId="206E5913" w14:textId="77777777"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14:paraId="445BE4AD" w14:textId="2185A72C" w:rsidR="00D468A4" w:rsidRPr="000D2B74" w:rsidRDefault="0030344D" w:rsidP="006068E5">
      <w:pPr>
        <w:pStyle w:val="Preambule"/>
        <w:jc w:val="both"/>
        <w:rPr>
          <w:szCs w:val="22"/>
        </w:rPr>
      </w:pPr>
      <w:r w:rsidRPr="000D2B74">
        <w:rPr>
          <w:szCs w:val="22"/>
        </w:rPr>
        <w:t>Prodávající má ve svém výlučném vlastnictví vodohospodářsk</w:t>
      </w:r>
      <w:r w:rsidR="00D468A4" w:rsidRPr="000D2B74">
        <w:rPr>
          <w:szCs w:val="22"/>
        </w:rPr>
        <w:t>ou stavbu</w:t>
      </w:r>
      <w:r w:rsidRPr="000D2B74">
        <w:rPr>
          <w:szCs w:val="22"/>
        </w:rPr>
        <w:t>,</w:t>
      </w:r>
      <w:r w:rsidR="00A83629" w:rsidRPr="000D2B74">
        <w:rPr>
          <w:szCs w:val="22"/>
        </w:rPr>
        <w:t xml:space="preserve"> viz Příloha č. 1,</w:t>
      </w:r>
      <w:r w:rsidRPr="000D2B74">
        <w:rPr>
          <w:szCs w:val="22"/>
        </w:rPr>
        <w:t xml:space="preserve"> kter</w:t>
      </w:r>
      <w:r w:rsidR="00D468A4" w:rsidRPr="000D2B74">
        <w:rPr>
          <w:szCs w:val="22"/>
        </w:rPr>
        <w:t>á</w:t>
      </w:r>
      <w:r w:rsidRPr="000D2B74">
        <w:rPr>
          <w:szCs w:val="22"/>
        </w:rPr>
        <w:t xml:space="preserve"> je dále specifikován</w:t>
      </w:r>
      <w:r w:rsidR="00D468A4" w:rsidRPr="000D2B74">
        <w:rPr>
          <w:szCs w:val="22"/>
        </w:rPr>
        <w:t>a</w:t>
      </w:r>
      <w:r w:rsidRPr="000D2B74">
        <w:rPr>
          <w:szCs w:val="22"/>
        </w:rPr>
        <w:t xml:space="preserve"> v čl. </w:t>
      </w:r>
      <w:r w:rsidR="00C01471" w:rsidRPr="000D2B74">
        <w:rPr>
          <w:szCs w:val="22"/>
        </w:rPr>
        <w:t>1.1.</w:t>
      </w:r>
      <w:r w:rsidRPr="000D2B74">
        <w:rPr>
          <w:szCs w:val="22"/>
        </w:rPr>
        <w:t xml:space="preserve"> této kupní smlouvy (dále jen „</w:t>
      </w:r>
      <w:r w:rsidRPr="000D2B74">
        <w:rPr>
          <w:b/>
          <w:szCs w:val="22"/>
        </w:rPr>
        <w:t>Zařízení</w:t>
      </w:r>
      <w:r w:rsidRPr="000D2B74">
        <w:rPr>
          <w:szCs w:val="22"/>
        </w:rPr>
        <w:t>“);</w:t>
      </w:r>
    </w:p>
    <w:p w14:paraId="399F22B7" w14:textId="67554954" w:rsidR="00D25A35" w:rsidRPr="00DF068A" w:rsidRDefault="00D25A35" w:rsidP="00D25A35">
      <w:pPr>
        <w:pStyle w:val="Preambule"/>
        <w:jc w:val="both"/>
        <w:rPr>
          <w:szCs w:val="22"/>
        </w:rPr>
      </w:pPr>
      <w:r w:rsidRPr="000D2B74">
        <w:rPr>
          <w:szCs w:val="22"/>
        </w:rPr>
        <w:t>Prodávající</w:t>
      </w:r>
      <w:r w:rsidRPr="00DF068A">
        <w:rPr>
          <w:szCs w:val="22"/>
        </w:rPr>
        <w:t xml:space="preserve"> převedl na základě kupní smlouvy číslo SPA-2016-800-000070 ze dne 12.12.2017 majetek kanalizační sítě, ČSOV a kanalizačního výtlaku společnosti CHEVAK Cheb, a.s. – nevyřešenou záležitostí při převodu majetku zůstalo zajistit přístupovou cestu pro údržbu a opravy na objektu ČSOV a věcná břemena k pozemkům, kde je uložena kanalizace a ČSOV.</w:t>
      </w:r>
    </w:p>
    <w:p w14:paraId="29038F3D" w14:textId="5E2C7FB0" w:rsidR="00D25A35" w:rsidRPr="00DF068A" w:rsidRDefault="00D25A35" w:rsidP="00D25A35">
      <w:pPr>
        <w:pStyle w:val="Preambule"/>
        <w:jc w:val="both"/>
        <w:rPr>
          <w:szCs w:val="22"/>
        </w:rPr>
      </w:pPr>
      <w:r w:rsidRPr="00DF068A">
        <w:rPr>
          <w:szCs w:val="22"/>
        </w:rPr>
        <w:t xml:space="preserve">Prodávající </w:t>
      </w:r>
      <w:r w:rsidR="00492C00" w:rsidRPr="00DF068A">
        <w:rPr>
          <w:szCs w:val="22"/>
        </w:rPr>
        <w:t>pořídil</w:t>
      </w:r>
      <w:r w:rsidRPr="00DF068A">
        <w:rPr>
          <w:szCs w:val="22"/>
        </w:rPr>
        <w:t xml:space="preserve"> projektovou dokumentaci na příjezdovou komunikaci k ČSOV (závazek dle bodu (B))</w:t>
      </w:r>
      <w:r w:rsidR="00D85307" w:rsidRPr="00DF068A">
        <w:rPr>
          <w:szCs w:val="22"/>
        </w:rPr>
        <w:t xml:space="preserve"> </w:t>
      </w:r>
      <w:r w:rsidR="00AA62F7">
        <w:rPr>
          <w:szCs w:val="22"/>
        </w:rPr>
        <w:t xml:space="preserve">„Přístupová komunikace k ČSOV Valy“, projekční kancelář PROKON, únor 2021 a </w:t>
      </w:r>
      <w:r w:rsidR="00AA62F7" w:rsidRPr="00AA62F7">
        <w:rPr>
          <w:szCs w:val="22"/>
        </w:rPr>
        <w:t>září 2022</w:t>
      </w:r>
      <w:r w:rsidR="00492C00" w:rsidRPr="00AA62F7">
        <w:rPr>
          <w:szCs w:val="22"/>
        </w:rPr>
        <w:t xml:space="preserve"> (dále jen „</w:t>
      </w:r>
      <w:r w:rsidR="00492C00" w:rsidRPr="00AA62F7">
        <w:rPr>
          <w:b/>
          <w:bCs/>
          <w:szCs w:val="22"/>
        </w:rPr>
        <w:t>Projektová dokumentace</w:t>
      </w:r>
      <w:r w:rsidR="00492C00" w:rsidRPr="00AA62F7">
        <w:rPr>
          <w:szCs w:val="22"/>
        </w:rPr>
        <w:t>“)</w:t>
      </w:r>
      <w:r w:rsidRPr="00AA62F7">
        <w:rPr>
          <w:szCs w:val="22"/>
        </w:rPr>
        <w:t>, která by</w:t>
      </w:r>
      <w:r w:rsidRPr="00DF068A">
        <w:rPr>
          <w:szCs w:val="22"/>
        </w:rPr>
        <w:t xml:space="preserve"> měla vést jinou </w:t>
      </w:r>
      <w:r w:rsidR="00D03406" w:rsidRPr="00DF068A">
        <w:rPr>
          <w:szCs w:val="22"/>
        </w:rPr>
        <w:t>trasou,</w:t>
      </w:r>
      <w:r w:rsidRPr="00DF068A">
        <w:rPr>
          <w:szCs w:val="22"/>
        </w:rPr>
        <w:t xml:space="preserve"> než řešil projekt kanalizace, a souhlas k vybudov</w:t>
      </w:r>
      <w:r w:rsidR="00E445A1" w:rsidRPr="00DF068A">
        <w:rPr>
          <w:szCs w:val="22"/>
        </w:rPr>
        <w:t>á</w:t>
      </w:r>
      <w:r w:rsidRPr="00DF068A">
        <w:rPr>
          <w:szCs w:val="22"/>
        </w:rPr>
        <w:t xml:space="preserve">ní příjezdové komunikace vč. dohody a podmínek k trvalému užívání. Stavební povolení bylo vydáno </w:t>
      </w:r>
      <w:r w:rsidR="00C916D7" w:rsidRPr="00DF068A">
        <w:rPr>
          <w:szCs w:val="22"/>
        </w:rPr>
        <w:lastRenderedPageBreak/>
        <w:t>č.j. STAV/22/4747/JM dne 23.11.2022, Městský úřad Mariánské Lázně, stavební úřad.</w:t>
      </w:r>
    </w:p>
    <w:p w14:paraId="3781A830" w14:textId="31615171" w:rsidR="00D25A35" w:rsidRPr="00DF068A" w:rsidRDefault="0027762C" w:rsidP="00D25A35">
      <w:pPr>
        <w:pStyle w:val="Preambule"/>
        <w:jc w:val="both"/>
        <w:rPr>
          <w:szCs w:val="22"/>
        </w:rPr>
      </w:pPr>
      <w:r w:rsidRPr="00DF068A">
        <w:rPr>
          <w:szCs w:val="22"/>
        </w:rPr>
        <w:t>Kupující</w:t>
      </w:r>
      <w:r w:rsidR="00D25A35" w:rsidRPr="00DF068A">
        <w:rPr>
          <w:szCs w:val="22"/>
        </w:rPr>
        <w:t xml:space="preserve"> </w:t>
      </w:r>
      <w:r w:rsidR="00D25A35" w:rsidRPr="000D2B74">
        <w:t>převezme realizaci</w:t>
      </w:r>
      <w:r w:rsidR="00627D1F" w:rsidRPr="000D2B74">
        <w:t xml:space="preserve"> přístupové cesty pro údržbu a opravy na objektu ČSOV</w:t>
      </w:r>
      <w:r w:rsidR="00D25A35" w:rsidRPr="000D2B74">
        <w:t xml:space="preserve"> dle </w:t>
      </w:r>
      <w:r w:rsidR="00627D1F" w:rsidRPr="000D2B74">
        <w:t xml:space="preserve">projektové dokumentace </w:t>
      </w:r>
      <w:r w:rsidR="00D25A35" w:rsidRPr="000D2B74">
        <w:t xml:space="preserve">zpracované </w:t>
      </w:r>
      <w:r w:rsidRPr="000D2B74">
        <w:t>Prodávajícím</w:t>
      </w:r>
      <w:r w:rsidR="00627D1F" w:rsidRPr="000D2B74">
        <w:t xml:space="preserve"> </w:t>
      </w:r>
      <w:r w:rsidR="00D85307" w:rsidRPr="000D2B74">
        <w:t xml:space="preserve">a stavebního povolení ze dne 23.11.2022, č.j. STAV/22/4747/JM, </w:t>
      </w:r>
      <w:r w:rsidR="00627D1F" w:rsidRPr="000D2B74">
        <w:t xml:space="preserve">za současného příspěvku Prodávajícího odpovídajícího </w:t>
      </w:r>
      <w:r w:rsidR="00524E9A">
        <w:t xml:space="preserve">součtu </w:t>
      </w:r>
      <w:r w:rsidR="00627D1F" w:rsidRPr="000D2B74">
        <w:t>výši Kupní ceny Zařízení 362 372 Kč</w:t>
      </w:r>
      <w:r w:rsidR="00524E9A">
        <w:t xml:space="preserve"> a Kupní ceny projektové dokumentace </w:t>
      </w:r>
      <w:r w:rsidR="006351A7">
        <w:t>98 978</w:t>
      </w:r>
      <w:r w:rsidR="00524E9A" w:rsidRPr="00DF068A">
        <w:t xml:space="preserve"> Kč</w:t>
      </w:r>
      <w:r w:rsidR="00524E9A">
        <w:t>, celkem příspěvek</w:t>
      </w:r>
      <w:r w:rsidR="00AF1B49">
        <w:t xml:space="preserve"> ve výši</w:t>
      </w:r>
      <w:r w:rsidR="00524E9A">
        <w:t xml:space="preserve"> </w:t>
      </w:r>
      <w:r w:rsidR="006351A7">
        <w:t>461 350</w:t>
      </w:r>
      <w:r w:rsidR="00524E9A" w:rsidRPr="00415584">
        <w:t xml:space="preserve"> Kč</w:t>
      </w:r>
      <w:r w:rsidR="00D25A35" w:rsidRPr="000D2B74">
        <w:t>.</w:t>
      </w:r>
    </w:p>
    <w:p w14:paraId="541D336A" w14:textId="77777777" w:rsidR="00A8425D" w:rsidRDefault="00A8425D" w:rsidP="006068E5">
      <w:pPr>
        <w:jc w:val="both"/>
        <w:rPr>
          <w:snapToGrid w:val="0"/>
          <w:szCs w:val="22"/>
        </w:rPr>
      </w:pPr>
    </w:p>
    <w:p w14:paraId="7F4A5A1F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14:paraId="627057B0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0AE0E1AB" w14:textId="77777777"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14:paraId="703E11B8" w14:textId="77777777"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138936318"/>
      <w:r w:rsidRPr="006068E5">
        <w:rPr>
          <w:szCs w:val="22"/>
        </w:rPr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14:paraId="183AAD51" w14:textId="77777777" w:rsidR="00442D07" w:rsidRPr="006068E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138936319"/>
      <w:r w:rsidRPr="006068E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14:paraId="1E17BE71" w14:textId="77777777"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14:paraId="0FF1A981" w14:textId="77777777" w:rsidR="00703B49" w:rsidRPr="002C527E" w:rsidRDefault="004F0F2C" w:rsidP="006068E5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Vodovod</w:t>
      </w:r>
    </w:p>
    <w:p w14:paraId="4C707CDF" w14:textId="77777777" w:rsidR="00D25A35" w:rsidRPr="006068E5" w:rsidRDefault="00D25A35" w:rsidP="00D25A35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Vodovodní řad</w:t>
      </w:r>
      <w:r w:rsidRPr="006068E5">
        <w:rPr>
          <w:szCs w:val="22"/>
        </w:rPr>
        <w:t xml:space="preserve"> umístěn</w:t>
      </w:r>
      <w:r>
        <w:rPr>
          <w:szCs w:val="22"/>
        </w:rPr>
        <w:t>ý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>
        <w:rPr>
          <w:szCs w:val="22"/>
        </w:rPr>
        <w:t xml:space="preserve">63/27, 522/2, 66/1, 62/1, 517/1, 531, 170/9, 179/12, 179/15, 170/6, 170/7, 527/1, 179/36, 179/37, 179/38 a 179/39 v 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Valy, obec Valy,</w:t>
      </w:r>
      <w:r w:rsidRPr="006068E5">
        <w:rPr>
          <w:szCs w:val="22"/>
        </w:rPr>
        <w:t xml:space="preserve"> s následujícím technickými parametry: délka </w:t>
      </w:r>
      <w:r>
        <w:rPr>
          <w:szCs w:val="22"/>
        </w:rPr>
        <w:t>935 m, materiál PVC DN 90.</w:t>
      </w:r>
    </w:p>
    <w:p w14:paraId="12735A72" w14:textId="02B922EF" w:rsidR="00D25A35" w:rsidRDefault="00D25A35" w:rsidP="00D25A35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čj. ŽP/05/886/ZA/D ze dne 4.11.2005 a čj. </w:t>
      </w:r>
      <w:r w:rsidR="00DC2FD1">
        <w:rPr>
          <w:szCs w:val="22"/>
        </w:rPr>
        <w:t xml:space="preserve">OZP/19/3301/ZA </w:t>
      </w:r>
      <w:r>
        <w:rPr>
          <w:szCs w:val="22"/>
        </w:rPr>
        <w:t xml:space="preserve">ze dne </w:t>
      </w:r>
      <w:r w:rsidR="00DC2FD1">
        <w:rPr>
          <w:szCs w:val="22"/>
        </w:rPr>
        <w:t>31.7.2019</w:t>
      </w:r>
      <w:r>
        <w:rPr>
          <w:szCs w:val="22"/>
        </w:rPr>
        <w:t xml:space="preserve"> odborem životního prostředí Městského úřadu v Mariánských Lázních</w:t>
      </w:r>
      <w:r w:rsidRPr="006068E5">
        <w:rPr>
          <w:szCs w:val="22"/>
        </w:rPr>
        <w:t>.</w:t>
      </w:r>
    </w:p>
    <w:p w14:paraId="758AEF6F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bookmarkStart w:id="18" w:name="_Toc138936320"/>
      <w:r w:rsidRPr="006068E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14:paraId="6E10717A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14:paraId="07DE54C7" w14:textId="77777777" w:rsidR="00A8425D" w:rsidRPr="006068E5" w:rsidRDefault="00A8425D" w:rsidP="006068E5">
      <w:pPr>
        <w:pStyle w:val="Normlnodsazen"/>
        <w:jc w:val="both"/>
      </w:pPr>
    </w:p>
    <w:p w14:paraId="776708B7" w14:textId="77777777"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14:paraId="2657914C" w14:textId="77777777" w:rsidR="00627D1F" w:rsidRDefault="00627D1F" w:rsidP="006068E5">
      <w:pPr>
        <w:pStyle w:val="Normlnodsazen"/>
        <w:jc w:val="both"/>
      </w:pPr>
    </w:p>
    <w:p w14:paraId="221B4656" w14:textId="69F952A8" w:rsidR="006B3DFF" w:rsidRPr="00DF068A" w:rsidRDefault="006B3DFF">
      <w:pPr>
        <w:pStyle w:val="Nadpis2"/>
        <w:keepNext w:val="0"/>
        <w:numPr>
          <w:ilvl w:val="1"/>
          <w:numId w:val="3"/>
        </w:numPr>
        <w:jc w:val="both"/>
      </w:pPr>
      <w:r w:rsidRPr="00DF068A">
        <w:t>Projektová dokumentace</w:t>
      </w:r>
    </w:p>
    <w:p w14:paraId="0DF1E389" w14:textId="3306040E" w:rsidR="006B3DFF" w:rsidRPr="00DF068A" w:rsidRDefault="006B3DFF" w:rsidP="006B3DFF">
      <w:pPr>
        <w:pStyle w:val="Nadpis2"/>
        <w:keepNext w:val="0"/>
        <w:numPr>
          <w:ilvl w:val="0"/>
          <w:numId w:val="0"/>
        </w:numPr>
        <w:ind w:left="1134"/>
        <w:jc w:val="both"/>
        <w:rPr>
          <w:b w:val="0"/>
          <w:bCs/>
        </w:rPr>
      </w:pPr>
      <w:r w:rsidRPr="00DF068A">
        <w:rPr>
          <w:b w:val="0"/>
          <w:bCs/>
        </w:rPr>
        <w:t xml:space="preserve">Prodávající pořídil v rámci přípravy realizace přístupové cesty pro údržbu a opravy na objektu ČSOV Valy 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>rojektovou dokumentaci</w:t>
      </w:r>
      <w:r w:rsidR="00492C00" w:rsidRPr="00DF068A">
        <w:rPr>
          <w:b w:val="0"/>
          <w:bCs/>
        </w:rPr>
        <w:t xml:space="preserve">, </w:t>
      </w:r>
      <w:r w:rsidRPr="00DF068A">
        <w:rPr>
          <w:b w:val="0"/>
          <w:bCs/>
        </w:rPr>
        <w:t>která je v jeho vlastnictví</w:t>
      </w:r>
      <w:r w:rsidR="00492C00" w:rsidRPr="00DF068A">
        <w:rPr>
          <w:b w:val="0"/>
          <w:bCs/>
        </w:rPr>
        <w:t xml:space="preserve"> (dále jen „Pro</w:t>
      </w:r>
      <w:r w:rsidR="008E0E8C" w:rsidRPr="00DF068A">
        <w:rPr>
          <w:b w:val="0"/>
          <w:bCs/>
        </w:rPr>
        <w:t>jektová dokumentace“)</w:t>
      </w:r>
      <w:r w:rsidRPr="00DF068A">
        <w:rPr>
          <w:b w:val="0"/>
          <w:bCs/>
        </w:rPr>
        <w:t>.</w:t>
      </w:r>
    </w:p>
    <w:p w14:paraId="3E72AA84" w14:textId="08D66D73" w:rsidR="00573B07" w:rsidRPr="00DF068A" w:rsidRDefault="00573B07" w:rsidP="00DF068A">
      <w:pPr>
        <w:pStyle w:val="Nadpis2"/>
        <w:numPr>
          <w:ilvl w:val="0"/>
          <w:numId w:val="0"/>
        </w:numPr>
        <w:ind w:left="1134"/>
        <w:rPr>
          <w:b w:val="0"/>
          <w:bCs/>
        </w:rPr>
      </w:pPr>
      <w:r w:rsidRPr="00DF068A">
        <w:rPr>
          <w:b w:val="0"/>
          <w:bCs/>
        </w:rPr>
        <w:t xml:space="preserve">Prodávající prohlašuje, že je oprávněným nabyvatelem autorských práv spojených s 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 xml:space="preserve">rojektovou dokumentací, 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 xml:space="preserve">rojektová dokumentace byla zpracována v souladu s právními předpisy a na 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>rojektové dokumentaci a s</w:t>
      </w:r>
      <w:r w:rsidR="008E0E8C" w:rsidRPr="00DF068A">
        <w:rPr>
          <w:b w:val="0"/>
          <w:bCs/>
        </w:rPr>
        <w:t xml:space="preserve"> </w:t>
      </w:r>
      <w:r w:rsidR="00492C00" w:rsidRPr="00DF068A">
        <w:rPr>
          <w:b w:val="0"/>
          <w:bCs/>
        </w:rPr>
        <w:t>n</w:t>
      </w:r>
      <w:r w:rsidRPr="00DF068A">
        <w:rPr>
          <w:b w:val="0"/>
          <w:bCs/>
        </w:rPr>
        <w:t>í spojeným duševním vlastnictvím nevázne žádný dluh či jiný závazek vůči třetí osobě</w:t>
      </w:r>
      <w:r w:rsidR="00492C00" w:rsidRPr="00DF068A">
        <w:rPr>
          <w:b w:val="0"/>
          <w:bCs/>
        </w:rPr>
        <w:t>,</w:t>
      </w:r>
      <w:r w:rsidRPr="00DF068A">
        <w:rPr>
          <w:b w:val="0"/>
          <w:bCs/>
        </w:rPr>
        <w:t xml:space="preserve"> zejména Prodávající nemá v souvislosti se zpracováním 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>rojektové dokumentace žádný závazek vůči jejímu zpracovateli a veškeré pohledávky z toho vyplývající jsou uhrazeny.</w:t>
      </w:r>
    </w:p>
    <w:p w14:paraId="75D79AAD" w14:textId="46D08E0E" w:rsidR="006B3DFF" w:rsidRPr="00DF068A" w:rsidRDefault="006B3DFF" w:rsidP="006B3DFF">
      <w:pPr>
        <w:pStyle w:val="Nadpis2"/>
        <w:keepNext w:val="0"/>
        <w:numPr>
          <w:ilvl w:val="1"/>
          <w:numId w:val="3"/>
        </w:numPr>
        <w:jc w:val="both"/>
        <w:rPr>
          <w:b w:val="0"/>
          <w:bCs/>
        </w:rPr>
      </w:pPr>
      <w:r w:rsidRPr="00DF068A">
        <w:t xml:space="preserve">Převod </w:t>
      </w:r>
      <w:r w:rsidR="00492C00" w:rsidRPr="00DF068A">
        <w:t>P</w:t>
      </w:r>
      <w:r w:rsidR="00573B07" w:rsidRPr="00DF068A">
        <w:t>rojektové dokumentace</w:t>
      </w:r>
    </w:p>
    <w:p w14:paraId="455F28C4" w14:textId="5E036CC4" w:rsidR="00573B07" w:rsidRPr="00DF068A" w:rsidRDefault="00573B07" w:rsidP="006B3DFF">
      <w:pPr>
        <w:pStyle w:val="Nadpis2"/>
        <w:keepNext w:val="0"/>
        <w:numPr>
          <w:ilvl w:val="0"/>
          <w:numId w:val="0"/>
        </w:numPr>
        <w:ind w:left="1134"/>
        <w:jc w:val="both"/>
        <w:rPr>
          <w:b w:val="0"/>
          <w:bCs/>
        </w:rPr>
      </w:pPr>
      <w:r w:rsidRPr="00DF068A">
        <w:rPr>
          <w:b w:val="0"/>
          <w:bCs/>
        </w:rPr>
        <w:t>Prodávající za podmínek uvedených v této Smlouvě převádí své vlastnické právo k 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 xml:space="preserve">rojektové dokumentaci a k projektovým právům s ní spojeným (postoupení licence </w:t>
      </w:r>
      <w:r w:rsidRPr="00DF068A">
        <w:rPr>
          <w:b w:val="0"/>
          <w:bCs/>
        </w:rPr>
        <w:lastRenderedPageBreak/>
        <w:t xml:space="preserve">k užití autorského díla) na Kupujícího. Společně s převodem 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>rojektové dokumentace převádí Prodávající na Kupujícího užívací práva k </w:t>
      </w:r>
      <w:r w:rsidR="00492C00" w:rsidRPr="00DF068A">
        <w:rPr>
          <w:b w:val="0"/>
          <w:bCs/>
        </w:rPr>
        <w:t>P</w:t>
      </w:r>
      <w:r w:rsidRPr="00DF068A">
        <w:rPr>
          <w:b w:val="0"/>
          <w:bCs/>
        </w:rPr>
        <w:t>rojektové dokumentaci ve smyslu zákona č. 121/2000 Sb.</w:t>
      </w:r>
      <w:r w:rsidR="00492C00" w:rsidRPr="00DF068A">
        <w:rPr>
          <w:b w:val="0"/>
          <w:bCs/>
        </w:rPr>
        <w:t>,</w:t>
      </w:r>
      <w:r w:rsidRPr="00DF068A">
        <w:rPr>
          <w:b w:val="0"/>
          <w:bCs/>
        </w:rPr>
        <w:t xml:space="preserve"> </w:t>
      </w:r>
      <w:r w:rsidR="00492C00" w:rsidRPr="00DF068A">
        <w:rPr>
          <w:b w:val="0"/>
          <w:bCs/>
        </w:rPr>
        <w:t>o právu autorském, o právech souvisejících s právem autorským a o změně některých zákonů (autorský zákon), ve znění pozdějších předpisů.</w:t>
      </w:r>
    </w:p>
    <w:p w14:paraId="6768FBDA" w14:textId="77777777" w:rsidR="00573B07" w:rsidRPr="00DF068A" w:rsidRDefault="00573B07" w:rsidP="00573B07">
      <w:pPr>
        <w:pStyle w:val="Normlnodsazen"/>
        <w:jc w:val="both"/>
      </w:pPr>
    </w:p>
    <w:p w14:paraId="435364A1" w14:textId="49B4B8C5" w:rsidR="00573B07" w:rsidRPr="00DF068A" w:rsidRDefault="00573B07" w:rsidP="00573B07">
      <w:pPr>
        <w:pStyle w:val="Normlnodsazen"/>
        <w:jc w:val="both"/>
      </w:pPr>
      <w:r w:rsidRPr="00DF068A">
        <w:t xml:space="preserve">Kupující od Prodávajícího </w:t>
      </w:r>
      <w:r w:rsidR="00492C00" w:rsidRPr="00DF068A">
        <w:t>P</w:t>
      </w:r>
      <w:r w:rsidRPr="00DF068A">
        <w:t>rojektovou dokumentaci a projektová práva s ní spojená bezvýhradně přejímá do svého výlučného vlastnictví a zavazuje se za něj Prodávajícímu zaplatit dohodnutou kupní cenu.</w:t>
      </w:r>
    </w:p>
    <w:p w14:paraId="29B1F20F" w14:textId="77777777" w:rsidR="00573B07" w:rsidRPr="00DF068A" w:rsidRDefault="00573B07" w:rsidP="00573B07">
      <w:pPr>
        <w:pStyle w:val="Normlnodsazen"/>
        <w:jc w:val="both"/>
      </w:pPr>
    </w:p>
    <w:p w14:paraId="09E1A4B2" w14:textId="1BCB7355" w:rsidR="006B3DFF" w:rsidRPr="00DF068A" w:rsidRDefault="00627D1F" w:rsidP="00573B07">
      <w:pPr>
        <w:pStyle w:val="Normlnodsazen"/>
        <w:jc w:val="both"/>
      </w:pPr>
      <w:r w:rsidRPr="00DF068A">
        <w:rPr>
          <w:bCs/>
          <w:szCs w:val="20"/>
        </w:rPr>
        <w:t xml:space="preserve">Prodávající </w:t>
      </w:r>
      <w:r w:rsidR="00573B07" w:rsidRPr="00DF068A">
        <w:t>se zároveň zavazuje</w:t>
      </w:r>
      <w:r w:rsidR="00573B07" w:rsidRPr="00DF068A">
        <w:rPr>
          <w:bCs/>
          <w:szCs w:val="20"/>
        </w:rPr>
        <w:t xml:space="preserve"> poskytnout veškerou součinnost nezbytnou pro realizaci přístupové cesty pro údržbu a opravy na objektu ČSOV, zejména případný převod práv a povinností stavebního povolení ze dne 23.11.2022, č.j. STAV/22/4747/JM.</w:t>
      </w:r>
      <w:r w:rsidRPr="00DF068A">
        <w:rPr>
          <w:bCs/>
          <w:szCs w:val="20"/>
        </w:rPr>
        <w:t xml:space="preserve"> </w:t>
      </w:r>
    </w:p>
    <w:p w14:paraId="46C65E0C" w14:textId="77777777" w:rsidR="00770CF8" w:rsidRPr="00DF068A" w:rsidRDefault="00770CF8" w:rsidP="006068E5">
      <w:pPr>
        <w:pStyle w:val="Normlnodsazen"/>
        <w:jc w:val="both"/>
      </w:pPr>
    </w:p>
    <w:p w14:paraId="4312DF15" w14:textId="77777777" w:rsidR="0030344D" w:rsidRPr="00DF068A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138936321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DF068A">
        <w:rPr>
          <w:szCs w:val="22"/>
        </w:rPr>
        <w:t>Kupní cena</w:t>
      </w:r>
      <w:bookmarkEnd w:id="19"/>
      <w:bookmarkEnd w:id="20"/>
      <w:bookmarkEnd w:id="21"/>
    </w:p>
    <w:p w14:paraId="4604F19C" w14:textId="1B586F29" w:rsidR="005D7F3E" w:rsidRPr="006068E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138936322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 xml:space="preserve">upní ceny </w:t>
      </w:r>
      <w:r w:rsidRPr="00492C00">
        <w:rPr>
          <w:szCs w:val="22"/>
        </w:rPr>
        <w:t>za Zařízení</w:t>
      </w:r>
      <w:bookmarkEnd w:id="29"/>
      <w:bookmarkEnd w:id="30"/>
      <w:bookmarkEnd w:id="31"/>
    </w:p>
    <w:p w14:paraId="46B5C45D" w14:textId="77777777" w:rsidR="005D7F3E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>, která vychází z odhadu čistých peněžních toků po dobu zbytkové životnosti Zařízení s odúročením na současnou hodnotu</w:t>
      </w:r>
      <w:r w:rsidR="00862C9A">
        <w:rPr>
          <w:szCs w:val="22"/>
        </w:rPr>
        <w:t>.</w:t>
      </w:r>
      <w:r w:rsidR="0034290A" w:rsidRPr="006068E5">
        <w:rPr>
          <w:szCs w:val="22"/>
        </w:rPr>
        <w:t xml:space="preserve"> </w:t>
      </w:r>
    </w:p>
    <w:p w14:paraId="0345DBBE" w14:textId="71668103" w:rsidR="006B3DFF" w:rsidRPr="006068E5" w:rsidRDefault="006B3DFF" w:rsidP="006068E5">
      <w:pPr>
        <w:ind w:left="1134"/>
        <w:jc w:val="both"/>
        <w:rPr>
          <w:szCs w:val="22"/>
        </w:rPr>
      </w:pPr>
    </w:p>
    <w:p w14:paraId="463B03B1" w14:textId="75E95271" w:rsidR="0030344D" w:rsidRPr="006068E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138936323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2"/>
      <w:r w:rsidR="0030344D" w:rsidRPr="006068E5">
        <w:rPr>
          <w:szCs w:val="22"/>
        </w:rPr>
        <w:t xml:space="preserve"> </w:t>
      </w:r>
      <w:bookmarkEnd w:id="23"/>
      <w:bookmarkEnd w:id="32"/>
      <w:bookmarkEnd w:id="33"/>
      <w:bookmarkEnd w:id="34"/>
    </w:p>
    <w:p w14:paraId="61098A52" w14:textId="2E69D65D" w:rsidR="00BE2BDA" w:rsidRPr="006068E5" w:rsidRDefault="00740674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</w:t>
      </w:r>
      <w:r w:rsidR="001D44C1">
        <w:rPr>
          <w:szCs w:val="22"/>
        </w:rPr>
        <w:t xml:space="preserve"> se s ohledem na obsah čl. 2.1. </w:t>
      </w:r>
      <w:r w:rsidRPr="006068E5">
        <w:rPr>
          <w:szCs w:val="22"/>
        </w:rPr>
        <w:t>této Smlouvy dohodly na kupní ceně za Zařízení ve výši</w:t>
      </w:r>
      <w:r w:rsidR="0034290A" w:rsidRPr="006068E5">
        <w:rPr>
          <w:szCs w:val="22"/>
        </w:rPr>
        <w:t>:</w:t>
      </w:r>
      <w:r w:rsidRPr="006068E5">
        <w:rPr>
          <w:szCs w:val="22"/>
        </w:rPr>
        <w:t xml:space="preserve"> </w:t>
      </w:r>
      <w:r w:rsidR="00C10AF1">
        <w:rPr>
          <w:b/>
          <w:szCs w:val="22"/>
        </w:rPr>
        <w:t>362 372 </w:t>
      </w:r>
      <w:r w:rsidR="00C636F5" w:rsidRPr="00C636F5">
        <w:rPr>
          <w:b/>
          <w:szCs w:val="22"/>
        </w:rPr>
        <w:t>Kč</w:t>
      </w:r>
      <w:r w:rsidR="0034290A" w:rsidRPr="006068E5">
        <w:rPr>
          <w:szCs w:val="22"/>
        </w:rPr>
        <w:t>, (</w:t>
      </w:r>
      <w:r w:rsidRPr="00C10AF1">
        <w:rPr>
          <w:szCs w:val="22"/>
        </w:rPr>
        <w:t xml:space="preserve">slovy: </w:t>
      </w:r>
      <w:r w:rsidR="00C10AF1">
        <w:rPr>
          <w:szCs w:val="22"/>
        </w:rPr>
        <w:t xml:space="preserve">Tři sta šedesát dva tisíc tři sta sedmdesát dva </w:t>
      </w:r>
      <w:r w:rsidR="0034290A" w:rsidRPr="006068E5">
        <w:rPr>
          <w:szCs w:val="22"/>
        </w:rPr>
        <w:t>k</w:t>
      </w:r>
      <w:r w:rsidRPr="006068E5">
        <w:rPr>
          <w:szCs w:val="22"/>
        </w:rPr>
        <w:t>orun česk</w:t>
      </w:r>
      <w:r w:rsidR="005F26BA">
        <w:rPr>
          <w:szCs w:val="22"/>
        </w:rPr>
        <w:t>ých</w:t>
      </w:r>
      <w:r w:rsidR="00C636F5">
        <w:rPr>
          <w:szCs w:val="22"/>
        </w:rPr>
        <w:t>)</w:t>
      </w:r>
      <w:r w:rsidR="00C0091D">
        <w:rPr>
          <w:szCs w:val="22"/>
        </w:rPr>
        <w:t>.</w:t>
      </w:r>
    </w:p>
    <w:p w14:paraId="460C50A4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0ACD8F13" w14:textId="2D516742" w:rsidR="000D2B74" w:rsidRPr="00DF068A" w:rsidRDefault="00BE2BDA" w:rsidP="00A977A7">
      <w:pPr>
        <w:ind w:left="1134"/>
        <w:jc w:val="both"/>
        <w:rPr>
          <w:szCs w:val="22"/>
        </w:rPr>
      </w:pPr>
      <w:r w:rsidRPr="00DF068A">
        <w:rPr>
          <w:szCs w:val="22"/>
        </w:rPr>
        <w:t>Kupní cena je základem pro stanovení účetních a daňových odpisů Kupujícího (dále jen „</w:t>
      </w:r>
      <w:r w:rsidRPr="00DF068A">
        <w:rPr>
          <w:b/>
          <w:szCs w:val="22"/>
        </w:rPr>
        <w:t>Kupní cena</w:t>
      </w:r>
      <w:r w:rsidR="00492C00" w:rsidRPr="00DF068A">
        <w:rPr>
          <w:b/>
          <w:szCs w:val="22"/>
        </w:rPr>
        <w:t xml:space="preserve"> za Zařízení</w:t>
      </w:r>
      <w:r w:rsidRPr="00DF068A">
        <w:rPr>
          <w:szCs w:val="22"/>
        </w:rPr>
        <w:t>“).</w:t>
      </w:r>
    </w:p>
    <w:p w14:paraId="3EADF212" w14:textId="22D28A22" w:rsidR="00924F01" w:rsidRDefault="00492C00" w:rsidP="00A977A7">
      <w:pPr>
        <w:ind w:left="1134"/>
        <w:jc w:val="both"/>
        <w:rPr>
          <w:szCs w:val="22"/>
        </w:rPr>
      </w:pPr>
      <w:r w:rsidRPr="00DF068A">
        <w:rPr>
          <w:szCs w:val="22"/>
        </w:rPr>
        <w:t xml:space="preserve">Kupní cena za převod </w:t>
      </w:r>
      <w:r w:rsidRPr="00DF068A">
        <w:rPr>
          <w:bCs/>
        </w:rPr>
        <w:t xml:space="preserve">Projektové dokumentace činí </w:t>
      </w:r>
      <w:r w:rsidR="006351A7" w:rsidRPr="00DF068A">
        <w:rPr>
          <w:b/>
        </w:rPr>
        <w:t>98 978</w:t>
      </w:r>
      <w:r w:rsidRPr="00DF068A">
        <w:rPr>
          <w:bCs/>
        </w:rPr>
        <w:t xml:space="preserve"> Kč </w:t>
      </w:r>
      <w:r w:rsidRPr="00DF068A">
        <w:rPr>
          <w:szCs w:val="22"/>
        </w:rPr>
        <w:t>(dále jen „</w:t>
      </w:r>
      <w:bookmarkStart w:id="35" w:name="_Hlk146056272"/>
      <w:r w:rsidRPr="00DF068A">
        <w:rPr>
          <w:b/>
          <w:szCs w:val="22"/>
        </w:rPr>
        <w:t>Kupní cena za Projektovou dokumentaci</w:t>
      </w:r>
      <w:bookmarkEnd w:id="35"/>
      <w:r w:rsidRPr="00DF068A">
        <w:rPr>
          <w:szCs w:val="22"/>
        </w:rPr>
        <w:t>“)</w:t>
      </w:r>
      <w:r w:rsidRPr="00DF068A">
        <w:rPr>
          <w:bCs/>
        </w:rPr>
        <w:t>.</w:t>
      </w:r>
    </w:p>
    <w:p w14:paraId="4F6CE336" w14:textId="71693EB9" w:rsidR="0030344D" w:rsidRPr="00DF068A" w:rsidRDefault="00513D7E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36" w:name="_Toc338331308"/>
      <w:bookmarkStart w:id="37" w:name="_Toc361905960"/>
      <w:bookmarkStart w:id="38" w:name="_Toc400524827"/>
      <w:bookmarkStart w:id="39" w:name="_Toc138936324"/>
      <w:r w:rsidRPr="00DF068A">
        <w:rPr>
          <w:szCs w:val="22"/>
        </w:rPr>
        <w:t>Splatnost</w:t>
      </w:r>
      <w:r w:rsidR="00923521" w:rsidRPr="00DF068A">
        <w:rPr>
          <w:szCs w:val="22"/>
        </w:rPr>
        <w:t xml:space="preserve"> K</w:t>
      </w:r>
      <w:r w:rsidR="0030344D" w:rsidRPr="00DF068A">
        <w:rPr>
          <w:szCs w:val="22"/>
        </w:rPr>
        <w:t>upní ceny</w:t>
      </w:r>
      <w:bookmarkEnd w:id="24"/>
      <w:bookmarkEnd w:id="25"/>
      <w:bookmarkEnd w:id="26"/>
      <w:r w:rsidR="0030344D" w:rsidRPr="00DF068A">
        <w:rPr>
          <w:szCs w:val="22"/>
        </w:rPr>
        <w:t xml:space="preserve"> </w:t>
      </w:r>
      <w:bookmarkEnd w:id="36"/>
      <w:r w:rsidR="0030344D" w:rsidRPr="00DF068A">
        <w:rPr>
          <w:szCs w:val="22"/>
        </w:rPr>
        <w:t>za Zařízení</w:t>
      </w:r>
      <w:bookmarkEnd w:id="37"/>
      <w:bookmarkEnd w:id="38"/>
      <w:bookmarkEnd w:id="39"/>
      <w:r w:rsidR="00492C00" w:rsidRPr="00DF068A">
        <w:rPr>
          <w:szCs w:val="22"/>
        </w:rPr>
        <w:t xml:space="preserve"> a Kupní ceny za Projektovou dokumentaci</w:t>
      </w:r>
      <w:r w:rsidR="00581AEB" w:rsidRPr="00DF068A">
        <w:rPr>
          <w:szCs w:val="22"/>
        </w:rPr>
        <w:t xml:space="preserve"> (vzájemný</w:t>
      </w:r>
      <w:r w:rsidR="001B4572" w:rsidRPr="00DF068A">
        <w:rPr>
          <w:szCs w:val="22"/>
        </w:rPr>
        <w:t>m</w:t>
      </w:r>
      <w:r w:rsidR="00581AEB" w:rsidRPr="00DF068A">
        <w:rPr>
          <w:szCs w:val="22"/>
        </w:rPr>
        <w:t xml:space="preserve"> zápočt</w:t>
      </w:r>
      <w:r w:rsidR="001B4572" w:rsidRPr="00DF068A">
        <w:rPr>
          <w:szCs w:val="22"/>
        </w:rPr>
        <w:t>em</w:t>
      </w:r>
      <w:r w:rsidR="00581AEB" w:rsidRPr="00DF068A">
        <w:rPr>
          <w:szCs w:val="22"/>
        </w:rPr>
        <w:t xml:space="preserve"> závazku a pohledávky</w:t>
      </w:r>
      <w:r w:rsidR="001B4572" w:rsidRPr="00DF068A">
        <w:rPr>
          <w:szCs w:val="22"/>
        </w:rPr>
        <w:t xml:space="preserve"> na základě vystavených faktur</w:t>
      </w:r>
      <w:r w:rsidR="00581AEB" w:rsidRPr="00DF068A">
        <w:rPr>
          <w:szCs w:val="22"/>
        </w:rPr>
        <w:t>)</w:t>
      </w:r>
    </w:p>
    <w:p w14:paraId="1F556D8E" w14:textId="7DC51693" w:rsidR="00A8425D" w:rsidRPr="00DF068A" w:rsidRDefault="0027762C" w:rsidP="006068E5">
      <w:pPr>
        <w:ind w:left="1134"/>
        <w:jc w:val="both"/>
        <w:rPr>
          <w:szCs w:val="22"/>
        </w:rPr>
      </w:pPr>
      <w:r w:rsidRPr="00DF068A">
        <w:rPr>
          <w:szCs w:val="22"/>
        </w:rPr>
        <w:t xml:space="preserve">Prodávající a Kupující se dohodli, že výše </w:t>
      </w:r>
      <w:r w:rsidR="00B85BE4" w:rsidRPr="00DF068A">
        <w:rPr>
          <w:szCs w:val="22"/>
        </w:rPr>
        <w:t>Kupní cen</w:t>
      </w:r>
      <w:r w:rsidRPr="00DF068A">
        <w:rPr>
          <w:szCs w:val="22"/>
        </w:rPr>
        <w:t xml:space="preserve">y </w:t>
      </w:r>
      <w:r w:rsidR="00492C00" w:rsidRPr="00DF068A">
        <w:rPr>
          <w:szCs w:val="22"/>
        </w:rPr>
        <w:t xml:space="preserve">za </w:t>
      </w:r>
      <w:r w:rsidRPr="00DF068A">
        <w:rPr>
          <w:szCs w:val="22"/>
        </w:rPr>
        <w:t>Zařízení</w:t>
      </w:r>
      <w:r w:rsidR="00B85BE4" w:rsidRPr="00DF068A">
        <w:rPr>
          <w:szCs w:val="22"/>
        </w:rPr>
        <w:t xml:space="preserve"> </w:t>
      </w:r>
      <w:r w:rsidR="00492C00" w:rsidRPr="00DF068A">
        <w:rPr>
          <w:szCs w:val="22"/>
        </w:rPr>
        <w:t xml:space="preserve">a Kupní ceny za Projektovou dokumentaci </w:t>
      </w:r>
      <w:r w:rsidRPr="00DF068A">
        <w:rPr>
          <w:szCs w:val="22"/>
        </w:rPr>
        <w:t xml:space="preserve">dle čl. 2.2. </w:t>
      </w:r>
      <w:r w:rsidR="00B85BE4" w:rsidRPr="00DF068A">
        <w:rPr>
          <w:szCs w:val="22"/>
        </w:rPr>
        <w:t>bude</w:t>
      </w:r>
      <w:r w:rsidRPr="00DF068A">
        <w:rPr>
          <w:szCs w:val="22"/>
        </w:rPr>
        <w:t xml:space="preserve"> v plné výši</w:t>
      </w:r>
      <w:r w:rsidR="00B85BE4" w:rsidRPr="00DF068A">
        <w:rPr>
          <w:szCs w:val="22"/>
        </w:rPr>
        <w:t xml:space="preserve"> </w:t>
      </w:r>
      <w:r w:rsidR="00581AEB" w:rsidRPr="00DF068A">
        <w:rPr>
          <w:szCs w:val="22"/>
        </w:rPr>
        <w:t xml:space="preserve">použita jako příspěvek </w:t>
      </w:r>
      <w:r w:rsidR="00627D1F" w:rsidRPr="00DF068A">
        <w:rPr>
          <w:szCs w:val="22"/>
        </w:rPr>
        <w:t>Prodávajícího</w:t>
      </w:r>
      <w:r w:rsidR="00B85BE4" w:rsidRPr="00DF068A">
        <w:rPr>
          <w:szCs w:val="22"/>
        </w:rPr>
        <w:t xml:space="preserve"> </w:t>
      </w:r>
      <w:r w:rsidR="00581AEB" w:rsidRPr="00DF068A">
        <w:rPr>
          <w:szCs w:val="22"/>
        </w:rPr>
        <w:t>n</w:t>
      </w:r>
      <w:r w:rsidR="00B85BE4" w:rsidRPr="00DF068A">
        <w:rPr>
          <w:szCs w:val="22"/>
        </w:rPr>
        <w:t xml:space="preserve">a vybudování přístupové cesty </w:t>
      </w:r>
      <w:r w:rsidR="00627D1F" w:rsidRPr="00DF068A">
        <w:t xml:space="preserve">pro údržbu a opravy na objektu </w:t>
      </w:r>
      <w:r w:rsidR="00B85BE4" w:rsidRPr="00DF068A">
        <w:rPr>
          <w:szCs w:val="22"/>
        </w:rPr>
        <w:t>ČSOV</w:t>
      </w:r>
      <w:r w:rsidR="00627D1F" w:rsidRPr="00DF068A">
        <w:rPr>
          <w:szCs w:val="22"/>
        </w:rPr>
        <w:t>,</w:t>
      </w:r>
      <w:r w:rsidR="00B85BE4" w:rsidRPr="00DF068A">
        <w:rPr>
          <w:szCs w:val="22"/>
        </w:rPr>
        <w:t xml:space="preserve"> viz bod (D)</w:t>
      </w:r>
      <w:r w:rsidRPr="00DF068A">
        <w:rPr>
          <w:szCs w:val="22"/>
        </w:rPr>
        <w:t xml:space="preserve"> preambule</w:t>
      </w:r>
      <w:r w:rsidR="00B85BE4" w:rsidRPr="00DF068A">
        <w:rPr>
          <w:szCs w:val="22"/>
        </w:rPr>
        <w:t>.</w:t>
      </w:r>
    </w:p>
    <w:p w14:paraId="07D36677" w14:textId="77777777" w:rsidR="00A8425D" w:rsidRPr="00DF068A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40" w:name="_Toc216075049"/>
      <w:bookmarkStart w:id="41" w:name="_Toc361905961"/>
      <w:bookmarkStart w:id="42" w:name="_Toc400524828"/>
      <w:bookmarkStart w:id="43" w:name="_Toc138936325"/>
      <w:r w:rsidRPr="00DF068A">
        <w:rPr>
          <w:szCs w:val="22"/>
        </w:rPr>
        <w:t>Stav převáděného Zařízení</w:t>
      </w:r>
      <w:bookmarkEnd w:id="27"/>
      <w:bookmarkEnd w:id="28"/>
      <w:bookmarkEnd w:id="40"/>
      <w:bookmarkEnd w:id="41"/>
      <w:bookmarkEnd w:id="42"/>
      <w:bookmarkEnd w:id="43"/>
    </w:p>
    <w:p w14:paraId="1270D157" w14:textId="505762D3" w:rsidR="00A8425D" w:rsidRPr="00A977A7" w:rsidRDefault="00BE2BDA" w:rsidP="00DF068A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44" w:name="_Toc361905962"/>
      <w:bookmarkStart w:id="45" w:name="_Toc400524829"/>
      <w:bookmarkStart w:id="46" w:name="_Toc138936326"/>
      <w:r w:rsidRPr="006068E5">
        <w:rPr>
          <w:szCs w:val="22"/>
        </w:rPr>
        <w:t>Prohlášení Prodávajícího</w:t>
      </w:r>
      <w:bookmarkEnd w:id="44"/>
      <w:bookmarkEnd w:id="45"/>
      <w:bookmarkEnd w:id="46"/>
    </w:p>
    <w:p w14:paraId="0D1BBF70" w14:textId="77777777"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14:paraId="7C8BF471" w14:textId="77777777" w:rsidR="00A8425D" w:rsidRPr="006068E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7" w:name="_Toc151807353"/>
      <w:bookmarkStart w:id="48" w:name="_Toc215932924"/>
      <w:bookmarkStart w:id="49" w:name="_Toc216075051"/>
      <w:bookmarkStart w:id="50" w:name="_Toc361905963"/>
      <w:bookmarkStart w:id="51" w:name="_Toc400524830"/>
      <w:bookmarkStart w:id="52" w:name="_Toc138936327"/>
      <w:r w:rsidRPr="006068E5">
        <w:rPr>
          <w:szCs w:val="22"/>
        </w:rPr>
        <w:t>Prohlášení Kupující</w:t>
      </w:r>
      <w:bookmarkEnd w:id="47"/>
      <w:bookmarkEnd w:id="48"/>
      <w:bookmarkEnd w:id="49"/>
      <w:r w:rsidR="0030344D" w:rsidRPr="006068E5">
        <w:rPr>
          <w:szCs w:val="22"/>
        </w:rPr>
        <w:t>ho</w:t>
      </w:r>
      <w:bookmarkEnd w:id="50"/>
      <w:bookmarkEnd w:id="51"/>
      <w:bookmarkEnd w:id="52"/>
    </w:p>
    <w:p w14:paraId="202D7B34" w14:textId="43770B00"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>, že se</w:t>
      </w:r>
      <w:r w:rsidR="00A977A7">
        <w:t xml:space="preserve"> se</w:t>
      </w:r>
      <w:r w:rsidR="002127EF">
        <w:t xml:space="preserve"> </w:t>
      </w:r>
      <w:r w:rsidRPr="006068E5">
        <w:t xml:space="preserve">stavem Zařízení </w:t>
      </w:r>
      <w:r w:rsidR="00740674" w:rsidRPr="006068E5">
        <w:t>seznámil v</w:t>
      </w:r>
      <w:r w:rsidR="007903D6">
        <w:t> </w:t>
      </w:r>
      <w:r w:rsidR="00740674" w:rsidRPr="006068E5">
        <w:t xml:space="preserve">rámci procesu stanovení Kupní ceny Zařízení dle čl. 2.1. této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14:paraId="0BDC3FF4" w14:textId="77777777" w:rsidR="00A8425D" w:rsidRPr="006068E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53" w:name="_Toc124265328"/>
      <w:bookmarkStart w:id="54" w:name="_Toc125178007"/>
      <w:bookmarkStart w:id="55" w:name="_Toc151807354"/>
      <w:bookmarkStart w:id="56" w:name="_Toc215932925"/>
      <w:bookmarkStart w:id="57" w:name="_Toc216075052"/>
      <w:bookmarkStart w:id="58" w:name="_Toc361905964"/>
      <w:bookmarkStart w:id="59" w:name="_Toc400524831"/>
      <w:bookmarkStart w:id="60" w:name="_Toc138936328"/>
      <w:r w:rsidRPr="006068E5">
        <w:rPr>
          <w:szCs w:val="22"/>
        </w:rPr>
        <w:lastRenderedPageBreak/>
        <w:t>Okamžik převodu vlastnického práva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1B8E20C0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68B2690" w14:textId="48EDCA61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</w:t>
      </w:r>
      <w:r w:rsidR="007903D6">
        <w:rPr>
          <w:szCs w:val="22"/>
        </w:rPr>
        <w:t> </w:t>
      </w:r>
      <w:r w:rsidRPr="006068E5">
        <w:rPr>
          <w:szCs w:val="22"/>
        </w:rPr>
        <w:t>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14:paraId="135340BA" w14:textId="6579BABC" w:rsidR="00BE2BDA" w:rsidRPr="006068E5" w:rsidRDefault="00BE2BDA" w:rsidP="006068E5">
      <w:pPr>
        <w:pStyle w:val="Nadpis1"/>
        <w:jc w:val="both"/>
        <w:rPr>
          <w:szCs w:val="22"/>
        </w:rPr>
      </w:pPr>
      <w:bookmarkStart w:id="61" w:name="_Toc361905965"/>
      <w:bookmarkStart w:id="62" w:name="_Toc400524832"/>
      <w:bookmarkStart w:id="63" w:name="_Toc138936329"/>
      <w:r w:rsidRPr="006068E5">
        <w:rPr>
          <w:szCs w:val="22"/>
        </w:rPr>
        <w:t>Doklady k</w:t>
      </w:r>
      <w:r w:rsidR="007903D6">
        <w:rPr>
          <w:szCs w:val="22"/>
        </w:rPr>
        <w:t> </w:t>
      </w:r>
      <w:r w:rsidRPr="006068E5">
        <w:rPr>
          <w:szCs w:val="22"/>
        </w:rPr>
        <w:t>Zařízení</w:t>
      </w:r>
      <w:bookmarkEnd w:id="61"/>
      <w:bookmarkEnd w:id="62"/>
      <w:bookmarkEnd w:id="63"/>
    </w:p>
    <w:p w14:paraId="7BE6CDF3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75D623C9" w14:textId="3C4A076F" w:rsidR="00341847" w:rsidRDefault="00BE2BDA" w:rsidP="00341847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7903D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>Situace Zařízení je přílohou č.1 této smlouvy.</w:t>
      </w:r>
    </w:p>
    <w:p w14:paraId="69F496E3" w14:textId="77777777" w:rsidR="00EE61D5" w:rsidRDefault="00EE61D5" w:rsidP="00341847">
      <w:pPr>
        <w:ind w:left="1134"/>
        <w:jc w:val="both"/>
        <w:rPr>
          <w:color w:val="FF0000"/>
          <w:szCs w:val="22"/>
        </w:rPr>
      </w:pPr>
    </w:p>
    <w:p w14:paraId="6F1FFCE1" w14:textId="77777777" w:rsidR="00BE2BDA" w:rsidRPr="006068E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4" w:name="_Toc361905966"/>
      <w:bookmarkStart w:id="65" w:name="_Toc400524833"/>
      <w:bookmarkStart w:id="66" w:name="_Toc138936330"/>
      <w:bookmarkStart w:id="67" w:name="_Toc151807355"/>
      <w:bookmarkStart w:id="68" w:name="_Toc215932926"/>
      <w:bookmarkStart w:id="69" w:name="_Toc216075053"/>
      <w:r w:rsidRPr="006068E5">
        <w:rPr>
          <w:szCs w:val="22"/>
        </w:rPr>
        <w:t>Záruka na Zařízení</w:t>
      </w:r>
      <w:bookmarkEnd w:id="64"/>
      <w:bookmarkEnd w:id="65"/>
      <w:bookmarkEnd w:id="66"/>
    </w:p>
    <w:p w14:paraId="39352CCA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48040E56" w14:textId="7F0BF1E1" w:rsidR="00BE2BDA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>způsobilé pro použití k</w:t>
      </w:r>
      <w:r w:rsidR="007903D6">
        <w:rPr>
          <w:szCs w:val="22"/>
        </w:rPr>
        <w:t> </w:t>
      </w:r>
      <w:r w:rsidRPr="006068E5">
        <w:rPr>
          <w:szCs w:val="22"/>
        </w:rPr>
        <w:t xml:space="preserve">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 obvyklé vlastnosti odpovídající vodohospodářskému dílu. </w:t>
      </w:r>
    </w:p>
    <w:p w14:paraId="5EA6C19F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70" w:name="_Toc361905967"/>
      <w:bookmarkStart w:id="71" w:name="_Toc400524834"/>
      <w:bookmarkStart w:id="72" w:name="_Toc138936331"/>
      <w:r w:rsidRPr="006068E5">
        <w:rPr>
          <w:szCs w:val="22"/>
        </w:rPr>
        <w:t>Odstoupení od Smlouvy</w:t>
      </w:r>
      <w:bookmarkEnd w:id="70"/>
      <w:bookmarkEnd w:id="71"/>
      <w:bookmarkEnd w:id="72"/>
      <w:r w:rsidRPr="006068E5">
        <w:rPr>
          <w:szCs w:val="22"/>
        </w:rPr>
        <w:t xml:space="preserve"> </w:t>
      </w:r>
    </w:p>
    <w:p w14:paraId="3E5EDC6F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583B68D6" w14:textId="4BC8B60D"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Kupující je oprávněn odstoupit od této Smlouvy v</w:t>
      </w:r>
      <w:r w:rsidR="007903D6">
        <w:rPr>
          <w:szCs w:val="22"/>
        </w:rPr>
        <w:t> </w:t>
      </w:r>
      <w:r w:rsidRPr="006068E5">
        <w:rPr>
          <w:szCs w:val="22"/>
        </w:rPr>
        <w:t>případě porušení závazků Prodávajícího uvedených v</w:t>
      </w:r>
      <w:r w:rsidR="007903D6">
        <w:rPr>
          <w:szCs w:val="22"/>
        </w:rPr>
        <w:t> </w:t>
      </w:r>
      <w:r w:rsidRPr="006068E5">
        <w:rPr>
          <w:szCs w:val="22"/>
        </w:rPr>
        <w:t xml:space="preserve">čl. </w:t>
      </w:r>
      <w:r w:rsidR="00740674" w:rsidRPr="006068E5">
        <w:rPr>
          <w:szCs w:val="22"/>
        </w:rPr>
        <w:t xml:space="preserve">3.1. resp.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14:paraId="7A31C3C3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23010DD" w14:textId="6DFCF593"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Odstoupení je účinné okamžikem jeho doručení Prodávajícímu. V</w:t>
      </w:r>
      <w:r w:rsidR="007903D6">
        <w:rPr>
          <w:szCs w:val="22"/>
        </w:rPr>
        <w:t> </w:t>
      </w:r>
      <w:r w:rsidRPr="006068E5">
        <w:rPr>
          <w:szCs w:val="22"/>
        </w:rPr>
        <w:t xml:space="preserve">případě odstoupení od této Smlouvy si Smluvní strany bez zbytečného prodlení vrátí poskytnutá plnění. </w:t>
      </w:r>
    </w:p>
    <w:p w14:paraId="6903E665" w14:textId="76A15A91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3" w:name="_Toc361905968"/>
      <w:bookmarkStart w:id="74" w:name="_Toc400524835"/>
      <w:bookmarkStart w:id="75" w:name="_Toc138936332"/>
      <w:r w:rsidRPr="006068E5">
        <w:rPr>
          <w:szCs w:val="22"/>
        </w:rPr>
        <w:t>Změna Smlouvy</w:t>
      </w:r>
      <w:bookmarkEnd w:id="67"/>
      <w:bookmarkEnd w:id="68"/>
      <w:bookmarkEnd w:id="69"/>
      <w:bookmarkEnd w:id="73"/>
      <w:bookmarkEnd w:id="74"/>
      <w:bookmarkEnd w:id="75"/>
    </w:p>
    <w:p w14:paraId="55AA910C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B8B69D5" w14:textId="00A797C5"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</w:t>
      </w:r>
      <w:r w:rsidR="007903D6">
        <w:rPr>
          <w:szCs w:val="22"/>
        </w:rPr>
        <w:t> </w:t>
      </w:r>
      <w:r w:rsidRPr="006068E5">
        <w:rPr>
          <w:szCs w:val="22"/>
        </w:rPr>
        <w:t>podpisy Smluvních stran na téže listině ve formě číslovaných dodatků Smlouvy.</w:t>
      </w:r>
      <w:bookmarkStart w:id="76" w:name="_Toc124265331"/>
      <w:bookmarkStart w:id="77" w:name="_Toc125178008"/>
      <w:bookmarkStart w:id="78" w:name="_Toc151807359"/>
      <w:bookmarkStart w:id="79" w:name="_Toc215932929"/>
      <w:bookmarkStart w:id="80" w:name="_Toc216075056"/>
    </w:p>
    <w:p w14:paraId="7E67B624" w14:textId="77777777" w:rsidR="002E7011" w:rsidRDefault="002E7011" w:rsidP="00020DC2">
      <w:pPr>
        <w:pStyle w:val="bezslovn"/>
        <w:jc w:val="both"/>
        <w:rPr>
          <w:szCs w:val="22"/>
        </w:rPr>
      </w:pPr>
    </w:p>
    <w:p w14:paraId="43F550E8" w14:textId="7535A1D1" w:rsidR="00AF1533" w:rsidRPr="00A977A7" w:rsidRDefault="002E7011" w:rsidP="00DF068A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81" w:name="_Toc138936333"/>
      <w:r>
        <w:rPr>
          <w:szCs w:val="22"/>
        </w:rPr>
        <w:t xml:space="preserve">Korekce plnění </w:t>
      </w:r>
      <w:r w:rsidR="00AD67A5">
        <w:rPr>
          <w:szCs w:val="22"/>
        </w:rPr>
        <w:t>S</w:t>
      </w:r>
      <w:r>
        <w:rPr>
          <w:szCs w:val="22"/>
        </w:rPr>
        <w:t>mlouvy</w:t>
      </w:r>
      <w:bookmarkEnd w:id="81"/>
    </w:p>
    <w:p w14:paraId="352DB1B8" w14:textId="337CAA89" w:rsidR="00902599" w:rsidRPr="00902599" w:rsidRDefault="00902599" w:rsidP="002E7011">
      <w:pPr>
        <w:pStyle w:val="Nadpis2"/>
        <w:keepNext w:val="0"/>
        <w:numPr>
          <w:ilvl w:val="1"/>
          <w:numId w:val="3"/>
        </w:numPr>
        <w:jc w:val="both"/>
        <w:rPr>
          <w:b w:val="0"/>
          <w:szCs w:val="22"/>
        </w:rPr>
      </w:pPr>
      <w:bookmarkStart w:id="82" w:name="_Toc138936334"/>
      <w:bookmarkStart w:id="83" w:name="_Toc50007489"/>
      <w:r w:rsidRPr="00902599">
        <w:rPr>
          <w:b w:val="0"/>
          <w:szCs w:val="22"/>
        </w:rPr>
        <w:t xml:space="preserve">Smluvní strany jsou si vědomy toho, že podkladem pro uzavření této Smlouvy </w:t>
      </w:r>
      <w:r w:rsidR="004816F5">
        <w:rPr>
          <w:b w:val="0"/>
          <w:szCs w:val="22"/>
        </w:rPr>
        <w:t xml:space="preserve">a stanovení Kupní ceny </w:t>
      </w:r>
      <w:r w:rsidRPr="00902599">
        <w:rPr>
          <w:b w:val="0"/>
          <w:szCs w:val="22"/>
        </w:rPr>
        <w:t xml:space="preserve">je počet </w:t>
      </w:r>
      <w:r w:rsidR="004816F5">
        <w:rPr>
          <w:b w:val="0"/>
          <w:szCs w:val="22"/>
        </w:rPr>
        <w:t>při</w:t>
      </w:r>
      <w:r w:rsidRPr="00902599">
        <w:rPr>
          <w:b w:val="0"/>
          <w:szCs w:val="22"/>
        </w:rPr>
        <w:t>pojených osob s</w:t>
      </w:r>
      <w:r w:rsidR="007903D6">
        <w:rPr>
          <w:b w:val="0"/>
          <w:szCs w:val="22"/>
        </w:rPr>
        <w:t> </w:t>
      </w:r>
      <w:r w:rsidRPr="00902599">
        <w:rPr>
          <w:b w:val="0"/>
          <w:szCs w:val="22"/>
        </w:rPr>
        <w:t xml:space="preserve">tím, že při uzavírání této smlouvy je uvažováno o </w:t>
      </w:r>
      <w:r w:rsidR="00B85BE4">
        <w:rPr>
          <w:b w:val="0"/>
          <w:szCs w:val="24"/>
        </w:rPr>
        <w:t>73</w:t>
      </w:r>
      <w:r w:rsidR="00B85BE4" w:rsidRPr="00902599">
        <w:rPr>
          <w:b w:val="0"/>
          <w:szCs w:val="22"/>
        </w:rPr>
        <w:t xml:space="preserve"> </w:t>
      </w:r>
      <w:r w:rsidRPr="00902599">
        <w:rPr>
          <w:b w:val="0"/>
          <w:szCs w:val="22"/>
        </w:rPr>
        <w:t xml:space="preserve">osobách </w:t>
      </w:r>
      <w:r w:rsidR="004816F5">
        <w:rPr>
          <w:b w:val="0"/>
          <w:szCs w:val="22"/>
        </w:rPr>
        <w:t>připojených</w:t>
      </w:r>
      <w:r w:rsidRPr="00902599">
        <w:rPr>
          <w:b w:val="0"/>
          <w:szCs w:val="22"/>
        </w:rPr>
        <w:t xml:space="preserve"> na vodovod s</w:t>
      </w:r>
      <w:r w:rsidR="007903D6">
        <w:rPr>
          <w:b w:val="0"/>
          <w:szCs w:val="22"/>
        </w:rPr>
        <w:t> </w:t>
      </w:r>
      <w:r w:rsidR="004816F5">
        <w:rPr>
          <w:b w:val="0"/>
          <w:szCs w:val="22"/>
        </w:rPr>
        <w:t xml:space="preserve">očekávanou </w:t>
      </w:r>
      <w:r w:rsidRPr="00902599">
        <w:rPr>
          <w:b w:val="0"/>
          <w:szCs w:val="22"/>
        </w:rPr>
        <w:t xml:space="preserve">spotřebou osoby za rok </w:t>
      </w:r>
      <w:r w:rsidR="00B85BE4">
        <w:rPr>
          <w:b w:val="0"/>
          <w:szCs w:val="24"/>
        </w:rPr>
        <w:t>28,</w:t>
      </w:r>
      <w:r w:rsidR="00DF068A">
        <w:rPr>
          <w:b w:val="0"/>
          <w:szCs w:val="24"/>
        </w:rPr>
        <w:t>43</w:t>
      </w:r>
      <w:r w:rsidR="00B85BE4" w:rsidRPr="00902599">
        <w:rPr>
          <w:b w:val="0"/>
          <w:szCs w:val="22"/>
        </w:rPr>
        <w:t xml:space="preserve"> </w:t>
      </w:r>
      <w:r w:rsidRPr="00902599">
        <w:rPr>
          <w:b w:val="0"/>
          <w:szCs w:val="22"/>
        </w:rPr>
        <w:t>m</w:t>
      </w:r>
      <w:r w:rsidRPr="00902599">
        <w:rPr>
          <w:b w:val="0"/>
          <w:szCs w:val="22"/>
          <w:vertAlign w:val="superscript"/>
        </w:rPr>
        <w:t>3</w:t>
      </w:r>
      <w:r w:rsidR="007903D6">
        <w:rPr>
          <w:b w:val="0"/>
          <w:szCs w:val="22"/>
        </w:rPr>
        <w:t xml:space="preserve"> na osobu</w:t>
      </w:r>
      <w:r w:rsidRPr="00902599">
        <w:rPr>
          <w:b w:val="0"/>
          <w:szCs w:val="22"/>
        </w:rPr>
        <w:t>.</w:t>
      </w:r>
      <w:bookmarkEnd w:id="82"/>
      <w:r w:rsidRPr="00902599">
        <w:rPr>
          <w:b w:val="0"/>
          <w:szCs w:val="22"/>
          <w:vertAlign w:val="superscript"/>
        </w:rPr>
        <w:t xml:space="preserve"> </w:t>
      </w:r>
      <w:bookmarkEnd w:id="83"/>
    </w:p>
    <w:p w14:paraId="3507A6BA" w14:textId="580C00C4" w:rsidR="002E7011" w:rsidRDefault="002E7011" w:rsidP="002E7011">
      <w:pPr>
        <w:pStyle w:val="Nadpis2"/>
        <w:keepNext w:val="0"/>
        <w:numPr>
          <w:ilvl w:val="1"/>
          <w:numId w:val="3"/>
        </w:numPr>
        <w:jc w:val="both"/>
        <w:rPr>
          <w:b w:val="0"/>
          <w:szCs w:val="22"/>
        </w:rPr>
      </w:pPr>
      <w:bookmarkStart w:id="84" w:name="_Toc50007490"/>
      <w:bookmarkStart w:id="85" w:name="_Toc138936335"/>
      <w:r w:rsidRPr="002E7011">
        <w:rPr>
          <w:b w:val="0"/>
          <w:szCs w:val="22"/>
        </w:rPr>
        <w:t xml:space="preserve">Smluvní strany mají </w:t>
      </w:r>
      <w:r w:rsidR="004816F5">
        <w:rPr>
          <w:b w:val="0"/>
          <w:szCs w:val="22"/>
        </w:rPr>
        <w:t xml:space="preserve">s ohledem na pravidla veřejné podpory povinnost </w:t>
      </w:r>
      <w:r w:rsidRPr="002E7011">
        <w:rPr>
          <w:b w:val="0"/>
          <w:szCs w:val="22"/>
        </w:rPr>
        <w:t>průběžné</w:t>
      </w:r>
      <w:r w:rsidR="004816F5">
        <w:rPr>
          <w:b w:val="0"/>
          <w:szCs w:val="22"/>
        </w:rPr>
        <w:t>ho</w:t>
      </w:r>
      <w:r w:rsidRPr="002E7011">
        <w:rPr>
          <w:b w:val="0"/>
          <w:szCs w:val="22"/>
        </w:rPr>
        <w:t xml:space="preserve"> prověřování toho, zda došlo k naplnění předpokladů při uzavírání Smlouvy</w:t>
      </w:r>
      <w:r w:rsidR="004816F5">
        <w:rPr>
          <w:b w:val="0"/>
          <w:szCs w:val="22"/>
        </w:rPr>
        <w:t>, a to</w:t>
      </w:r>
      <w:r w:rsidRPr="002E7011">
        <w:rPr>
          <w:b w:val="0"/>
          <w:szCs w:val="22"/>
        </w:rPr>
        <w:t xml:space="preserve"> </w:t>
      </w:r>
      <w:r w:rsidR="004816F5">
        <w:rPr>
          <w:b w:val="0"/>
          <w:szCs w:val="22"/>
        </w:rPr>
        <w:t xml:space="preserve">vždy po </w:t>
      </w:r>
      <w:r w:rsidRPr="002E7011">
        <w:rPr>
          <w:b w:val="0"/>
          <w:szCs w:val="22"/>
        </w:rPr>
        <w:t>tř</w:t>
      </w:r>
      <w:r w:rsidR="004816F5">
        <w:rPr>
          <w:b w:val="0"/>
          <w:szCs w:val="22"/>
        </w:rPr>
        <w:t>ech</w:t>
      </w:r>
      <w:r w:rsidRPr="002E7011">
        <w:rPr>
          <w:b w:val="0"/>
          <w:szCs w:val="22"/>
        </w:rPr>
        <w:t xml:space="preserve"> let</w:t>
      </w:r>
      <w:r w:rsidR="004816F5">
        <w:rPr>
          <w:b w:val="0"/>
          <w:szCs w:val="22"/>
        </w:rPr>
        <w:t>ech</w:t>
      </w:r>
      <w:r w:rsidRPr="002E7011">
        <w:rPr>
          <w:b w:val="0"/>
          <w:szCs w:val="22"/>
        </w:rPr>
        <w:t>.</w:t>
      </w:r>
      <w:bookmarkEnd w:id="84"/>
      <w:bookmarkEnd w:id="85"/>
    </w:p>
    <w:p w14:paraId="019400F8" w14:textId="07B7ADD6" w:rsidR="002E7011" w:rsidRPr="00902599" w:rsidRDefault="002E7011" w:rsidP="00902599">
      <w:pPr>
        <w:pStyle w:val="Nadpis2"/>
        <w:keepNext w:val="0"/>
        <w:numPr>
          <w:ilvl w:val="1"/>
          <w:numId w:val="3"/>
        </w:numPr>
        <w:jc w:val="both"/>
        <w:rPr>
          <w:b w:val="0"/>
          <w:szCs w:val="22"/>
        </w:rPr>
      </w:pPr>
      <w:bookmarkStart w:id="86" w:name="_Toc50007491"/>
      <w:bookmarkStart w:id="87" w:name="_Toc138936336"/>
      <w:r w:rsidRPr="00902599">
        <w:rPr>
          <w:b w:val="0"/>
          <w:szCs w:val="22"/>
        </w:rPr>
        <w:t>Pokud bude po třech letech spotřeba jiná (rozdíl +/- více než 10 % proti původnímu předpokladu), a její další vývoj nebude předpokládat výraznou změnu, CHEVAK rozdíl mezi předpokladem a skutečností (dále jen „Základní finanční úhrada (FJ)“) vypořádá dle následujícího cenového vzorce:</w:t>
      </w:r>
      <w:bookmarkEnd w:id="86"/>
      <w:bookmarkEnd w:id="87"/>
    </w:p>
    <w:p w14:paraId="25F5E3F1" w14:textId="77777777" w:rsidR="002E7011" w:rsidRPr="00090A46" w:rsidRDefault="002E7011" w:rsidP="002E7011">
      <w:pPr>
        <w:ind w:left="1134"/>
        <w:rPr>
          <w:szCs w:val="22"/>
        </w:rPr>
      </w:pPr>
    </w:p>
    <w:p w14:paraId="653650B8" w14:textId="77777777" w:rsidR="002E7011" w:rsidRPr="00043935" w:rsidRDefault="002E7011" w:rsidP="002E7011">
      <w:pPr>
        <w:ind w:left="1134"/>
        <w:jc w:val="center"/>
        <w:rPr>
          <w:szCs w:val="22"/>
        </w:rPr>
      </w:pPr>
      <m:oMathPara>
        <m:oMath>
          <m:r>
            <w:rPr>
              <w:rFonts w:ascii="Cambria Math" w:hAnsi="Cambria Math"/>
            </w:rPr>
            <m:t>FJ=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6FC382B6" w14:textId="77777777" w:rsidR="002E7011" w:rsidRPr="00090A46" w:rsidRDefault="002E7011" w:rsidP="002E7011">
      <w:pPr>
        <w:ind w:left="1134"/>
        <w:rPr>
          <w:szCs w:val="22"/>
        </w:rPr>
      </w:pPr>
    </w:p>
    <w:p w14:paraId="3A7A7CCC" w14:textId="5F8632E5" w:rsidR="002E7011" w:rsidRPr="00090A46" w:rsidRDefault="002E7011" w:rsidP="002E7011">
      <w:pPr>
        <w:ind w:left="1134"/>
        <w:rPr>
          <w:szCs w:val="22"/>
        </w:rPr>
      </w:pPr>
      <w:r w:rsidRPr="00090A46">
        <w:rPr>
          <w:szCs w:val="22"/>
        </w:rPr>
        <w:t>PNO</w:t>
      </w:r>
      <w:r w:rsidRPr="00090A46">
        <w:rPr>
          <w:szCs w:val="22"/>
          <w:vertAlign w:val="subscript"/>
        </w:rPr>
        <w:t>0</w:t>
      </w:r>
      <w:r w:rsidRPr="00090A46">
        <w:rPr>
          <w:szCs w:val="22"/>
        </w:rPr>
        <w:tab/>
        <w:t xml:space="preserve">Počet </w:t>
      </w:r>
      <w:r w:rsidR="00850D4A">
        <w:rPr>
          <w:szCs w:val="22"/>
        </w:rPr>
        <w:t>při</w:t>
      </w:r>
      <w:r w:rsidRPr="00090A46">
        <w:rPr>
          <w:szCs w:val="22"/>
        </w:rPr>
        <w:t>pojených osob v roce uzavření smlouvy</w:t>
      </w:r>
    </w:p>
    <w:p w14:paraId="0812818B" w14:textId="61FB8A79" w:rsidR="002E7011" w:rsidRPr="00090A46" w:rsidRDefault="002E7011" w:rsidP="002E7011">
      <w:pPr>
        <w:ind w:left="2127" w:hanging="993"/>
        <w:rPr>
          <w:szCs w:val="22"/>
        </w:rPr>
      </w:pPr>
      <w:r w:rsidRPr="00090A46">
        <w:rPr>
          <w:szCs w:val="22"/>
        </w:rPr>
        <w:t>PSO</w:t>
      </w:r>
      <w:r w:rsidRPr="00090A46">
        <w:rPr>
          <w:szCs w:val="22"/>
          <w:vertAlign w:val="subscript"/>
        </w:rPr>
        <w:t>0</w:t>
      </w:r>
      <w:r w:rsidRPr="00090A46">
        <w:rPr>
          <w:szCs w:val="22"/>
          <w:vertAlign w:val="subscript"/>
        </w:rPr>
        <w:tab/>
      </w:r>
      <w:r w:rsidRPr="00090A46">
        <w:rPr>
          <w:szCs w:val="22"/>
        </w:rPr>
        <w:t>Průměrná spotřeba vod</w:t>
      </w:r>
      <w:r w:rsidR="00850D4A">
        <w:rPr>
          <w:szCs w:val="22"/>
        </w:rPr>
        <w:t>y</w:t>
      </w:r>
      <w:r w:rsidRPr="00090A46">
        <w:rPr>
          <w:szCs w:val="22"/>
        </w:rPr>
        <w:t xml:space="preserve">, případně </w:t>
      </w:r>
      <w:r w:rsidR="00850D4A">
        <w:rPr>
          <w:szCs w:val="22"/>
        </w:rPr>
        <w:t xml:space="preserve">množství odváděné </w:t>
      </w:r>
      <w:r w:rsidRPr="00090A46">
        <w:rPr>
          <w:szCs w:val="22"/>
        </w:rPr>
        <w:t xml:space="preserve">odpadní vody osob </w:t>
      </w:r>
      <w:r w:rsidR="00850D4A">
        <w:rPr>
          <w:szCs w:val="22"/>
        </w:rPr>
        <w:t>při</w:t>
      </w:r>
      <w:r w:rsidRPr="00090A46">
        <w:rPr>
          <w:szCs w:val="22"/>
        </w:rPr>
        <w:t>pojených na distribuční síť CHEVAK Cheb, a.s. v roce uzavření smlouvy</w:t>
      </w:r>
    </w:p>
    <w:p w14:paraId="49006665" w14:textId="09FC4031" w:rsidR="002E7011" w:rsidRPr="00090A46" w:rsidRDefault="002E7011" w:rsidP="002E7011">
      <w:pPr>
        <w:ind w:left="1134"/>
        <w:rPr>
          <w:szCs w:val="22"/>
        </w:rPr>
      </w:pPr>
      <w:proofErr w:type="spellStart"/>
      <w:r w:rsidRPr="00090A46">
        <w:rPr>
          <w:szCs w:val="22"/>
        </w:rPr>
        <w:lastRenderedPageBreak/>
        <w:t>PNO</w:t>
      </w:r>
      <w:r w:rsidRPr="00090A46">
        <w:rPr>
          <w:szCs w:val="22"/>
          <w:vertAlign w:val="subscript"/>
        </w:rPr>
        <w:t>n</w:t>
      </w:r>
      <w:proofErr w:type="spellEnd"/>
      <w:r w:rsidRPr="00090A46">
        <w:rPr>
          <w:szCs w:val="22"/>
        </w:rPr>
        <w:tab/>
        <w:t xml:space="preserve">Počet </w:t>
      </w:r>
      <w:r w:rsidR="00850D4A">
        <w:rPr>
          <w:szCs w:val="22"/>
        </w:rPr>
        <w:t>při</w:t>
      </w:r>
      <w:r w:rsidRPr="00090A46">
        <w:rPr>
          <w:szCs w:val="22"/>
        </w:rPr>
        <w:t>pojených osob v roce hodnocení</w:t>
      </w:r>
    </w:p>
    <w:p w14:paraId="2F6513AC" w14:textId="3E3B69DC" w:rsidR="002E7011" w:rsidRPr="00090A46" w:rsidRDefault="002E7011" w:rsidP="00902599">
      <w:pPr>
        <w:ind w:left="2127" w:hanging="993"/>
        <w:rPr>
          <w:szCs w:val="22"/>
        </w:rPr>
      </w:pPr>
      <w:proofErr w:type="spellStart"/>
      <w:r w:rsidRPr="00090A46">
        <w:rPr>
          <w:szCs w:val="22"/>
        </w:rPr>
        <w:t>PSO</w:t>
      </w:r>
      <w:r w:rsidRPr="00090A46">
        <w:rPr>
          <w:szCs w:val="22"/>
          <w:vertAlign w:val="subscript"/>
        </w:rPr>
        <w:t>n</w:t>
      </w:r>
      <w:proofErr w:type="spellEnd"/>
      <w:r w:rsidRPr="00090A46">
        <w:rPr>
          <w:szCs w:val="22"/>
          <w:vertAlign w:val="subscript"/>
        </w:rPr>
        <w:tab/>
      </w:r>
      <w:r w:rsidRPr="00090A46">
        <w:rPr>
          <w:szCs w:val="22"/>
        </w:rPr>
        <w:t>Průměrná spotřeba vod</w:t>
      </w:r>
      <w:r w:rsidR="00850D4A">
        <w:rPr>
          <w:szCs w:val="22"/>
        </w:rPr>
        <w:t>y</w:t>
      </w:r>
      <w:r w:rsidRPr="00090A46">
        <w:rPr>
          <w:szCs w:val="22"/>
        </w:rPr>
        <w:t xml:space="preserve">, případně </w:t>
      </w:r>
      <w:r w:rsidR="00850D4A">
        <w:rPr>
          <w:szCs w:val="22"/>
        </w:rPr>
        <w:t xml:space="preserve">množství odváděné </w:t>
      </w:r>
      <w:r w:rsidRPr="00090A46">
        <w:rPr>
          <w:szCs w:val="22"/>
        </w:rPr>
        <w:t xml:space="preserve">odpadní vody osob </w:t>
      </w:r>
      <w:r w:rsidR="00850D4A">
        <w:rPr>
          <w:szCs w:val="22"/>
        </w:rPr>
        <w:t>při</w:t>
      </w:r>
      <w:r w:rsidRPr="00090A46">
        <w:rPr>
          <w:szCs w:val="22"/>
        </w:rPr>
        <w:t>pojených na distribuční síť CHEVAK Cheb, a.s. v roce hodnocení</w:t>
      </w:r>
    </w:p>
    <w:p w14:paraId="53B0854D" w14:textId="77777777" w:rsidR="002E7011" w:rsidRPr="00090A46" w:rsidRDefault="002E7011" w:rsidP="002E7011">
      <w:pPr>
        <w:ind w:left="1134"/>
        <w:rPr>
          <w:szCs w:val="22"/>
        </w:rPr>
      </w:pPr>
      <w:proofErr w:type="spellStart"/>
      <w:r w:rsidRPr="00090A46">
        <w:rPr>
          <w:szCs w:val="22"/>
        </w:rPr>
        <w:t>SP</w:t>
      </w:r>
      <w:r w:rsidRPr="00090A46">
        <w:rPr>
          <w:szCs w:val="22"/>
          <w:vertAlign w:val="subscript"/>
        </w:rPr>
        <w:t>n</w:t>
      </w:r>
      <w:proofErr w:type="spellEnd"/>
      <w:r w:rsidRPr="00090A46">
        <w:rPr>
          <w:szCs w:val="22"/>
        </w:rPr>
        <w:tab/>
        <w:t xml:space="preserve">Spotřeba v přispívaném území odpovídá </w:t>
      </w:r>
      <w:proofErr w:type="spellStart"/>
      <w:r w:rsidRPr="00090A46">
        <w:rPr>
          <w:szCs w:val="22"/>
        </w:rPr>
        <w:t>PNO</w:t>
      </w:r>
      <w:r w:rsidRPr="00090A46">
        <w:rPr>
          <w:szCs w:val="22"/>
          <w:vertAlign w:val="subscript"/>
        </w:rPr>
        <w:t>n</w:t>
      </w:r>
      <w:proofErr w:type="spellEnd"/>
      <w:r w:rsidRPr="00090A46">
        <w:rPr>
          <w:szCs w:val="22"/>
        </w:rPr>
        <w:t xml:space="preserve"> x </w:t>
      </w:r>
      <w:proofErr w:type="spellStart"/>
      <w:r w:rsidRPr="00090A46">
        <w:rPr>
          <w:szCs w:val="22"/>
        </w:rPr>
        <w:t>PSO</w:t>
      </w:r>
      <w:r w:rsidRPr="00090A46">
        <w:rPr>
          <w:szCs w:val="22"/>
          <w:vertAlign w:val="subscript"/>
        </w:rPr>
        <w:t>n</w:t>
      </w:r>
      <w:proofErr w:type="spellEnd"/>
    </w:p>
    <w:p w14:paraId="35F6B051" w14:textId="77777777" w:rsidR="002E7011" w:rsidRPr="00902599" w:rsidRDefault="002E7011" w:rsidP="00902599">
      <w:pPr>
        <w:ind w:left="1134"/>
        <w:rPr>
          <w:szCs w:val="22"/>
        </w:rPr>
      </w:pPr>
      <w:r w:rsidRPr="00090A46">
        <w:rPr>
          <w:szCs w:val="22"/>
        </w:rPr>
        <w:t>PP</w:t>
      </w:r>
      <w:r w:rsidR="00902599" w:rsidRPr="00090A46">
        <w:rPr>
          <w:szCs w:val="22"/>
          <w:vertAlign w:val="subscript"/>
        </w:rPr>
        <w:t>CHEVAK0</w:t>
      </w:r>
      <w:r w:rsidRPr="00090A46">
        <w:rPr>
          <w:szCs w:val="22"/>
        </w:rPr>
        <w:tab/>
        <w:t>Podíl/ Příspěvek CHEVAK Cheb, a.s. v roce uzavření smlouvy.</w:t>
      </w:r>
    </w:p>
    <w:p w14:paraId="10695E59" w14:textId="5B51C65F" w:rsidR="00B63150" w:rsidRPr="00AD67A5" w:rsidRDefault="00B63150" w:rsidP="00AD67A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8" w:name="_Toc50007492"/>
      <w:bookmarkStart w:id="89" w:name="_Toc138936337"/>
      <w:r>
        <w:rPr>
          <w:b w:val="0"/>
          <w:bCs/>
          <w:szCs w:val="22"/>
        </w:rPr>
        <w:t xml:space="preserve">V případě vyšší spotřeby vody se </w:t>
      </w:r>
      <w:r w:rsidR="00AD67A5" w:rsidRPr="00AD67A5">
        <w:rPr>
          <w:b w:val="0"/>
          <w:bCs/>
          <w:szCs w:val="22"/>
        </w:rPr>
        <w:t>pohledávka</w:t>
      </w:r>
      <w:r w:rsidR="000853E0" w:rsidRPr="00AD67A5">
        <w:rPr>
          <w:b w:val="0"/>
          <w:bCs/>
          <w:szCs w:val="22"/>
        </w:rPr>
        <w:t xml:space="preserve"> Prodávajícího </w:t>
      </w:r>
      <w:r w:rsidR="00AD67A5" w:rsidRPr="00AD67A5">
        <w:rPr>
          <w:b w:val="0"/>
          <w:bCs/>
          <w:szCs w:val="22"/>
        </w:rPr>
        <w:t xml:space="preserve">za společností CHEVAK </w:t>
      </w:r>
      <w:r w:rsidR="00AD67A5">
        <w:rPr>
          <w:b w:val="0"/>
          <w:bCs/>
          <w:szCs w:val="22"/>
        </w:rPr>
        <w:t xml:space="preserve">případně vzniklá korekcí plnění Smlouvy </w:t>
      </w:r>
      <w:r w:rsidR="000853E0" w:rsidRPr="00AD67A5">
        <w:rPr>
          <w:b w:val="0"/>
          <w:bCs/>
          <w:szCs w:val="22"/>
        </w:rPr>
        <w:t xml:space="preserve">dle tohoto článku Smlouvy započítává </w:t>
      </w:r>
      <w:r w:rsidR="001C59CC" w:rsidRPr="00AD67A5">
        <w:rPr>
          <w:b w:val="0"/>
          <w:bCs/>
          <w:szCs w:val="22"/>
        </w:rPr>
        <w:t xml:space="preserve">na účetně vynaložené </w:t>
      </w:r>
      <w:r w:rsidR="001C59CC" w:rsidRPr="00691CD2">
        <w:rPr>
          <w:b w:val="0"/>
          <w:bCs/>
          <w:szCs w:val="22"/>
        </w:rPr>
        <w:t>investiční</w:t>
      </w:r>
      <w:r w:rsidR="001C59CC" w:rsidRPr="00AD67A5">
        <w:rPr>
          <w:b w:val="0"/>
          <w:bCs/>
          <w:szCs w:val="22"/>
        </w:rPr>
        <w:t xml:space="preserve"> náklady na zajištění přístupové cesty pro</w:t>
      </w:r>
      <w:r w:rsidR="008547F3" w:rsidRPr="00AD67A5">
        <w:rPr>
          <w:b w:val="0"/>
          <w:bCs/>
          <w:szCs w:val="22"/>
        </w:rPr>
        <w:t> </w:t>
      </w:r>
      <w:r w:rsidR="001C59CC" w:rsidRPr="00AD67A5">
        <w:rPr>
          <w:b w:val="0"/>
          <w:bCs/>
          <w:szCs w:val="22"/>
        </w:rPr>
        <w:t>údržbu a opravy na objektu ČSOV a věcných břemen k pozemkům, kde je uložena kanalizace a ČSOV, dle této Smlouvy.</w:t>
      </w:r>
      <w:r w:rsidR="00AB5652">
        <w:rPr>
          <w:b w:val="0"/>
          <w:bCs/>
          <w:szCs w:val="22"/>
        </w:rPr>
        <w:t xml:space="preserve"> Výše</w:t>
      </w:r>
      <w:r w:rsidR="00B91C2D">
        <w:rPr>
          <w:b w:val="0"/>
          <w:bCs/>
          <w:szCs w:val="22"/>
        </w:rPr>
        <w:t xml:space="preserve"> pohledávky </w:t>
      </w:r>
      <w:r w:rsidR="00B91C2D" w:rsidRPr="00AD67A5">
        <w:rPr>
          <w:b w:val="0"/>
          <w:bCs/>
          <w:szCs w:val="22"/>
        </w:rPr>
        <w:t xml:space="preserve">Prodávajícího za společností CHEVAK </w:t>
      </w:r>
      <w:r w:rsidR="002278BE">
        <w:rPr>
          <w:b w:val="0"/>
          <w:bCs/>
          <w:szCs w:val="22"/>
        </w:rPr>
        <w:t xml:space="preserve">případně </w:t>
      </w:r>
      <w:r w:rsidR="00FA2752">
        <w:rPr>
          <w:b w:val="0"/>
          <w:bCs/>
          <w:szCs w:val="22"/>
        </w:rPr>
        <w:t xml:space="preserve">vzniklé korekcí plnění Smlouvy </w:t>
      </w:r>
      <w:r w:rsidR="00FA2752" w:rsidRPr="00AD67A5">
        <w:rPr>
          <w:b w:val="0"/>
          <w:bCs/>
          <w:szCs w:val="22"/>
        </w:rPr>
        <w:t>dle tohoto článku Smlouvy</w:t>
      </w:r>
      <w:r w:rsidR="00AB5652">
        <w:rPr>
          <w:b w:val="0"/>
          <w:bCs/>
          <w:szCs w:val="22"/>
        </w:rPr>
        <w:t xml:space="preserve"> je pak limitována celkovou výší účelně vynaložených investičních nákladů</w:t>
      </w:r>
      <w:r w:rsidR="00DC21F3">
        <w:rPr>
          <w:b w:val="0"/>
          <w:bCs/>
          <w:szCs w:val="22"/>
        </w:rPr>
        <w:t xml:space="preserve"> nezbytných </w:t>
      </w:r>
      <w:r w:rsidR="002278BE">
        <w:rPr>
          <w:b w:val="0"/>
          <w:bCs/>
          <w:szCs w:val="22"/>
        </w:rPr>
        <w:t>na zajištění</w:t>
      </w:r>
      <w:r w:rsidR="00DC21F3">
        <w:rPr>
          <w:b w:val="0"/>
          <w:bCs/>
          <w:szCs w:val="22"/>
        </w:rPr>
        <w:t xml:space="preserve"> přístupové cesty </w:t>
      </w:r>
      <w:r w:rsidR="002278BE" w:rsidRPr="00AD67A5">
        <w:rPr>
          <w:b w:val="0"/>
          <w:bCs/>
          <w:szCs w:val="22"/>
        </w:rPr>
        <w:t>pro údržbu a opravy na objektu ČSOV</w:t>
      </w:r>
      <w:r w:rsidR="002278BE">
        <w:rPr>
          <w:b w:val="0"/>
          <w:bCs/>
          <w:szCs w:val="22"/>
        </w:rPr>
        <w:t xml:space="preserve"> </w:t>
      </w:r>
      <w:r w:rsidR="002278BE" w:rsidRPr="00AD67A5">
        <w:rPr>
          <w:b w:val="0"/>
          <w:bCs/>
          <w:szCs w:val="22"/>
        </w:rPr>
        <w:t>a věcných břemen k pozemkům, kde je uložena kanalizace a ČSOV</w:t>
      </w:r>
      <w:r w:rsidR="002278BE">
        <w:rPr>
          <w:b w:val="0"/>
          <w:bCs/>
          <w:szCs w:val="22"/>
        </w:rPr>
        <w:t xml:space="preserve"> </w:t>
      </w:r>
      <w:r w:rsidR="00DC21F3">
        <w:rPr>
          <w:b w:val="0"/>
          <w:bCs/>
          <w:szCs w:val="22"/>
        </w:rPr>
        <w:t>se zohledněním postupu dle odst. 2.3</w:t>
      </w:r>
      <w:r w:rsidR="00FA2752">
        <w:rPr>
          <w:b w:val="0"/>
          <w:bCs/>
          <w:szCs w:val="22"/>
        </w:rPr>
        <w:t xml:space="preserve"> této Smlouvy</w:t>
      </w:r>
      <w:r w:rsidR="00DC21F3">
        <w:rPr>
          <w:b w:val="0"/>
          <w:bCs/>
          <w:szCs w:val="22"/>
        </w:rPr>
        <w:t>.</w:t>
      </w:r>
    </w:p>
    <w:p w14:paraId="53D6E8FE" w14:textId="5907DC9D" w:rsidR="00AF1533" w:rsidRPr="002E7011" w:rsidRDefault="00AF1533" w:rsidP="002E7011">
      <w:pPr>
        <w:pStyle w:val="Nadpis2"/>
        <w:keepNext w:val="0"/>
        <w:numPr>
          <w:ilvl w:val="1"/>
          <w:numId w:val="3"/>
        </w:numPr>
        <w:jc w:val="both"/>
        <w:rPr>
          <w:b w:val="0"/>
          <w:szCs w:val="22"/>
        </w:rPr>
      </w:pPr>
      <w:r w:rsidRPr="002E7011">
        <w:rPr>
          <w:b w:val="0"/>
          <w:szCs w:val="22"/>
        </w:rPr>
        <w:t xml:space="preserve">Případnou Základní finanční úhradu (FJ) </w:t>
      </w:r>
      <w:r w:rsidR="001F484C">
        <w:rPr>
          <w:b w:val="0"/>
          <w:szCs w:val="22"/>
        </w:rPr>
        <w:t>jsou S</w:t>
      </w:r>
      <w:r w:rsidR="00B96459">
        <w:rPr>
          <w:b w:val="0"/>
          <w:szCs w:val="22"/>
        </w:rPr>
        <w:t xml:space="preserve">mluvní strany povinny </w:t>
      </w:r>
      <w:r w:rsidRPr="002E7011">
        <w:rPr>
          <w:b w:val="0"/>
          <w:szCs w:val="22"/>
        </w:rPr>
        <w:t>vypořádat</w:t>
      </w:r>
      <w:r w:rsidR="00902599">
        <w:rPr>
          <w:b w:val="0"/>
          <w:szCs w:val="22"/>
        </w:rPr>
        <w:t xml:space="preserve"> </w:t>
      </w:r>
      <w:r w:rsidR="00902599" w:rsidRPr="00902599">
        <w:rPr>
          <w:b w:val="0"/>
          <w:szCs w:val="22"/>
        </w:rPr>
        <w:t>nejdříve na počátku čtvrtého roku</w:t>
      </w:r>
      <w:r w:rsidR="00902599">
        <w:rPr>
          <w:b w:val="0"/>
          <w:szCs w:val="22"/>
        </w:rPr>
        <w:t xml:space="preserve"> od realizace odkupu a pak</w:t>
      </w:r>
      <w:r w:rsidRPr="002E7011">
        <w:rPr>
          <w:b w:val="0"/>
          <w:szCs w:val="22"/>
        </w:rPr>
        <w:t xml:space="preserve"> vždy každý</w:t>
      </w:r>
      <w:r w:rsidR="00902599">
        <w:rPr>
          <w:b w:val="0"/>
          <w:szCs w:val="22"/>
        </w:rPr>
        <w:t xml:space="preserve"> následující</w:t>
      </w:r>
      <w:r w:rsidRPr="002E7011">
        <w:rPr>
          <w:b w:val="0"/>
          <w:szCs w:val="22"/>
        </w:rPr>
        <w:t xml:space="preserve"> třetí rok od uzavření kupní smlouvy po dobu zbývající životnosti Zařízení. Splatnost vypořádání je 30 dnů od vystavení faktury.</w:t>
      </w:r>
      <w:bookmarkEnd w:id="88"/>
      <w:bookmarkEnd w:id="89"/>
    </w:p>
    <w:p w14:paraId="78F92D0C" w14:textId="77777777" w:rsidR="00B63150" w:rsidRDefault="00B63150" w:rsidP="00020DC2">
      <w:pPr>
        <w:pStyle w:val="bezslovn"/>
        <w:jc w:val="both"/>
        <w:rPr>
          <w:szCs w:val="22"/>
        </w:rPr>
      </w:pPr>
    </w:p>
    <w:p w14:paraId="22CE7780" w14:textId="77777777" w:rsidR="00020DC2" w:rsidRPr="006068E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0" w:name="_Toc400524836"/>
      <w:bookmarkStart w:id="91" w:name="_Toc138936338"/>
      <w:bookmarkStart w:id="92" w:name="_Toc151807360"/>
      <w:bookmarkStart w:id="93" w:name="_Toc215932930"/>
      <w:bookmarkStart w:id="94" w:name="_Toc216075057"/>
      <w:bookmarkStart w:id="95" w:name="_Toc361905971"/>
      <w:bookmarkEnd w:id="76"/>
      <w:bookmarkEnd w:id="77"/>
      <w:bookmarkEnd w:id="78"/>
      <w:bookmarkEnd w:id="79"/>
      <w:bookmarkEnd w:id="80"/>
      <w:r>
        <w:rPr>
          <w:szCs w:val="22"/>
        </w:rPr>
        <w:t>Ustanovení společná a záv</w:t>
      </w:r>
      <w:r w:rsidR="0066072E">
        <w:rPr>
          <w:szCs w:val="22"/>
        </w:rPr>
        <w:t>ě</w:t>
      </w:r>
      <w:r>
        <w:rPr>
          <w:szCs w:val="22"/>
        </w:rPr>
        <w:t>rečná</w:t>
      </w:r>
      <w:bookmarkEnd w:id="90"/>
      <w:bookmarkEnd w:id="91"/>
    </w:p>
    <w:p w14:paraId="65CB225E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96" w:name="_Toc400524837"/>
      <w:bookmarkStart w:id="97" w:name="_Toc138936339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92"/>
      <w:bookmarkEnd w:id="93"/>
      <w:bookmarkEnd w:id="94"/>
      <w:bookmarkEnd w:id="95"/>
      <w:bookmarkEnd w:id="96"/>
      <w:bookmarkEnd w:id="97"/>
    </w:p>
    <w:p w14:paraId="3CF26B2E" w14:textId="77777777" w:rsidR="00A8425D" w:rsidRPr="000D2B74" w:rsidRDefault="00A8425D" w:rsidP="006068E5">
      <w:pPr>
        <w:pStyle w:val="bezslovn"/>
        <w:jc w:val="both"/>
        <w:rPr>
          <w:szCs w:val="22"/>
        </w:rPr>
      </w:pPr>
    </w:p>
    <w:p w14:paraId="57D361C7" w14:textId="66E14797" w:rsidR="00E72ED7" w:rsidRDefault="00E72ED7" w:rsidP="006068E5">
      <w:pPr>
        <w:pStyle w:val="bezslovn"/>
        <w:jc w:val="both"/>
        <w:rPr>
          <w:rStyle w:val="normaltextrun"/>
          <w:szCs w:val="22"/>
          <w:shd w:val="clear" w:color="auto" w:fill="FFFFFF"/>
        </w:rPr>
      </w:pPr>
      <w:r w:rsidRPr="00DF068A">
        <w:rPr>
          <w:rStyle w:val="normaltextrun"/>
          <w:szCs w:val="22"/>
          <w:shd w:val="clear" w:color="auto" w:fill="FFFFFF"/>
        </w:rPr>
        <w:t>Smlouva nabývá platnosti dnem podpisu oběma Smluvními stranami a účinnosti dnem uveřejnění smlouvy prostřednictvím registru smluv.</w:t>
      </w:r>
    </w:p>
    <w:p w14:paraId="02698BB1" w14:textId="77777777" w:rsidR="00BA0AB4" w:rsidRDefault="00BA0AB4" w:rsidP="006068E5">
      <w:pPr>
        <w:pStyle w:val="bezslovn"/>
        <w:jc w:val="both"/>
        <w:rPr>
          <w:rStyle w:val="normaltextrun"/>
          <w:szCs w:val="22"/>
          <w:shd w:val="clear" w:color="auto" w:fill="FFFFFF"/>
        </w:rPr>
      </w:pPr>
    </w:p>
    <w:p w14:paraId="5E41DC08" w14:textId="693CF3BC" w:rsidR="00BA0AB4" w:rsidRDefault="007F784E" w:rsidP="00305E30">
      <w:pPr>
        <w:pStyle w:val="Bezmezer"/>
        <w:ind w:left="1134"/>
        <w:jc w:val="both"/>
        <w:rPr>
          <w:rFonts w:ascii="Times New Roman" w:hAnsi="Times New Roman"/>
          <w:lang w:eastAsia="cs-CZ"/>
        </w:rPr>
      </w:pPr>
      <w:r w:rsidRPr="00CC19C1">
        <w:rPr>
          <w:rStyle w:val="normaltextrun"/>
          <w:rFonts w:ascii="Times New Roman" w:hAnsi="Times New Roman"/>
          <w:shd w:val="clear" w:color="auto" w:fill="FFFFFF"/>
        </w:rPr>
        <w:t xml:space="preserve">Zastupitelstvo obce Valy </w:t>
      </w:r>
      <w:r w:rsidR="00BA0AB4" w:rsidRPr="00CC19C1">
        <w:rPr>
          <w:rFonts w:ascii="Times New Roman" w:hAnsi="Times New Roman"/>
          <w:lang w:eastAsia="cs-CZ"/>
        </w:rPr>
        <w:t>prodej vodovodního řadu specifikovaného v čl. 1.1. této smlouvy</w:t>
      </w:r>
      <w:r w:rsidR="00305E30">
        <w:rPr>
          <w:rFonts w:ascii="Times New Roman" w:hAnsi="Times New Roman"/>
          <w:lang w:eastAsia="cs-CZ"/>
        </w:rPr>
        <w:t xml:space="preserve"> a</w:t>
      </w:r>
      <w:r w:rsidR="00BA0AB4" w:rsidRPr="00CC19C1">
        <w:rPr>
          <w:rFonts w:ascii="Times New Roman" w:hAnsi="Times New Roman"/>
          <w:lang w:eastAsia="cs-CZ"/>
        </w:rPr>
        <w:t xml:space="preserve"> převod</w:t>
      </w:r>
      <w:r w:rsidR="00305E30">
        <w:rPr>
          <w:rFonts w:ascii="Times New Roman" w:hAnsi="Times New Roman"/>
          <w:lang w:eastAsia="cs-CZ"/>
        </w:rPr>
        <w:t xml:space="preserve"> </w:t>
      </w:r>
      <w:r w:rsidR="00BA0AB4" w:rsidRPr="00CC19C1">
        <w:rPr>
          <w:rFonts w:ascii="Times New Roman" w:hAnsi="Times New Roman"/>
          <w:lang w:eastAsia="cs-CZ"/>
        </w:rPr>
        <w:t>vlastnického práva k Projektové dokumentaci a k projektovým právům s ní spojeným (postoupení licence k užití autorského díla) a užívací práva k této projektové dokumentaci ve smyslu zákona č. 121/2000 Sb. specifikované v čl. 1.3.</w:t>
      </w:r>
      <w:r w:rsidR="00305E30">
        <w:rPr>
          <w:rFonts w:ascii="Times New Roman" w:hAnsi="Times New Roman"/>
          <w:lang w:eastAsia="cs-CZ"/>
        </w:rPr>
        <w:t xml:space="preserve"> </w:t>
      </w:r>
      <w:r w:rsidR="00BA0AB4" w:rsidRPr="00CC19C1">
        <w:rPr>
          <w:rFonts w:ascii="Times New Roman" w:hAnsi="Times New Roman"/>
          <w:lang w:eastAsia="cs-CZ"/>
        </w:rPr>
        <w:t>této smlouvy</w:t>
      </w:r>
      <w:r w:rsidR="00305E30">
        <w:rPr>
          <w:rFonts w:ascii="Times New Roman" w:hAnsi="Times New Roman"/>
          <w:lang w:eastAsia="cs-CZ"/>
        </w:rPr>
        <w:t xml:space="preserve"> </w:t>
      </w:r>
      <w:r w:rsidR="00BA0AB4" w:rsidRPr="00CC19C1">
        <w:rPr>
          <w:rFonts w:ascii="Times New Roman" w:hAnsi="Times New Roman"/>
          <w:lang w:eastAsia="cs-CZ"/>
        </w:rPr>
        <w:t xml:space="preserve">projednalo </w:t>
      </w:r>
      <w:r w:rsidR="00305E30" w:rsidRPr="00CC19C1">
        <w:rPr>
          <w:rFonts w:ascii="Times New Roman" w:hAnsi="Times New Roman"/>
          <w:lang w:eastAsia="cs-CZ"/>
        </w:rPr>
        <w:t xml:space="preserve">a schválilo </w:t>
      </w:r>
      <w:r w:rsidR="00305E30" w:rsidRPr="000A2937">
        <w:rPr>
          <w:rFonts w:ascii="Times New Roman" w:hAnsi="Times New Roman"/>
          <w:lang w:eastAsia="cs-CZ"/>
        </w:rPr>
        <w:t>usnesením č. 8/2023/115</w:t>
      </w:r>
      <w:r w:rsidR="00305E30">
        <w:rPr>
          <w:rFonts w:ascii="Times New Roman" w:hAnsi="Times New Roman"/>
          <w:lang w:eastAsia="cs-CZ"/>
        </w:rPr>
        <w:t xml:space="preserve"> </w:t>
      </w:r>
      <w:r w:rsidR="00305E30" w:rsidRPr="00CC19C1">
        <w:rPr>
          <w:rFonts w:ascii="Times New Roman" w:hAnsi="Times New Roman"/>
          <w:lang w:eastAsia="cs-CZ"/>
        </w:rPr>
        <w:t>dne 25. 9. 2023.</w:t>
      </w:r>
    </w:p>
    <w:p w14:paraId="087B0EAE" w14:textId="77777777" w:rsidR="00305E30" w:rsidRDefault="00305E30" w:rsidP="00305E30">
      <w:pPr>
        <w:pStyle w:val="Bezmezer"/>
        <w:ind w:left="1134"/>
        <w:jc w:val="both"/>
        <w:rPr>
          <w:rFonts w:ascii="Times New Roman" w:hAnsi="Times New Roman"/>
          <w:lang w:eastAsia="cs-CZ"/>
        </w:rPr>
      </w:pPr>
    </w:p>
    <w:p w14:paraId="3CAAF036" w14:textId="7C685E92" w:rsidR="00305E30" w:rsidRPr="00CC19C1" w:rsidRDefault="00305E30" w:rsidP="00CC19C1">
      <w:pPr>
        <w:pStyle w:val="Bezmezer"/>
        <w:ind w:left="1134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Zastupitelstvo obce Valy podpis této Kupní smlouvy na vodohospodářskou stavbu neevidovanou v katastru nemovitostí v jejím aktuálním znění schválil</w:t>
      </w:r>
      <w:r w:rsidR="002C6CE9">
        <w:rPr>
          <w:rFonts w:ascii="Times New Roman" w:hAnsi="Times New Roman"/>
          <w:lang w:eastAsia="cs-CZ"/>
        </w:rPr>
        <w:t>o</w:t>
      </w:r>
      <w:r>
        <w:rPr>
          <w:rFonts w:ascii="Times New Roman" w:hAnsi="Times New Roman"/>
          <w:lang w:eastAsia="cs-CZ"/>
        </w:rPr>
        <w:t xml:space="preserve"> usnesením č, </w:t>
      </w:r>
      <w:r w:rsidRPr="002C6CE9">
        <w:rPr>
          <w:rFonts w:ascii="Times New Roman" w:hAnsi="Times New Roman"/>
          <w:lang w:eastAsia="cs-CZ"/>
        </w:rPr>
        <w:t>9/2023/</w:t>
      </w:r>
      <w:r w:rsidR="002C6CE9">
        <w:rPr>
          <w:rFonts w:ascii="Times New Roman" w:hAnsi="Times New Roman"/>
          <w:lang w:eastAsia="cs-CZ"/>
        </w:rPr>
        <w:t>136</w:t>
      </w:r>
      <w:r>
        <w:rPr>
          <w:rFonts w:ascii="Times New Roman" w:hAnsi="Times New Roman"/>
          <w:lang w:eastAsia="cs-CZ"/>
        </w:rPr>
        <w:t xml:space="preserve"> dne 27. 11. 2023.</w:t>
      </w:r>
    </w:p>
    <w:p w14:paraId="4572DC7D" w14:textId="1FA2FCB8" w:rsidR="007F784E" w:rsidRPr="00DF068A" w:rsidRDefault="007F784E" w:rsidP="006068E5">
      <w:pPr>
        <w:pStyle w:val="bezslovn"/>
        <w:jc w:val="both"/>
        <w:rPr>
          <w:szCs w:val="22"/>
        </w:rPr>
      </w:pPr>
    </w:p>
    <w:p w14:paraId="094CAB16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98" w:name="_Toc151807361"/>
      <w:bookmarkStart w:id="99" w:name="_Toc215932931"/>
      <w:bookmarkStart w:id="100" w:name="_Toc216075058"/>
      <w:bookmarkStart w:id="101" w:name="_Toc361905972"/>
      <w:bookmarkStart w:id="102" w:name="_Toc400524838"/>
      <w:bookmarkStart w:id="103" w:name="_Toc138936340"/>
      <w:r w:rsidRPr="006068E5">
        <w:rPr>
          <w:szCs w:val="22"/>
        </w:rPr>
        <w:t>Počet vyhotovení Smlouvy</w:t>
      </w:r>
      <w:bookmarkEnd w:id="98"/>
      <w:bookmarkEnd w:id="99"/>
      <w:bookmarkEnd w:id="100"/>
      <w:bookmarkEnd w:id="101"/>
      <w:bookmarkEnd w:id="102"/>
      <w:bookmarkEnd w:id="103"/>
      <w:r w:rsidRPr="006068E5">
        <w:rPr>
          <w:szCs w:val="22"/>
        </w:rPr>
        <w:t xml:space="preserve"> </w:t>
      </w:r>
    </w:p>
    <w:p w14:paraId="5D4C1F5E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 xml:space="preserve">originálních vyhotoveních, s tím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14:paraId="4C5C31B7" w14:textId="77777777" w:rsidR="006068E5" w:rsidRDefault="006068E5" w:rsidP="006068E5">
      <w:pPr>
        <w:pStyle w:val="bezslovn"/>
        <w:jc w:val="both"/>
        <w:rPr>
          <w:szCs w:val="22"/>
        </w:rPr>
      </w:pPr>
    </w:p>
    <w:p w14:paraId="07EC07C9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104" w:name="_Toc150154163"/>
      <w:bookmarkStart w:id="105" w:name="_Toc151807362"/>
      <w:bookmarkStart w:id="106" w:name="_Toc215932932"/>
      <w:bookmarkStart w:id="107" w:name="_Toc216075059"/>
      <w:bookmarkStart w:id="108" w:name="_Toc361905973"/>
      <w:bookmarkStart w:id="109" w:name="_Toc400524839"/>
      <w:bookmarkStart w:id="110" w:name="_Toc138936341"/>
      <w:r w:rsidRPr="006068E5">
        <w:rPr>
          <w:szCs w:val="22"/>
        </w:rPr>
        <w:t>P</w:t>
      </w:r>
      <w:bookmarkStart w:id="111" w:name="_Toc53539977"/>
      <w:r w:rsidRPr="006068E5">
        <w:rPr>
          <w:szCs w:val="22"/>
        </w:rPr>
        <w:t>rohlášení Smluvních stran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4F35662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6458F19" w14:textId="77777777"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14:paraId="358F6CFA" w14:textId="77777777" w:rsidR="005F26BA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5A5483D1" w14:textId="0F04F349" w:rsidR="004526E2" w:rsidRPr="00FA078D" w:rsidRDefault="004526E2" w:rsidP="004526E2">
      <w:pPr>
        <w:pStyle w:val="bezslovn"/>
        <w:jc w:val="both"/>
      </w:pPr>
      <w:r w:rsidRPr="00E563B1">
        <w:lastRenderedPageBreak/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</w:t>
      </w:r>
      <w:r w:rsidR="006730B8">
        <w:t>m</w:t>
      </w:r>
      <w:r w:rsidRPr="00E563B1">
        <w:t xml:space="preserve">) zákona č. 340/2015 Sb., o zvláštních podmínkách </w:t>
      </w:r>
      <w:r w:rsidRPr="00D94247">
        <w:rPr>
          <w:szCs w:val="22"/>
        </w:rPr>
        <w:t>účinnosti</w:t>
      </w:r>
      <w:r w:rsidRPr="00E563B1">
        <w:t xml:space="preserve">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751D053" w14:textId="77777777" w:rsidR="004526E2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0EB115A2" w14:textId="7B337831" w:rsidR="000251A7" w:rsidRPr="00DF068A" w:rsidRDefault="006351A7" w:rsidP="00A83097">
      <w:pPr>
        <w:widowControl w:val="0"/>
        <w:tabs>
          <w:tab w:val="right" w:pos="9072"/>
        </w:tabs>
        <w:jc w:val="both"/>
        <w:rPr>
          <w:b/>
          <w:bCs/>
          <w:snapToGrid w:val="0"/>
          <w:szCs w:val="22"/>
        </w:rPr>
      </w:pPr>
      <w:r w:rsidRPr="00DF068A">
        <w:rPr>
          <w:b/>
          <w:bCs/>
          <w:snapToGrid w:val="0"/>
          <w:szCs w:val="22"/>
        </w:rPr>
        <w:t>Přílohy:</w:t>
      </w:r>
    </w:p>
    <w:p w14:paraId="7EC7C9F2" w14:textId="3EEB4126" w:rsidR="006351A7" w:rsidRDefault="006351A7" w:rsidP="006351A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 w:rsidRPr="006351A7">
        <w:rPr>
          <w:snapToGrid w:val="0"/>
          <w:szCs w:val="22"/>
        </w:rPr>
        <w:t xml:space="preserve">Příloha č. </w:t>
      </w:r>
      <w:r w:rsidR="00827731">
        <w:rPr>
          <w:snapToGrid w:val="0"/>
          <w:szCs w:val="22"/>
        </w:rPr>
        <w:t>1: Situace Zařízení</w:t>
      </w:r>
    </w:p>
    <w:p w14:paraId="36B07245" w14:textId="59829700" w:rsidR="00827731" w:rsidRDefault="00827731" w:rsidP="006351A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Příloha č. 2: Předávací protokol k projektové dokumentaci</w:t>
      </w:r>
    </w:p>
    <w:p w14:paraId="7EA8A284" w14:textId="43F09BA5" w:rsidR="00827731" w:rsidRDefault="00827731" w:rsidP="006351A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Příloha č. 3: Předávací protokol ke stavebnímu povolení</w:t>
      </w:r>
    </w:p>
    <w:p w14:paraId="5F620E0D" w14:textId="77777777" w:rsidR="00DF068A" w:rsidRDefault="00DF068A" w:rsidP="006351A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7CE2BA41" w14:textId="77777777" w:rsidR="00DF068A" w:rsidRDefault="00DF068A" w:rsidP="006351A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3A979662" w14:textId="77777777" w:rsidR="000251A7" w:rsidRDefault="000251A7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8B1F378" w14:textId="77777777"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14:paraId="7DD60B0C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772BE01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7EFDC8B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37EC9278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09BBD47F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05D3C9E2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485E932A" w14:textId="687D4DFF" w:rsidR="00295465" w:rsidRDefault="00295465" w:rsidP="00B85BE4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…………………………                                                           </w:t>
      </w:r>
    </w:p>
    <w:p w14:paraId="227AF9EC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Andrea Kakašová</w:t>
      </w:r>
    </w:p>
    <w:p w14:paraId="6D2276C6" w14:textId="18C236AF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starostka</w:t>
      </w:r>
    </w:p>
    <w:p w14:paraId="3D2CF7DB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6F408D71" w14:textId="62F71D54"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14:paraId="1A7F2A6E" w14:textId="29A31F3D" w:rsidR="00F720B4" w:rsidRDefault="00295465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</w:t>
      </w:r>
      <w:r w:rsidR="00B85BE4">
        <w:rPr>
          <w:snapToGrid w:val="0"/>
          <w:szCs w:val="22"/>
        </w:rPr>
        <w:t xml:space="preserve">e Valech </w:t>
      </w:r>
      <w:r>
        <w:rPr>
          <w:snapToGrid w:val="0"/>
          <w:szCs w:val="22"/>
        </w:rPr>
        <w:t>dne:</w:t>
      </w:r>
    </w:p>
    <w:p w14:paraId="1B8B738A" w14:textId="77777777"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583953F0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BBE3877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FDC23BD" w14:textId="77777777"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14:paraId="4B53E2C0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3A118B26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B7D0741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EBB1184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508AFCBF" w14:textId="77777777" w:rsidR="00B85BE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E140061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705F5F54" w14:textId="77777777" w:rsidR="00295465" w:rsidRDefault="00295465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…………………………………………..</w:t>
      </w:r>
      <w:r w:rsidR="008551CA">
        <w:rPr>
          <w:szCs w:val="22"/>
        </w:rPr>
        <w:tab/>
        <w:t>…………………………………..</w:t>
      </w:r>
    </w:p>
    <w:p w14:paraId="15D90E68" w14:textId="764DF0AC" w:rsidR="00F720B4" w:rsidRDefault="00B85BE4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Mgr. David Bracháček                                                                          Ing. Milan Míka</w:t>
      </w:r>
    </w:p>
    <w:p w14:paraId="76C3C294" w14:textId="30916AAD" w:rsidR="00B85BE4" w:rsidRDefault="00A03B7C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p</w:t>
      </w:r>
      <w:r w:rsidR="00B85BE4">
        <w:rPr>
          <w:szCs w:val="22"/>
        </w:rPr>
        <w:t>ředseda představenstva                                                                       místopředseda představenstva</w:t>
      </w:r>
    </w:p>
    <w:p w14:paraId="430A6D0B" w14:textId="77777777"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020620DB" w14:textId="77777777" w:rsidR="0064537B" w:rsidRDefault="00D80CD8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="0064537B" w:rsidRPr="006068E5">
        <w:rPr>
          <w:snapToGrid w:val="0"/>
          <w:szCs w:val="22"/>
        </w:rPr>
        <w:t xml:space="preserve"> </w:t>
      </w:r>
      <w:r w:rsidR="00295465">
        <w:rPr>
          <w:snapToGrid w:val="0"/>
          <w:szCs w:val="22"/>
        </w:rPr>
        <w:t>dne:</w:t>
      </w:r>
    </w:p>
    <w:p w14:paraId="15E32EB3" w14:textId="77777777" w:rsidR="001452D4" w:rsidRDefault="001452D4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5B351E49" w14:textId="77777777" w:rsidR="006351A7" w:rsidRDefault="006351A7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7EF35A5" w14:textId="77777777" w:rsidR="006351A7" w:rsidRDefault="006351A7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60C52BF7" w14:textId="77777777" w:rsidR="006351A7" w:rsidRDefault="006351A7">
      <w:pPr>
        <w:rPr>
          <w:snapToGrid w:val="0"/>
          <w:szCs w:val="22"/>
        </w:rPr>
      </w:pPr>
      <w:r>
        <w:rPr>
          <w:snapToGrid w:val="0"/>
          <w:szCs w:val="22"/>
        </w:rPr>
        <w:br w:type="page"/>
      </w:r>
    </w:p>
    <w:p w14:paraId="19B92C31" w14:textId="5D8F6291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lastRenderedPageBreak/>
        <w:t>Příloha č.1</w:t>
      </w:r>
    </w:p>
    <w:p w14:paraId="41A61173" w14:textId="5221271E" w:rsidR="00B85BE4" w:rsidRDefault="00B85BE4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noProof/>
        </w:rPr>
        <w:drawing>
          <wp:inline distT="0" distB="0" distL="0" distR="0" wp14:anchorId="5CE690A0" wp14:editId="1EBD61F9">
            <wp:extent cx="8266894" cy="3187614"/>
            <wp:effectExtent l="6032" t="0" r="7303" b="7302"/>
            <wp:docPr id="205806915" name="Obrázek 205806915" descr="Obsah obrázku text, mapa, atlas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36948641-D368-4FD5-B0A0-1DBB8FBAD7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6915" name="Obrázek 205806915" descr="Obsah obrázku text, mapa, atlas&#10;&#10;Popis byl vytvořen automaticky">
                      <a:extLst>
                        <a:ext uri="{FF2B5EF4-FFF2-40B4-BE49-F238E27FC236}">
                          <a16:creationId xmlns:a16="http://schemas.microsoft.com/office/drawing/2014/main" id="{36948641-D368-4FD5-B0A0-1DBB8FBAD7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89751" cy="319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A9C2" w14:textId="19FB7775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lastRenderedPageBreak/>
        <w:t>Příloha č. 2</w:t>
      </w:r>
    </w:p>
    <w:p w14:paraId="02955661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AB03E6B" w14:textId="77777777" w:rsidR="00AA62F7" w:rsidRDefault="00AA62F7" w:rsidP="00AA62F7"/>
    <w:p w14:paraId="165771EE" w14:textId="77777777" w:rsidR="00AA62F7" w:rsidRDefault="00AA62F7" w:rsidP="00AA62F7"/>
    <w:p w14:paraId="33BA6FE2" w14:textId="77777777" w:rsidR="00AA62F7" w:rsidRPr="00BC6AD7" w:rsidRDefault="00AA62F7" w:rsidP="00AA62F7">
      <w:pPr>
        <w:jc w:val="center"/>
        <w:rPr>
          <w:rFonts w:ascii="Verdana" w:hAnsi="Verdana"/>
          <w:b/>
          <w:sz w:val="20"/>
        </w:rPr>
      </w:pPr>
      <w:r w:rsidRPr="00BC6AD7">
        <w:rPr>
          <w:rFonts w:ascii="Verdana" w:hAnsi="Verdana"/>
          <w:b/>
          <w:sz w:val="20"/>
        </w:rPr>
        <w:t>Předávací protokol:</w:t>
      </w:r>
    </w:p>
    <w:p w14:paraId="12630254" w14:textId="77777777" w:rsidR="00AA62F7" w:rsidRPr="00BC6AD7" w:rsidRDefault="00AA62F7" w:rsidP="00AA62F7">
      <w:pPr>
        <w:jc w:val="center"/>
        <w:rPr>
          <w:rFonts w:ascii="Verdana" w:hAnsi="Verdana"/>
          <w:b/>
          <w:sz w:val="20"/>
        </w:rPr>
      </w:pPr>
    </w:p>
    <w:p w14:paraId="7B5D0018" w14:textId="77777777" w:rsidR="00AA62F7" w:rsidRDefault="00AA62F7" w:rsidP="00AA62F7">
      <w:pPr>
        <w:rPr>
          <w:rFonts w:ascii="Verdana" w:hAnsi="Verdana"/>
          <w:sz w:val="20"/>
        </w:rPr>
      </w:pPr>
    </w:p>
    <w:p w14:paraId="39D97FAC" w14:textId="77777777" w:rsidR="00AA62F7" w:rsidRDefault="00AA62F7" w:rsidP="00AA62F7">
      <w:pPr>
        <w:rPr>
          <w:rFonts w:ascii="Verdana" w:hAnsi="Verdana"/>
          <w:sz w:val="20"/>
        </w:rPr>
      </w:pPr>
    </w:p>
    <w:p w14:paraId="6803B323" w14:textId="77777777" w:rsidR="00AA62F7" w:rsidRDefault="00AA62F7" w:rsidP="00AA62F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6755"/>
      </w:tblGrid>
      <w:tr w:rsidR="00AA62F7" w:rsidRPr="001E5061" w14:paraId="67DE387F" w14:textId="77777777" w:rsidTr="00E744BA">
        <w:tc>
          <w:tcPr>
            <w:tcW w:w="2448" w:type="dxa"/>
          </w:tcPr>
          <w:p w14:paraId="70FC34C2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Datum:</w:t>
            </w:r>
          </w:p>
        </w:tc>
        <w:tc>
          <w:tcPr>
            <w:tcW w:w="7613" w:type="dxa"/>
          </w:tcPr>
          <w:p w14:paraId="1680D7A9" w14:textId="354EF501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</w:p>
        </w:tc>
      </w:tr>
      <w:tr w:rsidR="00AA62F7" w:rsidRPr="001E5061" w14:paraId="2ACDBA31" w14:textId="77777777" w:rsidTr="00E744BA">
        <w:tc>
          <w:tcPr>
            <w:tcW w:w="2448" w:type="dxa"/>
          </w:tcPr>
          <w:p w14:paraId="532A52A0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Předávající:</w:t>
            </w:r>
          </w:p>
        </w:tc>
        <w:tc>
          <w:tcPr>
            <w:tcW w:w="7613" w:type="dxa"/>
          </w:tcPr>
          <w:p w14:paraId="19B0B2F2" w14:textId="26AF23A9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Obec Valy</w:t>
            </w:r>
          </w:p>
        </w:tc>
      </w:tr>
      <w:tr w:rsidR="00AA62F7" w:rsidRPr="001E5061" w14:paraId="4B5F35AB" w14:textId="77777777" w:rsidTr="00E744BA">
        <w:tc>
          <w:tcPr>
            <w:tcW w:w="2448" w:type="dxa"/>
          </w:tcPr>
          <w:p w14:paraId="316CC032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Přebírající:</w:t>
            </w:r>
          </w:p>
        </w:tc>
        <w:tc>
          <w:tcPr>
            <w:tcW w:w="7613" w:type="dxa"/>
          </w:tcPr>
          <w:p w14:paraId="34160233" w14:textId="6113292D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Technicko-investiční oddělení CHEVAK Cheb, a.s.</w:t>
            </w:r>
          </w:p>
        </w:tc>
      </w:tr>
    </w:tbl>
    <w:p w14:paraId="1E9AC47A" w14:textId="77777777" w:rsidR="00AA62F7" w:rsidRDefault="00AA62F7" w:rsidP="00AA62F7">
      <w:pPr>
        <w:rPr>
          <w:rFonts w:ascii="Verdana" w:hAnsi="Verdana"/>
          <w:sz w:val="20"/>
        </w:rPr>
      </w:pPr>
    </w:p>
    <w:p w14:paraId="3270509E" w14:textId="77777777" w:rsidR="00AA62F7" w:rsidRDefault="00AA62F7" w:rsidP="00AA62F7">
      <w:pPr>
        <w:rPr>
          <w:rFonts w:ascii="Verdana" w:hAnsi="Verdana"/>
          <w:sz w:val="20"/>
        </w:rPr>
      </w:pPr>
    </w:p>
    <w:p w14:paraId="19D17E24" w14:textId="77777777" w:rsidR="00AA62F7" w:rsidRDefault="00AA62F7" w:rsidP="00AA62F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6753"/>
      </w:tblGrid>
      <w:tr w:rsidR="00AA62F7" w:rsidRPr="001E5061" w14:paraId="47D6E3DD" w14:textId="77777777" w:rsidTr="00E744BA"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0DC29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akce:</w:t>
            </w:r>
          </w:p>
        </w:tc>
        <w:tc>
          <w:tcPr>
            <w:tcW w:w="7613" w:type="dxa"/>
            <w:tcBorders>
              <w:left w:val="single" w:sz="4" w:space="0" w:color="auto"/>
            </w:tcBorders>
          </w:tcPr>
          <w:p w14:paraId="116AC366" w14:textId="14555F72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Přístupová komunikace k ČSOV Valy</w:t>
            </w:r>
          </w:p>
        </w:tc>
      </w:tr>
      <w:tr w:rsidR="00AA62F7" w:rsidRPr="001E5061" w14:paraId="50FFD233" w14:textId="77777777" w:rsidTr="00691CD2"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14:paraId="19F07DE3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předané dokumenty:</w:t>
            </w:r>
          </w:p>
        </w:tc>
        <w:tc>
          <w:tcPr>
            <w:tcW w:w="7613" w:type="dxa"/>
            <w:tcBorders>
              <w:left w:val="single" w:sz="4" w:space="0" w:color="auto"/>
            </w:tcBorders>
            <w:vAlign w:val="center"/>
          </w:tcPr>
          <w:p w14:paraId="181AA385" w14:textId="26118557" w:rsidR="00AA62F7" w:rsidRPr="001E5061" w:rsidRDefault="00AA62F7" w:rsidP="00691C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Kompletní PD</w:t>
            </w:r>
          </w:p>
        </w:tc>
      </w:tr>
    </w:tbl>
    <w:p w14:paraId="012FC0CE" w14:textId="77777777" w:rsidR="00AA62F7" w:rsidRDefault="00AA62F7" w:rsidP="00AA62F7">
      <w:pPr>
        <w:rPr>
          <w:rFonts w:ascii="Verdana" w:hAnsi="Verdana"/>
          <w:sz w:val="20"/>
        </w:rPr>
      </w:pPr>
    </w:p>
    <w:p w14:paraId="20043CE2" w14:textId="77777777" w:rsidR="00AA62F7" w:rsidRDefault="00AA62F7" w:rsidP="00AA62F7">
      <w:pPr>
        <w:rPr>
          <w:rFonts w:ascii="Verdana" w:hAnsi="Verdana"/>
          <w:sz w:val="20"/>
        </w:rPr>
      </w:pPr>
    </w:p>
    <w:p w14:paraId="5DA07DB9" w14:textId="77777777" w:rsidR="00AA62F7" w:rsidRDefault="00AA62F7" w:rsidP="00AA62F7">
      <w:pPr>
        <w:rPr>
          <w:rFonts w:ascii="Verdana" w:hAnsi="Verdana"/>
          <w:sz w:val="20"/>
        </w:rPr>
      </w:pPr>
    </w:p>
    <w:p w14:paraId="7103FC75" w14:textId="77777777" w:rsidR="00AA62F7" w:rsidRDefault="00AA62F7" w:rsidP="00AA62F7">
      <w:pPr>
        <w:rPr>
          <w:rFonts w:ascii="Verdana" w:hAnsi="Verdana"/>
          <w:sz w:val="20"/>
        </w:rPr>
      </w:pPr>
    </w:p>
    <w:p w14:paraId="40F8F95C" w14:textId="77777777" w:rsidR="00AA62F7" w:rsidRDefault="00AA62F7" w:rsidP="00AA62F7">
      <w:pPr>
        <w:rPr>
          <w:rFonts w:ascii="Verdana" w:hAnsi="Verdana"/>
          <w:sz w:val="20"/>
        </w:rPr>
      </w:pPr>
    </w:p>
    <w:p w14:paraId="2A8304C8" w14:textId="77777777" w:rsidR="00AA62F7" w:rsidRDefault="00AA62F7" w:rsidP="00AA62F7">
      <w:pPr>
        <w:rPr>
          <w:rFonts w:ascii="Verdana" w:hAnsi="Verdana"/>
          <w:sz w:val="20"/>
        </w:rPr>
      </w:pPr>
    </w:p>
    <w:p w14:paraId="7F5B35A2" w14:textId="77777777" w:rsidR="00AA62F7" w:rsidRDefault="00AA62F7" w:rsidP="00AA62F7">
      <w:pPr>
        <w:rPr>
          <w:rFonts w:ascii="Verdana" w:hAnsi="Verdana"/>
          <w:sz w:val="20"/>
        </w:rPr>
      </w:pPr>
    </w:p>
    <w:p w14:paraId="692584E8" w14:textId="5C6266E8" w:rsidR="00AA62F7" w:rsidRDefault="00AA62F7" w:rsidP="00AA62F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5F689843" w14:textId="3AB57B5B" w:rsidR="00AA62F7" w:rsidRDefault="00AA62F7" w:rsidP="00AA62F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                                                .....................................</w:t>
      </w:r>
    </w:p>
    <w:p w14:paraId="4AA63654" w14:textId="5703D6A7" w:rsidR="00AA62F7" w:rsidRDefault="00AA62F7" w:rsidP="00AA62F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předávající                                                                             přebírající</w:t>
      </w:r>
    </w:p>
    <w:p w14:paraId="5AB7A425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145D938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6EE70D7F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44EDD259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59F1155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BE95065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67CC42B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4E5F7A11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45BB18A6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5BA7541A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BA03881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72272A1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5554BCF2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E1C6B0F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2A286DCC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A8497BD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B081837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DA68F17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5D17044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41DC34F1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0F50690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62877809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6A5CEC8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85E454A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103B16F" w14:textId="77777777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29F4EB63" w14:textId="5D4DCE18" w:rsidR="00DF068A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lastRenderedPageBreak/>
        <w:t>Příloha č.3</w:t>
      </w:r>
    </w:p>
    <w:p w14:paraId="2F72A49A" w14:textId="77777777" w:rsidR="00AA62F7" w:rsidRDefault="00AA62F7" w:rsidP="00AA62F7">
      <w:pPr>
        <w:jc w:val="center"/>
        <w:rPr>
          <w:rFonts w:ascii="Verdana" w:hAnsi="Verdana"/>
          <w:b/>
          <w:sz w:val="20"/>
        </w:rPr>
      </w:pPr>
    </w:p>
    <w:p w14:paraId="1260474D" w14:textId="77310AA7" w:rsidR="00AA62F7" w:rsidRPr="00BC6AD7" w:rsidRDefault="00AA62F7" w:rsidP="00AA62F7">
      <w:pPr>
        <w:jc w:val="center"/>
        <w:rPr>
          <w:rFonts w:ascii="Verdana" w:hAnsi="Verdana"/>
          <w:b/>
          <w:sz w:val="20"/>
        </w:rPr>
      </w:pPr>
      <w:r w:rsidRPr="00BC6AD7">
        <w:rPr>
          <w:rFonts w:ascii="Verdana" w:hAnsi="Verdana"/>
          <w:b/>
          <w:sz w:val="20"/>
        </w:rPr>
        <w:t>Předávací protokol:</w:t>
      </w:r>
    </w:p>
    <w:p w14:paraId="129C20E1" w14:textId="77777777" w:rsidR="00AA62F7" w:rsidRPr="00BC6AD7" w:rsidRDefault="00AA62F7" w:rsidP="00AA62F7">
      <w:pPr>
        <w:jc w:val="center"/>
        <w:rPr>
          <w:rFonts w:ascii="Verdana" w:hAnsi="Verdana"/>
          <w:b/>
          <w:sz w:val="20"/>
        </w:rPr>
      </w:pPr>
    </w:p>
    <w:p w14:paraId="0AA60B4B" w14:textId="77777777" w:rsidR="00AA62F7" w:rsidRDefault="00AA62F7" w:rsidP="00AA62F7">
      <w:pPr>
        <w:rPr>
          <w:rFonts w:ascii="Verdana" w:hAnsi="Verdana"/>
          <w:sz w:val="20"/>
        </w:rPr>
      </w:pPr>
    </w:p>
    <w:p w14:paraId="1F0BEE86" w14:textId="77777777" w:rsidR="00AA62F7" w:rsidRDefault="00AA62F7" w:rsidP="00AA62F7">
      <w:pPr>
        <w:rPr>
          <w:rFonts w:ascii="Verdana" w:hAnsi="Verdana"/>
          <w:sz w:val="20"/>
        </w:rPr>
      </w:pPr>
    </w:p>
    <w:p w14:paraId="27CA5FF3" w14:textId="77777777" w:rsidR="00AA62F7" w:rsidRDefault="00AA62F7" w:rsidP="00AA62F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6755"/>
      </w:tblGrid>
      <w:tr w:rsidR="00AA62F7" w:rsidRPr="001E5061" w14:paraId="0818FDD5" w14:textId="77777777" w:rsidTr="00E744BA">
        <w:tc>
          <w:tcPr>
            <w:tcW w:w="2448" w:type="dxa"/>
          </w:tcPr>
          <w:p w14:paraId="19CFBBE1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Datum:</w:t>
            </w:r>
          </w:p>
        </w:tc>
        <w:tc>
          <w:tcPr>
            <w:tcW w:w="7613" w:type="dxa"/>
          </w:tcPr>
          <w:p w14:paraId="51676EF8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</w:p>
        </w:tc>
      </w:tr>
      <w:tr w:rsidR="00AA62F7" w:rsidRPr="001E5061" w14:paraId="616A1FCF" w14:textId="77777777" w:rsidTr="00E744BA">
        <w:tc>
          <w:tcPr>
            <w:tcW w:w="2448" w:type="dxa"/>
          </w:tcPr>
          <w:p w14:paraId="41CE90C5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Předávající:</w:t>
            </w:r>
          </w:p>
        </w:tc>
        <w:tc>
          <w:tcPr>
            <w:tcW w:w="7613" w:type="dxa"/>
          </w:tcPr>
          <w:p w14:paraId="2C94BED8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Obec Valy</w:t>
            </w:r>
          </w:p>
        </w:tc>
      </w:tr>
      <w:tr w:rsidR="00AA62F7" w:rsidRPr="001E5061" w14:paraId="0EB7A89F" w14:textId="77777777" w:rsidTr="00E744BA">
        <w:tc>
          <w:tcPr>
            <w:tcW w:w="2448" w:type="dxa"/>
          </w:tcPr>
          <w:p w14:paraId="3F534302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Přebírající:</w:t>
            </w:r>
          </w:p>
        </w:tc>
        <w:tc>
          <w:tcPr>
            <w:tcW w:w="7613" w:type="dxa"/>
          </w:tcPr>
          <w:p w14:paraId="783E7266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Technicko-investiční oddělení CHEVAK Cheb, a.s.</w:t>
            </w:r>
          </w:p>
        </w:tc>
      </w:tr>
    </w:tbl>
    <w:p w14:paraId="36CC8F17" w14:textId="77777777" w:rsidR="00AA62F7" w:rsidRDefault="00AA62F7" w:rsidP="00AA62F7">
      <w:pPr>
        <w:rPr>
          <w:rFonts w:ascii="Verdana" w:hAnsi="Verdana"/>
          <w:sz w:val="20"/>
        </w:rPr>
      </w:pPr>
    </w:p>
    <w:p w14:paraId="609A2917" w14:textId="77777777" w:rsidR="00AA62F7" w:rsidRDefault="00AA62F7" w:rsidP="00AA62F7">
      <w:pPr>
        <w:rPr>
          <w:rFonts w:ascii="Verdana" w:hAnsi="Verdana"/>
          <w:sz w:val="20"/>
        </w:rPr>
      </w:pPr>
    </w:p>
    <w:p w14:paraId="152738FD" w14:textId="77777777" w:rsidR="00AA62F7" w:rsidRDefault="00AA62F7" w:rsidP="00AA62F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6753"/>
      </w:tblGrid>
      <w:tr w:rsidR="00AA62F7" w:rsidRPr="001E5061" w14:paraId="1996D6AB" w14:textId="77777777" w:rsidTr="00E744BA"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20F63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akce:</w:t>
            </w:r>
          </w:p>
        </w:tc>
        <w:tc>
          <w:tcPr>
            <w:tcW w:w="7613" w:type="dxa"/>
            <w:tcBorders>
              <w:left w:val="single" w:sz="4" w:space="0" w:color="auto"/>
            </w:tcBorders>
          </w:tcPr>
          <w:p w14:paraId="5BD51BC2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Přístupová komunikace k ČSOV Valy</w:t>
            </w:r>
          </w:p>
        </w:tc>
      </w:tr>
      <w:tr w:rsidR="00AA62F7" w:rsidRPr="001E5061" w14:paraId="7C078630" w14:textId="77777777" w:rsidTr="00E744BA"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14:paraId="4AB614E5" w14:textId="77777777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 w:rsidRPr="001E5061">
              <w:rPr>
                <w:rFonts w:ascii="Verdana" w:hAnsi="Verdana"/>
                <w:sz w:val="20"/>
              </w:rPr>
              <w:t>předané dokumenty:</w:t>
            </w:r>
          </w:p>
        </w:tc>
        <w:tc>
          <w:tcPr>
            <w:tcW w:w="7613" w:type="dxa"/>
            <w:tcBorders>
              <w:left w:val="single" w:sz="4" w:space="0" w:color="auto"/>
            </w:tcBorders>
          </w:tcPr>
          <w:p w14:paraId="464C6690" w14:textId="783012EF" w:rsidR="00AA62F7" w:rsidRPr="001E5061" w:rsidRDefault="00AA62F7" w:rsidP="00E744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Stavební povolení</w:t>
            </w:r>
          </w:p>
        </w:tc>
      </w:tr>
    </w:tbl>
    <w:p w14:paraId="47B3E483" w14:textId="77777777" w:rsidR="00AA62F7" w:rsidRDefault="00AA62F7" w:rsidP="00AA62F7">
      <w:pPr>
        <w:rPr>
          <w:rFonts w:ascii="Verdana" w:hAnsi="Verdana"/>
          <w:sz w:val="20"/>
        </w:rPr>
      </w:pPr>
    </w:p>
    <w:p w14:paraId="5B523FD8" w14:textId="77777777" w:rsidR="00AA62F7" w:rsidRDefault="00AA62F7" w:rsidP="00AA62F7">
      <w:pPr>
        <w:rPr>
          <w:rFonts w:ascii="Verdana" w:hAnsi="Verdana"/>
          <w:sz w:val="20"/>
        </w:rPr>
      </w:pPr>
    </w:p>
    <w:p w14:paraId="7D681B87" w14:textId="77777777" w:rsidR="00AA62F7" w:rsidRDefault="00AA62F7" w:rsidP="00AA62F7">
      <w:pPr>
        <w:rPr>
          <w:rFonts w:ascii="Verdana" w:hAnsi="Verdana"/>
          <w:sz w:val="20"/>
        </w:rPr>
      </w:pPr>
    </w:p>
    <w:p w14:paraId="1DF516FC" w14:textId="77777777" w:rsidR="00AA62F7" w:rsidRDefault="00AA62F7" w:rsidP="00AA62F7">
      <w:pPr>
        <w:rPr>
          <w:rFonts w:ascii="Verdana" w:hAnsi="Verdana"/>
          <w:sz w:val="20"/>
        </w:rPr>
      </w:pPr>
    </w:p>
    <w:p w14:paraId="5E7F8EA6" w14:textId="77777777" w:rsidR="00AA62F7" w:rsidRDefault="00AA62F7" w:rsidP="00AA62F7">
      <w:pPr>
        <w:rPr>
          <w:rFonts w:ascii="Verdana" w:hAnsi="Verdana"/>
          <w:sz w:val="20"/>
        </w:rPr>
      </w:pPr>
    </w:p>
    <w:p w14:paraId="5E904C9F" w14:textId="77777777" w:rsidR="00AA62F7" w:rsidRDefault="00AA62F7" w:rsidP="00AA62F7">
      <w:pPr>
        <w:rPr>
          <w:rFonts w:ascii="Verdana" w:hAnsi="Verdana"/>
          <w:sz w:val="20"/>
        </w:rPr>
      </w:pPr>
    </w:p>
    <w:p w14:paraId="60D85331" w14:textId="77777777" w:rsidR="00AA62F7" w:rsidRDefault="00AA62F7" w:rsidP="00AA62F7">
      <w:pPr>
        <w:rPr>
          <w:rFonts w:ascii="Verdana" w:hAnsi="Verdana"/>
          <w:sz w:val="20"/>
        </w:rPr>
      </w:pPr>
    </w:p>
    <w:p w14:paraId="65FC5A10" w14:textId="77777777" w:rsidR="00AA62F7" w:rsidRDefault="00AA62F7" w:rsidP="00AA62F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1D17FACC" w14:textId="77777777" w:rsidR="00AA62F7" w:rsidRDefault="00AA62F7" w:rsidP="00AA62F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                                                .....................................</w:t>
      </w:r>
    </w:p>
    <w:p w14:paraId="3BFD1590" w14:textId="77777777" w:rsidR="00AA62F7" w:rsidRDefault="00AA62F7" w:rsidP="00AA62F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předávající                                                                             přebírající</w:t>
      </w:r>
    </w:p>
    <w:p w14:paraId="43048C7D" w14:textId="77777777" w:rsidR="00DF068A" w:rsidRPr="007A2086" w:rsidRDefault="00DF068A" w:rsidP="007A2086">
      <w:pPr>
        <w:tabs>
          <w:tab w:val="right" w:pos="9072"/>
        </w:tabs>
        <w:jc w:val="both"/>
        <w:rPr>
          <w:snapToGrid w:val="0"/>
          <w:szCs w:val="22"/>
        </w:rPr>
      </w:pPr>
    </w:p>
    <w:sectPr w:rsidR="00DF068A" w:rsidRPr="007A2086" w:rsidSect="0068657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383C" w14:textId="77777777" w:rsidR="00F22C54" w:rsidRDefault="00F22C54">
      <w:r>
        <w:separator/>
      </w:r>
    </w:p>
  </w:endnote>
  <w:endnote w:type="continuationSeparator" w:id="0">
    <w:p w14:paraId="4302476D" w14:textId="77777777" w:rsidR="00F22C54" w:rsidRDefault="00F22C54">
      <w:r>
        <w:continuationSeparator/>
      </w:r>
    </w:p>
  </w:endnote>
  <w:endnote w:type="continuationNotice" w:id="1">
    <w:p w14:paraId="108CCDD7" w14:textId="77777777" w:rsidR="00F22C54" w:rsidRDefault="00F22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EAE" w14:textId="77777777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14:paraId="0DD587B3" w14:textId="77777777"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B04E" w14:textId="7724965B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637C">
      <w:rPr>
        <w:rStyle w:val="slostrnky"/>
        <w:noProof/>
      </w:rPr>
      <w:t>3</w:t>
    </w:r>
    <w:r>
      <w:rPr>
        <w:rStyle w:val="slostrnky"/>
      </w:rPr>
      <w:fldChar w:fldCharType="end"/>
    </w:r>
  </w:p>
  <w:p w14:paraId="55ED5F6D" w14:textId="77777777" w:rsidR="003E09F0" w:rsidRDefault="003E09F0" w:rsidP="003E09F0">
    <w:pPr>
      <w:jc w:val="both"/>
      <w:rPr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FB41" w14:textId="77777777" w:rsidR="003E09F0" w:rsidRDefault="003E09F0">
    <w:pPr>
      <w:pStyle w:val="Zpat"/>
    </w:pPr>
  </w:p>
  <w:p w14:paraId="6CE8B1B2" w14:textId="77777777"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6594" w14:textId="77777777" w:rsidR="00F22C54" w:rsidRDefault="00F22C54">
      <w:r>
        <w:separator/>
      </w:r>
    </w:p>
  </w:footnote>
  <w:footnote w:type="continuationSeparator" w:id="0">
    <w:p w14:paraId="316D933A" w14:textId="77777777" w:rsidR="00F22C54" w:rsidRDefault="00F22C54">
      <w:r>
        <w:continuationSeparator/>
      </w:r>
    </w:p>
  </w:footnote>
  <w:footnote w:type="continuationNotice" w:id="1">
    <w:p w14:paraId="03200B13" w14:textId="77777777" w:rsidR="00F22C54" w:rsidRDefault="00F22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AB98" w14:textId="6E4A00EC" w:rsidR="003E09F0" w:rsidRDefault="003E09F0">
    <w:pPr>
      <w:pStyle w:val="Zhlav"/>
    </w:pPr>
    <w:r>
      <w:tab/>
    </w:r>
    <w:r>
      <w:tab/>
    </w:r>
    <w:r w:rsidR="00D10AD4" w:rsidRPr="00250F3E">
      <w:rPr>
        <w:noProof/>
      </w:rPr>
      <w:drawing>
        <wp:anchor distT="0" distB="0" distL="114300" distR="114300" simplePos="0" relativeHeight="251658243" behindDoc="0" locked="1" layoutInCell="1" allowOverlap="1" wp14:anchorId="28123F4B" wp14:editId="74D3B179">
          <wp:simplePos x="0" y="0"/>
          <wp:positionH relativeFrom="rightMargin">
            <wp:posOffset>-192405</wp:posOffset>
          </wp:positionH>
          <wp:positionV relativeFrom="topMargin">
            <wp:posOffset>495300</wp:posOffset>
          </wp:positionV>
          <wp:extent cx="313055" cy="467995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AD4" w:rsidRPr="00250F3E">
      <w:rPr>
        <w:noProof/>
      </w:rPr>
      <w:drawing>
        <wp:anchor distT="0" distB="0" distL="114300" distR="114300" simplePos="0" relativeHeight="251658242" behindDoc="0" locked="1" layoutInCell="1" allowOverlap="1" wp14:anchorId="533611F2" wp14:editId="5C5B49C7">
          <wp:simplePos x="0" y="0"/>
          <wp:positionH relativeFrom="page">
            <wp:posOffset>900430</wp:posOffset>
          </wp:positionH>
          <wp:positionV relativeFrom="topMargin">
            <wp:posOffset>611505</wp:posOffset>
          </wp:positionV>
          <wp:extent cx="1832400" cy="468000"/>
          <wp:effectExtent l="0" t="0" r="0" b="825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F08D" w14:textId="48638634" w:rsidR="003E09F0" w:rsidRDefault="003E09F0">
    <w:pPr>
      <w:pStyle w:val="Zhlav"/>
    </w:pPr>
    <w:r>
      <w:tab/>
    </w:r>
    <w:r>
      <w:tab/>
    </w:r>
    <w:r w:rsidR="00D10AD4" w:rsidRPr="00250F3E">
      <w:rPr>
        <w:noProof/>
      </w:rPr>
      <w:drawing>
        <wp:anchor distT="0" distB="0" distL="114300" distR="114300" simplePos="0" relativeHeight="251658241" behindDoc="0" locked="1" layoutInCell="1" allowOverlap="1" wp14:anchorId="2D204AA4" wp14:editId="23765AF0">
          <wp:simplePos x="0" y="0"/>
          <wp:positionH relativeFrom="rightMargin">
            <wp:posOffset>-218440</wp:posOffset>
          </wp:positionH>
          <wp:positionV relativeFrom="topMargin">
            <wp:posOffset>466725</wp:posOffset>
          </wp:positionV>
          <wp:extent cx="313055" cy="467995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AD4" w:rsidRPr="00250F3E">
      <w:rPr>
        <w:noProof/>
      </w:rPr>
      <w:drawing>
        <wp:anchor distT="0" distB="0" distL="114300" distR="114300" simplePos="0" relativeHeight="251658240" behindDoc="0" locked="1" layoutInCell="1" allowOverlap="1" wp14:anchorId="74D9A266" wp14:editId="5C381AA4">
          <wp:simplePos x="0" y="0"/>
          <wp:positionH relativeFrom="page">
            <wp:posOffset>900430</wp:posOffset>
          </wp:positionH>
          <wp:positionV relativeFrom="topMargin">
            <wp:posOffset>611505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31CE6" w14:textId="77777777"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4154494"/>
    <w:multiLevelType w:val="hybridMultilevel"/>
    <w:tmpl w:val="58226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790FE3"/>
    <w:multiLevelType w:val="multilevel"/>
    <w:tmpl w:val="F27AE8D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316170">
    <w:abstractNumId w:val="0"/>
  </w:num>
  <w:num w:numId="2" w16cid:durableId="492987380">
    <w:abstractNumId w:val="4"/>
  </w:num>
  <w:num w:numId="3" w16cid:durableId="1930459484">
    <w:abstractNumId w:val="15"/>
  </w:num>
  <w:num w:numId="4" w16cid:durableId="608198265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51774245">
    <w:abstractNumId w:val="15"/>
  </w:num>
  <w:num w:numId="6" w16cid:durableId="1481993356">
    <w:abstractNumId w:val="15"/>
  </w:num>
  <w:num w:numId="7" w16cid:durableId="901452818">
    <w:abstractNumId w:val="4"/>
  </w:num>
  <w:num w:numId="8" w16cid:durableId="1471902578">
    <w:abstractNumId w:val="15"/>
  </w:num>
  <w:num w:numId="9" w16cid:durableId="2082752365">
    <w:abstractNumId w:val="15"/>
  </w:num>
  <w:num w:numId="10" w16cid:durableId="13239585">
    <w:abstractNumId w:val="15"/>
  </w:num>
  <w:num w:numId="11" w16cid:durableId="1108234103">
    <w:abstractNumId w:val="15"/>
  </w:num>
  <w:num w:numId="12" w16cid:durableId="2055422305">
    <w:abstractNumId w:val="15"/>
  </w:num>
  <w:num w:numId="13" w16cid:durableId="1564369427">
    <w:abstractNumId w:val="4"/>
  </w:num>
  <w:num w:numId="14" w16cid:durableId="1688748098">
    <w:abstractNumId w:val="15"/>
  </w:num>
  <w:num w:numId="15" w16cid:durableId="1859731313">
    <w:abstractNumId w:val="15"/>
  </w:num>
  <w:num w:numId="16" w16cid:durableId="882600351">
    <w:abstractNumId w:val="15"/>
  </w:num>
  <w:num w:numId="17" w16cid:durableId="1714426127">
    <w:abstractNumId w:val="2"/>
  </w:num>
  <w:num w:numId="18" w16cid:durableId="1130711726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 w16cid:durableId="499656308">
    <w:abstractNumId w:val="1"/>
  </w:num>
  <w:num w:numId="20" w16cid:durableId="2036806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7290270">
    <w:abstractNumId w:val="6"/>
  </w:num>
  <w:num w:numId="22" w16cid:durableId="1804149410">
    <w:abstractNumId w:val="16"/>
  </w:num>
  <w:num w:numId="23" w16cid:durableId="831457437">
    <w:abstractNumId w:val="7"/>
  </w:num>
  <w:num w:numId="24" w16cid:durableId="1725441970">
    <w:abstractNumId w:val="8"/>
  </w:num>
  <w:num w:numId="25" w16cid:durableId="77021906">
    <w:abstractNumId w:val="12"/>
  </w:num>
  <w:num w:numId="26" w16cid:durableId="448822609">
    <w:abstractNumId w:val="5"/>
  </w:num>
  <w:num w:numId="27" w16cid:durableId="1356342707">
    <w:abstractNumId w:val="3"/>
  </w:num>
  <w:num w:numId="28" w16cid:durableId="1322927181">
    <w:abstractNumId w:val="11"/>
  </w:num>
  <w:num w:numId="29" w16cid:durableId="1309938478">
    <w:abstractNumId w:val="14"/>
  </w:num>
  <w:num w:numId="30" w16cid:durableId="490214953">
    <w:abstractNumId w:val="9"/>
  </w:num>
  <w:num w:numId="31" w16cid:durableId="2056271360">
    <w:abstractNumId w:val="15"/>
  </w:num>
  <w:num w:numId="32" w16cid:durableId="110907373">
    <w:abstractNumId w:val="15"/>
  </w:num>
  <w:num w:numId="33" w16cid:durableId="1713458510">
    <w:abstractNumId w:val="15"/>
  </w:num>
  <w:num w:numId="34" w16cid:durableId="1504394536">
    <w:abstractNumId w:val="15"/>
  </w:num>
  <w:num w:numId="35" w16cid:durableId="992370402">
    <w:abstractNumId w:val="15"/>
  </w:num>
  <w:num w:numId="36" w16cid:durableId="1783376030">
    <w:abstractNumId w:val="15"/>
  </w:num>
  <w:num w:numId="37" w16cid:durableId="29843257">
    <w:abstractNumId w:val="13"/>
  </w:num>
  <w:num w:numId="38" w16cid:durableId="3729265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6"/>
    <w:rsid w:val="00002170"/>
    <w:rsid w:val="000153FB"/>
    <w:rsid w:val="00020DC2"/>
    <w:rsid w:val="000251A7"/>
    <w:rsid w:val="00040811"/>
    <w:rsid w:val="000441A9"/>
    <w:rsid w:val="00050B77"/>
    <w:rsid w:val="00071696"/>
    <w:rsid w:val="00073B3A"/>
    <w:rsid w:val="00074011"/>
    <w:rsid w:val="000853E0"/>
    <w:rsid w:val="000854A2"/>
    <w:rsid w:val="000870A4"/>
    <w:rsid w:val="000913E6"/>
    <w:rsid w:val="00092F02"/>
    <w:rsid w:val="00093A9C"/>
    <w:rsid w:val="00094439"/>
    <w:rsid w:val="000A2812"/>
    <w:rsid w:val="000A7CFA"/>
    <w:rsid w:val="000B4391"/>
    <w:rsid w:val="000B4954"/>
    <w:rsid w:val="000C1A9E"/>
    <w:rsid w:val="000D2B74"/>
    <w:rsid w:val="000D3EFE"/>
    <w:rsid w:val="000E585B"/>
    <w:rsid w:val="000F02E5"/>
    <w:rsid w:val="000F095F"/>
    <w:rsid w:val="001051E3"/>
    <w:rsid w:val="00107077"/>
    <w:rsid w:val="00113FC1"/>
    <w:rsid w:val="00115C17"/>
    <w:rsid w:val="001244D8"/>
    <w:rsid w:val="001452D4"/>
    <w:rsid w:val="00146F49"/>
    <w:rsid w:val="001570B5"/>
    <w:rsid w:val="0016248A"/>
    <w:rsid w:val="00183678"/>
    <w:rsid w:val="00185FC2"/>
    <w:rsid w:val="00190760"/>
    <w:rsid w:val="001A2E0F"/>
    <w:rsid w:val="001B4572"/>
    <w:rsid w:val="001B56A5"/>
    <w:rsid w:val="001C59CC"/>
    <w:rsid w:val="001D0219"/>
    <w:rsid w:val="001D4228"/>
    <w:rsid w:val="001D44C1"/>
    <w:rsid w:val="001D7855"/>
    <w:rsid w:val="001E3EE6"/>
    <w:rsid w:val="001E6F40"/>
    <w:rsid w:val="001F3DE0"/>
    <w:rsid w:val="001F484C"/>
    <w:rsid w:val="001F793B"/>
    <w:rsid w:val="00201C5C"/>
    <w:rsid w:val="00201F9A"/>
    <w:rsid w:val="002127EF"/>
    <w:rsid w:val="00214936"/>
    <w:rsid w:val="002278BE"/>
    <w:rsid w:val="00252633"/>
    <w:rsid w:val="00252669"/>
    <w:rsid w:val="0026331C"/>
    <w:rsid w:val="0026449D"/>
    <w:rsid w:val="00272903"/>
    <w:rsid w:val="00273276"/>
    <w:rsid w:val="0027762C"/>
    <w:rsid w:val="0028296F"/>
    <w:rsid w:val="00295465"/>
    <w:rsid w:val="002C1020"/>
    <w:rsid w:val="002C527E"/>
    <w:rsid w:val="002C6CE9"/>
    <w:rsid w:val="002C7C4D"/>
    <w:rsid w:val="002D53D1"/>
    <w:rsid w:val="002D637C"/>
    <w:rsid w:val="002E36E0"/>
    <w:rsid w:val="002E7011"/>
    <w:rsid w:val="002F00EA"/>
    <w:rsid w:val="002F0AE1"/>
    <w:rsid w:val="002F4630"/>
    <w:rsid w:val="00301FB7"/>
    <w:rsid w:val="0030344D"/>
    <w:rsid w:val="00305E30"/>
    <w:rsid w:val="00306C91"/>
    <w:rsid w:val="00306E54"/>
    <w:rsid w:val="00315A88"/>
    <w:rsid w:val="00326F0B"/>
    <w:rsid w:val="00341847"/>
    <w:rsid w:val="0034290A"/>
    <w:rsid w:val="003635CF"/>
    <w:rsid w:val="0036635E"/>
    <w:rsid w:val="00385A39"/>
    <w:rsid w:val="00393E06"/>
    <w:rsid w:val="00394550"/>
    <w:rsid w:val="003E09F0"/>
    <w:rsid w:val="003E2550"/>
    <w:rsid w:val="003E57A2"/>
    <w:rsid w:val="003F5A94"/>
    <w:rsid w:val="00441CB6"/>
    <w:rsid w:val="00442D07"/>
    <w:rsid w:val="0044308B"/>
    <w:rsid w:val="004526E2"/>
    <w:rsid w:val="004600B0"/>
    <w:rsid w:val="004614C7"/>
    <w:rsid w:val="0046629B"/>
    <w:rsid w:val="00474FDB"/>
    <w:rsid w:val="004816F5"/>
    <w:rsid w:val="00487ED4"/>
    <w:rsid w:val="00492C00"/>
    <w:rsid w:val="004B0B32"/>
    <w:rsid w:val="004B7295"/>
    <w:rsid w:val="004D20A9"/>
    <w:rsid w:val="004D52BD"/>
    <w:rsid w:val="004D7100"/>
    <w:rsid w:val="004E564E"/>
    <w:rsid w:val="004F0F2C"/>
    <w:rsid w:val="005028CC"/>
    <w:rsid w:val="00505402"/>
    <w:rsid w:val="005136B2"/>
    <w:rsid w:val="00513D7E"/>
    <w:rsid w:val="005218F0"/>
    <w:rsid w:val="00522075"/>
    <w:rsid w:val="00524E9A"/>
    <w:rsid w:val="005254BD"/>
    <w:rsid w:val="005271D5"/>
    <w:rsid w:val="005463C2"/>
    <w:rsid w:val="005464FA"/>
    <w:rsid w:val="00552050"/>
    <w:rsid w:val="005550BF"/>
    <w:rsid w:val="00562FB7"/>
    <w:rsid w:val="00566880"/>
    <w:rsid w:val="0056741A"/>
    <w:rsid w:val="00573B07"/>
    <w:rsid w:val="005818F8"/>
    <w:rsid w:val="00581AEB"/>
    <w:rsid w:val="0058202F"/>
    <w:rsid w:val="005956C4"/>
    <w:rsid w:val="005A1928"/>
    <w:rsid w:val="005A609A"/>
    <w:rsid w:val="005A67CB"/>
    <w:rsid w:val="005B1220"/>
    <w:rsid w:val="005B1B90"/>
    <w:rsid w:val="005B77A4"/>
    <w:rsid w:val="005C25E5"/>
    <w:rsid w:val="005C48A0"/>
    <w:rsid w:val="005C6024"/>
    <w:rsid w:val="005D192A"/>
    <w:rsid w:val="005D7F3E"/>
    <w:rsid w:val="005E2CF4"/>
    <w:rsid w:val="005E4EB6"/>
    <w:rsid w:val="005F26BA"/>
    <w:rsid w:val="00605375"/>
    <w:rsid w:val="006068E5"/>
    <w:rsid w:val="00617FD9"/>
    <w:rsid w:val="00620296"/>
    <w:rsid w:val="006227D7"/>
    <w:rsid w:val="006269D2"/>
    <w:rsid w:val="00626FC4"/>
    <w:rsid w:val="00627D1F"/>
    <w:rsid w:val="006351A7"/>
    <w:rsid w:val="006373BC"/>
    <w:rsid w:val="00641B42"/>
    <w:rsid w:val="00643F5F"/>
    <w:rsid w:val="0064537B"/>
    <w:rsid w:val="00647EC7"/>
    <w:rsid w:val="00656FFF"/>
    <w:rsid w:val="0066072E"/>
    <w:rsid w:val="006627A9"/>
    <w:rsid w:val="006702F9"/>
    <w:rsid w:val="006730B8"/>
    <w:rsid w:val="00681F13"/>
    <w:rsid w:val="0068337E"/>
    <w:rsid w:val="0068657D"/>
    <w:rsid w:val="00686A4F"/>
    <w:rsid w:val="00691CD2"/>
    <w:rsid w:val="006A0E77"/>
    <w:rsid w:val="006B3DFF"/>
    <w:rsid w:val="006B549D"/>
    <w:rsid w:val="006B5970"/>
    <w:rsid w:val="006C3B00"/>
    <w:rsid w:val="006D0C36"/>
    <w:rsid w:val="006D2A15"/>
    <w:rsid w:val="006F225C"/>
    <w:rsid w:val="006F7A00"/>
    <w:rsid w:val="0070116C"/>
    <w:rsid w:val="00703B49"/>
    <w:rsid w:val="00706ABE"/>
    <w:rsid w:val="00707DFD"/>
    <w:rsid w:val="00722D54"/>
    <w:rsid w:val="007245E8"/>
    <w:rsid w:val="0072714A"/>
    <w:rsid w:val="00735785"/>
    <w:rsid w:val="00740674"/>
    <w:rsid w:val="0074248C"/>
    <w:rsid w:val="00747E54"/>
    <w:rsid w:val="0075231A"/>
    <w:rsid w:val="00753909"/>
    <w:rsid w:val="0075544F"/>
    <w:rsid w:val="007649DA"/>
    <w:rsid w:val="00764F48"/>
    <w:rsid w:val="00764F8F"/>
    <w:rsid w:val="00770CF8"/>
    <w:rsid w:val="00783C9B"/>
    <w:rsid w:val="00785E92"/>
    <w:rsid w:val="007903D6"/>
    <w:rsid w:val="007906B4"/>
    <w:rsid w:val="00797418"/>
    <w:rsid w:val="007A2086"/>
    <w:rsid w:val="007A2F17"/>
    <w:rsid w:val="007A30C5"/>
    <w:rsid w:val="007A3616"/>
    <w:rsid w:val="007A3C9E"/>
    <w:rsid w:val="007D11A9"/>
    <w:rsid w:val="007D39AE"/>
    <w:rsid w:val="007D5CF6"/>
    <w:rsid w:val="007E01BF"/>
    <w:rsid w:val="007E581F"/>
    <w:rsid w:val="007F242D"/>
    <w:rsid w:val="007F47B4"/>
    <w:rsid w:val="007F784E"/>
    <w:rsid w:val="00804737"/>
    <w:rsid w:val="008171E0"/>
    <w:rsid w:val="00827731"/>
    <w:rsid w:val="00850D4A"/>
    <w:rsid w:val="008547F3"/>
    <w:rsid w:val="008551CA"/>
    <w:rsid w:val="00862C9A"/>
    <w:rsid w:val="00873013"/>
    <w:rsid w:val="00876E09"/>
    <w:rsid w:val="008A296E"/>
    <w:rsid w:val="008A3B6B"/>
    <w:rsid w:val="008A5B52"/>
    <w:rsid w:val="008D5531"/>
    <w:rsid w:val="008E0E8C"/>
    <w:rsid w:val="00900313"/>
    <w:rsid w:val="00901715"/>
    <w:rsid w:val="00902599"/>
    <w:rsid w:val="00903307"/>
    <w:rsid w:val="00915886"/>
    <w:rsid w:val="00915F4C"/>
    <w:rsid w:val="00923521"/>
    <w:rsid w:val="00924F01"/>
    <w:rsid w:val="00932A25"/>
    <w:rsid w:val="00934F58"/>
    <w:rsid w:val="00942AD8"/>
    <w:rsid w:val="009619AC"/>
    <w:rsid w:val="00972D1B"/>
    <w:rsid w:val="009A2B56"/>
    <w:rsid w:val="009C3DD7"/>
    <w:rsid w:val="009C7E6E"/>
    <w:rsid w:val="009F1B4B"/>
    <w:rsid w:val="00A03695"/>
    <w:rsid w:val="00A03B7C"/>
    <w:rsid w:val="00A23D90"/>
    <w:rsid w:val="00A25E52"/>
    <w:rsid w:val="00A27739"/>
    <w:rsid w:val="00A27970"/>
    <w:rsid w:val="00A32251"/>
    <w:rsid w:val="00A515A4"/>
    <w:rsid w:val="00A73434"/>
    <w:rsid w:val="00A77AB1"/>
    <w:rsid w:val="00A83097"/>
    <w:rsid w:val="00A83629"/>
    <w:rsid w:val="00A8425D"/>
    <w:rsid w:val="00A93332"/>
    <w:rsid w:val="00A94B61"/>
    <w:rsid w:val="00A977A7"/>
    <w:rsid w:val="00AA62F7"/>
    <w:rsid w:val="00AB5373"/>
    <w:rsid w:val="00AB5652"/>
    <w:rsid w:val="00AB696B"/>
    <w:rsid w:val="00AB77A2"/>
    <w:rsid w:val="00AC7D0E"/>
    <w:rsid w:val="00AD0E2A"/>
    <w:rsid w:val="00AD5C90"/>
    <w:rsid w:val="00AD67A5"/>
    <w:rsid w:val="00AD724E"/>
    <w:rsid w:val="00AE1155"/>
    <w:rsid w:val="00AE7800"/>
    <w:rsid w:val="00AF09C6"/>
    <w:rsid w:val="00AF1533"/>
    <w:rsid w:val="00AF1B49"/>
    <w:rsid w:val="00AF1E8B"/>
    <w:rsid w:val="00AF4771"/>
    <w:rsid w:val="00B05033"/>
    <w:rsid w:val="00B12526"/>
    <w:rsid w:val="00B13AFA"/>
    <w:rsid w:val="00B143CA"/>
    <w:rsid w:val="00B154B5"/>
    <w:rsid w:val="00B374DC"/>
    <w:rsid w:val="00B414E8"/>
    <w:rsid w:val="00B437AC"/>
    <w:rsid w:val="00B47FD5"/>
    <w:rsid w:val="00B610FB"/>
    <w:rsid w:val="00B63150"/>
    <w:rsid w:val="00B73DC2"/>
    <w:rsid w:val="00B76DC0"/>
    <w:rsid w:val="00B8105C"/>
    <w:rsid w:val="00B84CF6"/>
    <w:rsid w:val="00B85BE4"/>
    <w:rsid w:val="00B8694A"/>
    <w:rsid w:val="00B91A34"/>
    <w:rsid w:val="00B91C2D"/>
    <w:rsid w:val="00B93B8F"/>
    <w:rsid w:val="00B96459"/>
    <w:rsid w:val="00BA0AB4"/>
    <w:rsid w:val="00BC0195"/>
    <w:rsid w:val="00BC07AD"/>
    <w:rsid w:val="00BE2BDA"/>
    <w:rsid w:val="00BF4320"/>
    <w:rsid w:val="00BF587A"/>
    <w:rsid w:val="00C0091D"/>
    <w:rsid w:val="00C01471"/>
    <w:rsid w:val="00C10AF1"/>
    <w:rsid w:val="00C15836"/>
    <w:rsid w:val="00C32E51"/>
    <w:rsid w:val="00C35B6D"/>
    <w:rsid w:val="00C5428B"/>
    <w:rsid w:val="00C636F5"/>
    <w:rsid w:val="00C65688"/>
    <w:rsid w:val="00C66B96"/>
    <w:rsid w:val="00C76FF7"/>
    <w:rsid w:val="00C839C9"/>
    <w:rsid w:val="00C85ADB"/>
    <w:rsid w:val="00C86453"/>
    <w:rsid w:val="00C916D7"/>
    <w:rsid w:val="00C95D2C"/>
    <w:rsid w:val="00CC19C1"/>
    <w:rsid w:val="00CC5CD0"/>
    <w:rsid w:val="00CD5A47"/>
    <w:rsid w:val="00CE3D39"/>
    <w:rsid w:val="00CE668F"/>
    <w:rsid w:val="00CF355A"/>
    <w:rsid w:val="00CF67CD"/>
    <w:rsid w:val="00D03406"/>
    <w:rsid w:val="00D04DA4"/>
    <w:rsid w:val="00D10AD4"/>
    <w:rsid w:val="00D1195F"/>
    <w:rsid w:val="00D25A35"/>
    <w:rsid w:val="00D417E4"/>
    <w:rsid w:val="00D468A4"/>
    <w:rsid w:val="00D511ED"/>
    <w:rsid w:val="00D677FF"/>
    <w:rsid w:val="00D80CD8"/>
    <w:rsid w:val="00D85307"/>
    <w:rsid w:val="00D96688"/>
    <w:rsid w:val="00DB019D"/>
    <w:rsid w:val="00DB66EA"/>
    <w:rsid w:val="00DC09D2"/>
    <w:rsid w:val="00DC21F3"/>
    <w:rsid w:val="00DC2FD1"/>
    <w:rsid w:val="00DC4C35"/>
    <w:rsid w:val="00DD5EA7"/>
    <w:rsid w:val="00DD6857"/>
    <w:rsid w:val="00DD6C54"/>
    <w:rsid w:val="00DF068A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3081A"/>
    <w:rsid w:val="00E3582E"/>
    <w:rsid w:val="00E445A1"/>
    <w:rsid w:val="00E528C1"/>
    <w:rsid w:val="00E562C3"/>
    <w:rsid w:val="00E6007D"/>
    <w:rsid w:val="00E62BB0"/>
    <w:rsid w:val="00E72ED7"/>
    <w:rsid w:val="00E736F1"/>
    <w:rsid w:val="00E744BA"/>
    <w:rsid w:val="00E77512"/>
    <w:rsid w:val="00E83447"/>
    <w:rsid w:val="00E85F88"/>
    <w:rsid w:val="00E94F0E"/>
    <w:rsid w:val="00E969A9"/>
    <w:rsid w:val="00EB068A"/>
    <w:rsid w:val="00EC1B58"/>
    <w:rsid w:val="00ED070E"/>
    <w:rsid w:val="00ED4040"/>
    <w:rsid w:val="00ED79D7"/>
    <w:rsid w:val="00EE1DE9"/>
    <w:rsid w:val="00EE61D5"/>
    <w:rsid w:val="00EE7CDE"/>
    <w:rsid w:val="00EF202D"/>
    <w:rsid w:val="00EF3DB6"/>
    <w:rsid w:val="00F07E58"/>
    <w:rsid w:val="00F11B78"/>
    <w:rsid w:val="00F13542"/>
    <w:rsid w:val="00F178B0"/>
    <w:rsid w:val="00F22C54"/>
    <w:rsid w:val="00F25B59"/>
    <w:rsid w:val="00F30505"/>
    <w:rsid w:val="00F30F65"/>
    <w:rsid w:val="00F35A59"/>
    <w:rsid w:val="00F35CB3"/>
    <w:rsid w:val="00F4076B"/>
    <w:rsid w:val="00F47D80"/>
    <w:rsid w:val="00F50441"/>
    <w:rsid w:val="00F578DD"/>
    <w:rsid w:val="00F720B4"/>
    <w:rsid w:val="00F87B69"/>
    <w:rsid w:val="00F9081D"/>
    <w:rsid w:val="00F92497"/>
    <w:rsid w:val="00F965E1"/>
    <w:rsid w:val="00FA0FFD"/>
    <w:rsid w:val="00FA2752"/>
    <w:rsid w:val="00FA747A"/>
    <w:rsid w:val="00FB1BF7"/>
    <w:rsid w:val="00FB38D0"/>
    <w:rsid w:val="00FC429A"/>
    <w:rsid w:val="00FD4705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62477"/>
  <w15:docId w15:val="{BFB7C65E-1E3C-4A33-BD9A-4F4557E7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DF068A"/>
    <w:pPr>
      <w:tabs>
        <w:tab w:val="left" w:pos="660"/>
        <w:tab w:val="right" w:leader="dot" w:pos="9060"/>
      </w:tabs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  <w:style w:type="character" w:customStyle="1" w:styleId="Nadpis3Char">
    <w:name w:val="Nadpis 3 Char"/>
    <w:link w:val="Nadpis3"/>
    <w:rsid w:val="00AF1533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F1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15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33"/>
    <w:rPr>
      <w:b/>
      <w:bCs/>
    </w:rPr>
  </w:style>
  <w:style w:type="character" w:customStyle="1" w:styleId="normaltextrun">
    <w:name w:val="normaltextrun"/>
    <w:basedOn w:val="Standardnpsmoodstavce"/>
    <w:rsid w:val="00E72ED7"/>
  </w:style>
  <w:style w:type="paragraph" w:styleId="Revize">
    <w:name w:val="Revision"/>
    <w:hidden/>
    <w:uiPriority w:val="99"/>
    <w:semiHidden/>
    <w:rsid w:val="00D25A35"/>
    <w:rPr>
      <w:sz w:val="22"/>
    </w:rPr>
  </w:style>
  <w:style w:type="paragraph" w:styleId="Bezmezer">
    <w:name w:val="No Spacing"/>
    <w:uiPriority w:val="1"/>
    <w:qFormat/>
    <w:rsid w:val="00BA0AB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7C86AEE97A94AA2831F574D3C5AC6" ma:contentTypeVersion="3" ma:contentTypeDescription="Create a new document." ma:contentTypeScope="" ma:versionID="d2a5d09b1f5762dd79163e2a47c0020a">
  <xsd:schema xmlns:xsd="http://www.w3.org/2001/XMLSchema" xmlns:xs="http://www.w3.org/2001/XMLSchema" xmlns:p="http://schemas.microsoft.com/office/2006/metadata/properties" xmlns:ns2="a02faa28-9501-4a75-8300-d284bdaa0d05" targetNamespace="http://schemas.microsoft.com/office/2006/metadata/properties" ma:root="true" ma:fieldsID="3da37f48234e31d66e0972495bebfc43" ns2:_="">
    <xsd:import namespace="a02faa28-9501-4a75-8300-d284bdaa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faa28-9501-4a75-8300-d284bdaa0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0032-BDC3-430A-8360-C99A1A469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faa28-9501-4a75-8300-d284bdaa0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98268-D2B7-4DFB-991C-2B61B78CA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0BB8D-FB35-4FC5-BBE9-5D4A89D5A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9DA92-DCA0-42B5-8F64-873DB30B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1951</Words>
  <Characters>13564</Characters>
  <Application>Microsoft Office Word</Application>
  <DocSecurity>4</DocSecurity>
  <Lines>113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Hewlett-Packard Company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subject/>
  <dc:creator>puffer@chevak.cz</dc:creator>
  <cp:keywords/>
  <cp:lastModifiedBy>Helclová Barbara</cp:lastModifiedBy>
  <cp:revision>2</cp:revision>
  <cp:lastPrinted>2023-12-05T06:03:00Z</cp:lastPrinted>
  <dcterms:created xsi:type="dcterms:W3CDTF">2024-01-09T11:24:00Z</dcterms:created>
  <dcterms:modified xsi:type="dcterms:W3CDTF">2024-01-09T11:24:00Z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0x0101008017C86AEE97A94AA2831F574D3C5AC6</vt:lpwstr>
  </property>
</Properties>
</file>