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spacing w:before="4"/>
        <w:rPr>
          <w:rFonts w:ascii="Times New Roman"/>
          <w:sz w:val="17"/>
        </w:rPr>
      </w:pPr>
      <w:r>
        <w:rPr/>
        <w:pict>
          <v:shapetype id="_x0000_t202" o:spt="202" coordsize="21600,21600" path="m,l,21600r21600,l21600,xe">
            <v:stroke joinstyle="miter"/>
            <v:path gradientshapeok="t" o:connecttype="rect"/>
          </v:shapetype>
          <v:shape style="position:absolute;margin-left:0pt;margin-top:.0pt;width:595.1pt;height:841.7pt;mso-position-horizontal-relative:page;mso-position-vertical-relative:page;z-index:-17320" type="#_x0000_t202" filled="false" stroked="false">
            <v:textbox inset="0,0,0,0">
              <w:txbxContent>
                <w:p>
                  <w:pPr>
                    <w:pStyle w:val="BodyText"/>
                    <w:rPr>
                      <w:rFonts w:ascii="Times New Roman"/>
                      <w:sz w:val="24"/>
                    </w:rPr>
                  </w:pPr>
                </w:p>
                <w:p>
                  <w:pPr>
                    <w:pStyle w:val="BodyText"/>
                    <w:spacing w:before="1"/>
                    <w:rPr>
                      <w:rFonts w:ascii="Times New Roman"/>
                      <w:sz w:val="28"/>
                    </w:rPr>
                  </w:pPr>
                </w:p>
                <w:p>
                  <w:pPr>
                    <w:spacing w:before="1"/>
                    <w:ind w:left="1476" w:right="0" w:firstLine="0"/>
                    <w:jc w:val="left"/>
                    <w:rPr>
                      <w:sz w:val="21"/>
                    </w:rPr>
                  </w:pPr>
                  <w:r>
                    <w:rPr>
                      <w:sz w:val="21"/>
                    </w:rPr>
                    <w:t>č. SMLR 75-4/2024</w:t>
                  </w:r>
                </w:p>
                <w:p>
                  <w:pPr>
                    <w:pStyle w:val="BodyText"/>
                    <w:rPr>
                      <w:rFonts w:ascii="Times New Roman"/>
                      <w:sz w:val="24"/>
                    </w:rPr>
                  </w:pPr>
                </w:p>
                <w:p>
                  <w:pPr>
                    <w:spacing w:before="191"/>
                    <w:ind w:left="1912" w:right="1722" w:firstLine="0"/>
                    <w:jc w:val="center"/>
                    <w:rPr>
                      <w:b/>
                      <w:sz w:val="24"/>
                    </w:rPr>
                  </w:pPr>
                  <w:r>
                    <w:rPr>
                      <w:b/>
                      <w:sz w:val="24"/>
                    </w:rPr>
                    <w:t>Rámcová dohoda</w:t>
                  </w:r>
                </w:p>
                <w:p>
                  <w:pPr>
                    <w:spacing w:line="218" w:lineRule="exact" w:before="1"/>
                    <w:ind w:left="1881" w:right="1722" w:firstLine="0"/>
                    <w:jc w:val="center"/>
                    <w:rPr>
                      <w:b/>
                      <w:sz w:val="19"/>
                    </w:rPr>
                  </w:pPr>
                  <w:r>
                    <w:rPr>
                      <w:b/>
                      <w:sz w:val="19"/>
                    </w:rPr>
                    <w:t>VZ č. 87/2023 „Uzavření rámcové dohody na opravy vozidel pro Správu KRNAP“</w:t>
                  </w:r>
                </w:p>
                <w:p>
                  <w:pPr>
                    <w:spacing w:line="252" w:lineRule="exact" w:before="0"/>
                    <w:ind w:left="4917" w:right="0" w:firstLine="0"/>
                    <w:jc w:val="left"/>
                    <w:rPr>
                      <w:b/>
                      <w:sz w:val="22"/>
                    </w:rPr>
                  </w:pPr>
                  <w:r>
                    <w:rPr>
                      <w:b/>
                      <w:sz w:val="22"/>
                    </w:rPr>
                    <w:t>4. část zn. Škoda, VW</w:t>
                  </w:r>
                </w:p>
                <w:p>
                  <w:pPr>
                    <w:pStyle w:val="BodyText"/>
                    <w:rPr>
                      <w:rFonts w:ascii="Times New Roman"/>
                      <w:sz w:val="24"/>
                    </w:rPr>
                  </w:pPr>
                </w:p>
                <w:p>
                  <w:pPr>
                    <w:pStyle w:val="BodyText"/>
                    <w:rPr>
                      <w:rFonts w:ascii="Times New Roman"/>
                      <w:sz w:val="24"/>
                    </w:rPr>
                  </w:pPr>
                </w:p>
                <w:p>
                  <w:pPr>
                    <w:tabs>
                      <w:tab w:pos="3571" w:val="left" w:leader="none"/>
                    </w:tabs>
                    <w:spacing w:before="178"/>
                    <w:ind w:left="1461" w:right="0" w:firstLine="0"/>
                    <w:jc w:val="left"/>
                    <w:rPr>
                      <w:b/>
                      <w:sz w:val="19"/>
                    </w:rPr>
                  </w:pPr>
                  <w:r>
                    <w:rPr>
                      <w:b/>
                      <w:sz w:val="19"/>
                    </w:rPr>
                    <w:t>Objednatel:</w:t>
                    <w:tab/>
                    <w:t>Správa  </w:t>
                  </w:r>
                  <w:r>
                    <w:rPr>
                      <w:b/>
                      <w:spacing w:val="2"/>
                      <w:sz w:val="19"/>
                    </w:rPr>
                    <w:t>Krkonošského  </w:t>
                  </w:r>
                  <w:r>
                    <w:rPr>
                      <w:b/>
                      <w:sz w:val="19"/>
                    </w:rPr>
                    <w:t>národního</w:t>
                  </w:r>
                  <w:r>
                    <w:rPr>
                      <w:b/>
                      <w:spacing w:val="1"/>
                      <w:sz w:val="19"/>
                    </w:rPr>
                    <w:t> </w:t>
                  </w:r>
                  <w:r>
                    <w:rPr>
                      <w:b/>
                      <w:spacing w:val="2"/>
                      <w:sz w:val="19"/>
                    </w:rPr>
                    <w:t>parku</w:t>
                  </w:r>
                </w:p>
                <w:p>
                  <w:pPr>
                    <w:pStyle w:val="BodyText"/>
                    <w:tabs>
                      <w:tab w:pos="3575" w:val="left" w:leader="none"/>
                    </w:tabs>
                    <w:spacing w:line="223" w:lineRule="exact" w:before="1"/>
                    <w:ind w:left="1461"/>
                  </w:pPr>
                  <w:r>
                    <w:rPr>
                      <w:position w:val="1"/>
                    </w:rPr>
                    <w:t>se</w:t>
                  </w:r>
                  <w:r>
                    <w:rPr>
                      <w:spacing w:val="6"/>
                      <w:position w:val="1"/>
                    </w:rPr>
                    <w:t> </w:t>
                  </w:r>
                  <w:r>
                    <w:rPr>
                      <w:position w:val="1"/>
                    </w:rPr>
                    <w:t>sídlem:</w:t>
                    <w:tab/>
                  </w:r>
                  <w:r>
                    <w:rPr/>
                    <w:t>Dobrovského 3, Vrchlabí 543 </w:t>
                  </w:r>
                  <w:r>
                    <w:rPr>
                      <w:spacing w:val="5"/>
                    </w:rPr>
                    <w:t> </w:t>
                  </w:r>
                  <w:r>
                    <w:rPr/>
                    <w:t>01</w:t>
                  </w:r>
                </w:p>
                <w:p>
                  <w:pPr>
                    <w:pStyle w:val="BodyText"/>
                    <w:tabs>
                      <w:tab w:pos="3571" w:val="left" w:leader="none"/>
                    </w:tabs>
                    <w:spacing w:line="221" w:lineRule="exact"/>
                    <w:ind w:left="1461"/>
                  </w:pPr>
                  <w:r>
                    <w:rPr>
                      <w:position w:val="1"/>
                    </w:rPr>
                    <w:t>IČO:</w:t>
                    <w:tab/>
                  </w:r>
                  <w:r>
                    <w:rPr/>
                    <w:t>00088455</w:t>
                  </w:r>
                </w:p>
                <w:p>
                  <w:pPr>
                    <w:pStyle w:val="BodyText"/>
                    <w:tabs>
                      <w:tab w:pos="3571" w:val="left" w:leader="none"/>
                    </w:tabs>
                    <w:spacing w:line="236" w:lineRule="exact"/>
                    <w:ind w:left="1461"/>
                  </w:pPr>
                  <w:r>
                    <w:rPr>
                      <w:position w:val="2"/>
                    </w:rPr>
                    <w:t>DIČ:</w:t>
                    <w:tab/>
                  </w:r>
                  <w:r>
                    <w:rPr/>
                    <w:t>CZ00088455</w:t>
                  </w:r>
                </w:p>
                <w:p>
                  <w:pPr>
                    <w:pStyle w:val="BodyText"/>
                    <w:spacing w:before="9"/>
                    <w:ind w:left="1461"/>
                  </w:pPr>
                  <w:r>
                    <w:rPr>
                      <w:w w:val="105"/>
                    </w:rPr>
                    <w:t>bankovní spojení:</w:t>
                  </w:r>
                </w:p>
                <w:p>
                  <w:pPr>
                    <w:pStyle w:val="BodyText"/>
                    <w:tabs>
                      <w:tab w:pos="3575" w:val="left" w:leader="none"/>
                    </w:tabs>
                    <w:spacing w:before="21"/>
                    <w:ind w:left="1454"/>
                  </w:pPr>
                  <w:r>
                    <w:rPr/>
                    <w:t>zastoupená:</w:t>
                    <w:tab/>
                    <w:t>PhDr.  Robinem  Bóhnischem,</w:t>
                  </w:r>
                  <w:r>
                    <w:rPr>
                      <w:spacing w:val="18"/>
                    </w:rPr>
                    <w:t> </w:t>
                  </w:r>
                  <w:r>
                    <w:rPr/>
                    <w:t>ředitelem</w:t>
                  </w:r>
                </w:p>
                <w:p>
                  <w:pPr>
                    <w:pStyle w:val="BodyText"/>
                    <w:spacing w:before="1"/>
                    <w:ind w:left="1461"/>
                  </w:pPr>
                  <w:r>
                    <w:rPr>
                      <w:w w:val="105"/>
                    </w:rPr>
                    <w:t>kontaktní osoba:</w:t>
                  </w:r>
                </w:p>
                <w:p>
                  <w:pPr>
                    <w:pStyle w:val="BodyText"/>
                    <w:spacing w:before="3"/>
                    <w:rPr>
                      <w:rFonts w:ascii="Times New Roman"/>
                      <w:sz w:val="22"/>
                    </w:rPr>
                  </w:pPr>
                </w:p>
                <w:p>
                  <w:pPr>
                    <w:pStyle w:val="BodyText"/>
                    <w:ind w:right="1299"/>
                    <w:jc w:val="right"/>
                  </w:pPr>
                  <w:r>
                    <w:rPr>
                      <w:w w:val="105"/>
                    </w:rPr>
                    <w:t>(dále jen „objednatel")</w:t>
                  </w:r>
                </w:p>
                <w:p>
                  <w:pPr>
                    <w:pStyle w:val="BodyText"/>
                    <w:spacing w:before="9"/>
                    <w:rPr>
                      <w:rFonts w:ascii="Times New Roman"/>
                    </w:rPr>
                  </w:pPr>
                </w:p>
                <w:p>
                  <w:pPr>
                    <w:pStyle w:val="BodyText"/>
                    <w:ind w:left="1447"/>
                  </w:pPr>
                  <w:r>
                    <w:rPr>
                      <w:w w:val="89"/>
                    </w:rPr>
                    <w:t>a</w:t>
                  </w:r>
                </w:p>
                <w:p>
                  <w:pPr>
                    <w:pStyle w:val="BodyText"/>
                    <w:spacing w:before="6"/>
                    <w:rPr>
                      <w:rFonts w:ascii="Times New Roman"/>
                      <w:sz w:val="20"/>
                    </w:rPr>
                  </w:pPr>
                </w:p>
                <w:p>
                  <w:pPr>
                    <w:tabs>
                      <w:tab w:pos="3563" w:val="left" w:leader="none"/>
                    </w:tabs>
                    <w:spacing w:before="0"/>
                    <w:ind w:left="1440" w:right="0" w:firstLine="0"/>
                    <w:jc w:val="left"/>
                    <w:rPr>
                      <w:b/>
                      <w:sz w:val="19"/>
                    </w:rPr>
                  </w:pPr>
                  <w:r>
                    <w:rPr>
                      <w:b/>
                      <w:position w:val="1"/>
                      <w:sz w:val="19"/>
                    </w:rPr>
                    <w:t>Zhotovitel:</w:t>
                    <w:tab/>
                  </w:r>
                  <w:r>
                    <w:rPr>
                      <w:b/>
                      <w:sz w:val="19"/>
                    </w:rPr>
                    <w:t>Pavel</w:t>
                  </w:r>
                  <w:r>
                    <w:rPr>
                      <w:b/>
                      <w:spacing w:val="35"/>
                      <w:sz w:val="19"/>
                    </w:rPr>
                    <w:t> </w:t>
                  </w:r>
                  <w:r>
                    <w:rPr>
                      <w:b/>
                      <w:sz w:val="19"/>
                    </w:rPr>
                    <w:t>Maisner</w:t>
                  </w:r>
                </w:p>
                <w:p>
                  <w:pPr>
                    <w:pStyle w:val="BodyText"/>
                    <w:tabs>
                      <w:tab w:pos="3564" w:val="left" w:leader="none"/>
                    </w:tabs>
                    <w:spacing w:line="223" w:lineRule="exact" w:before="3"/>
                    <w:ind w:left="1447"/>
                  </w:pPr>
                  <w:r>
                    <w:rPr>
                      <w:position w:val="1"/>
                    </w:rPr>
                    <w:t>se</w:t>
                  </w:r>
                  <w:r>
                    <w:rPr>
                      <w:spacing w:val="11"/>
                      <w:position w:val="1"/>
                    </w:rPr>
                    <w:t> </w:t>
                  </w:r>
                  <w:r>
                    <w:rPr>
                      <w:position w:val="1"/>
                    </w:rPr>
                    <w:t>sídlem:</w:t>
                    <w:tab/>
                  </w:r>
                  <w:r>
                    <w:rPr/>
                    <w:t>Dolní Lánov 132, 543 41 </w:t>
                  </w:r>
                  <w:r>
                    <w:rPr>
                      <w:spacing w:val="39"/>
                    </w:rPr>
                    <w:t> </w:t>
                  </w:r>
                  <w:r>
                    <w:rPr/>
                    <w:t>Lánov</w:t>
                  </w:r>
                </w:p>
                <w:p>
                  <w:pPr>
                    <w:pStyle w:val="BodyText"/>
                    <w:tabs>
                      <w:tab w:pos="3564" w:val="left" w:leader="none"/>
                    </w:tabs>
                    <w:spacing w:line="221" w:lineRule="exact"/>
                    <w:ind w:left="1454"/>
                  </w:pPr>
                  <w:r>
                    <w:rPr>
                      <w:position w:val="1"/>
                    </w:rPr>
                    <w:t>IČO:</w:t>
                    <w:tab/>
                  </w:r>
                  <w:r>
                    <w:rPr/>
                    <w:t>76099016</w:t>
                  </w:r>
                </w:p>
                <w:p>
                  <w:pPr>
                    <w:pStyle w:val="BodyText"/>
                    <w:spacing w:line="216" w:lineRule="exact"/>
                    <w:ind w:left="1447"/>
                  </w:pPr>
                  <w:r>
                    <w:rPr/>
                    <w:t>DIČ:</w:t>
                  </w:r>
                </w:p>
                <w:p>
                  <w:pPr>
                    <w:pStyle w:val="BodyText"/>
                    <w:spacing w:line="249" w:lineRule="auto" w:before="28"/>
                    <w:ind w:left="1439" w:right="8597" w:firstLine="7"/>
                  </w:pPr>
                  <w:r>
                    <w:rPr>
                      <w:w w:val="105"/>
                    </w:rPr>
                    <w:t>bankovní spojení: zastoupený: kontaktní osoba:</w:t>
                  </w:r>
                </w:p>
                <w:p>
                  <w:pPr>
                    <w:pStyle w:val="BodyText"/>
                    <w:rPr>
                      <w:rFonts w:ascii="Times New Roman"/>
                      <w:sz w:val="20"/>
                    </w:rPr>
                  </w:pPr>
                </w:p>
                <w:p>
                  <w:pPr>
                    <w:pStyle w:val="BodyText"/>
                    <w:spacing w:before="7"/>
                    <w:rPr>
                      <w:rFonts w:ascii="Times New Roman"/>
                      <w:sz w:val="22"/>
                    </w:rPr>
                  </w:pPr>
                </w:p>
                <w:p>
                  <w:pPr>
                    <w:pStyle w:val="BodyText"/>
                    <w:spacing w:line="244" w:lineRule="auto"/>
                    <w:ind w:left="8285" w:right="1303" w:firstLine="446"/>
                    <w:jc w:val="right"/>
                  </w:pPr>
                  <w:r>
                    <w:rPr>
                      <w:w w:val="105"/>
                    </w:rPr>
                    <w:t>(dále jen „zhotovitel")</w:t>
                  </w:r>
                  <w:r>
                    <w:rPr>
                      <w:w w:val="102"/>
                    </w:rPr>
                    <w:t> </w:t>
                  </w:r>
                  <w:r>
                    <w:rPr>
                      <w:w w:val="105"/>
                    </w:rPr>
                    <w:t>(dále jen „smluvní strany")</w:t>
                  </w:r>
                </w:p>
                <w:p>
                  <w:pPr>
                    <w:pStyle w:val="BodyText"/>
                    <w:rPr>
                      <w:rFonts w:ascii="Times New Roman"/>
                      <w:sz w:val="20"/>
                    </w:rPr>
                  </w:pPr>
                </w:p>
                <w:p>
                  <w:pPr>
                    <w:pStyle w:val="BodyText"/>
                    <w:ind w:left="1844" w:right="1722"/>
                    <w:jc w:val="center"/>
                  </w:pPr>
                  <w:r>
                    <w:rPr/>
                    <w:t>uzavírají níže uvedeného dne, měsíce a roku podle ustanovení § 1746 odst. 2 a ustanovení</w:t>
                  </w:r>
                </w:p>
                <w:p>
                  <w:pPr>
                    <w:pStyle w:val="BodyText"/>
                    <w:spacing w:before="9"/>
                    <w:ind w:left="1771"/>
                    <w:jc w:val="both"/>
                  </w:pPr>
                  <w:r>
                    <w:rPr/>
                    <w:t>§ 2586 a násl. zákona č.  89/2012  Sb., občanský zákoník,  ve znění pozdějších  předpisů   (dále jen</w:t>
                  </w:r>
                </w:p>
                <w:p>
                  <w:pPr>
                    <w:pStyle w:val="BodyText"/>
                    <w:spacing w:before="11"/>
                    <w:ind w:left="1815" w:right="1722"/>
                    <w:jc w:val="center"/>
                  </w:pPr>
                  <w:r>
                    <w:rPr>
                      <w:w w:val="105"/>
                    </w:rPr>
                    <w:t>„občanský zákoník") níže uvedeného dne, měsíce a roku tuto rámcovou dohodu.</w:t>
                  </w:r>
                </w:p>
                <w:p>
                  <w:pPr>
                    <w:pStyle w:val="BodyText"/>
                    <w:spacing w:before="11"/>
                    <w:ind w:left="1811" w:right="1722"/>
                    <w:jc w:val="center"/>
                  </w:pPr>
                  <w:r>
                    <w:rPr>
                      <w:w w:val="105"/>
                    </w:rPr>
                    <w:t>(dále jen „rámcová dohoda" nebo jen „dohoda"):</w:t>
                  </w:r>
                </w:p>
                <w:p>
                  <w:pPr>
                    <w:pStyle w:val="BodyText"/>
                    <w:rPr>
                      <w:rFonts w:ascii="Times New Roman"/>
                      <w:sz w:val="20"/>
                    </w:rPr>
                  </w:pPr>
                </w:p>
                <w:p>
                  <w:pPr>
                    <w:pStyle w:val="BodyText"/>
                    <w:spacing w:before="5"/>
                    <w:rPr>
                      <w:rFonts w:ascii="Times New Roman"/>
                      <w:sz w:val="20"/>
                    </w:rPr>
                  </w:pPr>
                </w:p>
                <w:p>
                  <w:pPr>
                    <w:spacing w:before="0"/>
                    <w:ind w:left="5052" w:right="0" w:firstLine="0"/>
                    <w:jc w:val="left"/>
                    <w:rPr>
                      <w:b/>
                      <w:sz w:val="22"/>
                    </w:rPr>
                  </w:pPr>
                  <w:r>
                    <w:rPr>
                      <w:b/>
                      <w:sz w:val="22"/>
                    </w:rPr>
                    <w:t>I. Předmět dohody</w:t>
                  </w:r>
                </w:p>
                <w:p>
                  <w:pPr>
                    <w:pStyle w:val="BodyText"/>
                    <w:spacing w:before="1"/>
                    <w:rPr>
                      <w:rFonts w:ascii="Times New Roman"/>
                      <w:sz w:val="31"/>
                    </w:rPr>
                  </w:pPr>
                </w:p>
                <w:p>
                  <w:pPr>
                    <w:pStyle w:val="BodyText"/>
                    <w:spacing w:line="268" w:lineRule="auto"/>
                    <w:ind w:left="1843" w:right="1354" w:hanging="411"/>
                    <w:jc w:val="both"/>
                  </w:pPr>
                  <w:r>
                    <w:rPr>
                      <w:w w:val="105"/>
                    </w:rPr>
                    <w:t>1. Tato rámcová dohoda se uzavírá na základě výsledků výběrového řízení na zakázku malého rozsahu s názvem „Uzavření rámcové dohody na opravy vozidel pro Správu KRNAP", ev. č. objednatele 87/2023 (dále jen </w:t>
                  </w:r>
                  <w:r>
                    <w:rPr>
                      <w:b/>
                      <w:w w:val="105"/>
                    </w:rPr>
                    <w:t>„veřejná zakázka" </w:t>
                  </w:r>
                  <w:r>
                    <w:rPr>
                      <w:w w:val="105"/>
                    </w:rPr>
                    <w:t>nebo </w:t>
                  </w:r>
                  <w:r>
                    <w:rPr>
                      <w:b/>
                      <w:spacing w:val="2"/>
                      <w:w w:val="105"/>
                    </w:rPr>
                    <w:t>„zadávací </w:t>
                  </w:r>
                  <w:r>
                    <w:rPr>
                      <w:b/>
                      <w:w w:val="105"/>
                    </w:rPr>
                    <w:t>řízení"). </w:t>
                  </w:r>
                  <w:r>
                    <w:rPr>
                      <w:w w:val="105"/>
                    </w:rPr>
                    <w:t>Tato rámcová dohoda se uzavírá pro část č. 4 vozidla zn. Škoda,</w:t>
                  </w:r>
                  <w:r>
                    <w:rPr>
                      <w:spacing w:val="-25"/>
                      <w:w w:val="105"/>
                    </w:rPr>
                    <w:t> </w:t>
                  </w:r>
                  <w:r>
                    <w:rPr>
                      <w:w w:val="105"/>
                    </w:rPr>
                    <w:t>VW.</w:t>
                  </w:r>
                </w:p>
                <w:p>
                  <w:pPr>
                    <w:pStyle w:val="BodyText"/>
                    <w:rPr>
                      <w:rFonts w:ascii="Times New Roman"/>
                      <w:sz w:val="20"/>
                    </w:rPr>
                  </w:pPr>
                </w:p>
                <w:p>
                  <w:pPr>
                    <w:pStyle w:val="BodyText"/>
                    <w:tabs>
                      <w:tab w:pos="1783" w:val="left" w:leader="none"/>
                    </w:tabs>
                    <w:spacing w:before="150"/>
                    <w:ind w:left="1418"/>
                  </w:pPr>
                  <w:r>
                    <w:rPr/>
                    <w:t>2.</w:t>
                    <w:tab/>
                    <w:t>Předmětem dohody je poskytování servisních a opravárenských prací pro</w:t>
                  </w:r>
                  <w:r>
                    <w:rPr>
                      <w:spacing w:val="-30"/>
                    </w:rPr>
                    <w:t> </w:t>
                  </w:r>
                  <w:r>
                    <w:rPr/>
                    <w:t>vozidla:</w:t>
                  </w:r>
                </w:p>
                <w:p>
                  <w:pPr>
                    <w:pStyle w:val="BodyText"/>
                    <w:spacing w:line="271" w:lineRule="auto" w:before="110"/>
                    <w:ind w:left="1785" w:right="1249" w:hanging="8"/>
                  </w:pPr>
                  <w:r>
                    <w:rPr>
                      <w:w w:val="115"/>
                    </w:rPr>
                    <w:t>Škoda</w:t>
                  </w:r>
                  <w:r>
                    <w:rPr>
                      <w:spacing w:val="-17"/>
                      <w:w w:val="115"/>
                    </w:rPr>
                    <w:t> </w:t>
                  </w:r>
                  <w:r>
                    <w:rPr>
                      <w:spacing w:val="2"/>
                      <w:w w:val="115"/>
                    </w:rPr>
                    <w:t>Fabia-</w:t>
                  </w:r>
                  <w:r>
                    <w:rPr>
                      <w:spacing w:val="-25"/>
                      <w:w w:val="115"/>
                    </w:rPr>
                    <w:t> </w:t>
                  </w:r>
                  <w:r>
                    <w:rPr>
                      <w:w w:val="115"/>
                    </w:rPr>
                    <w:t>3ks,</w:t>
                  </w:r>
                  <w:r>
                    <w:rPr>
                      <w:spacing w:val="-16"/>
                      <w:w w:val="115"/>
                    </w:rPr>
                    <w:t> </w:t>
                  </w:r>
                  <w:r>
                    <w:rPr>
                      <w:w w:val="115"/>
                    </w:rPr>
                    <w:t>Škoda</w:t>
                  </w:r>
                  <w:r>
                    <w:rPr>
                      <w:spacing w:val="-19"/>
                      <w:w w:val="115"/>
                    </w:rPr>
                    <w:t> </w:t>
                  </w:r>
                  <w:r>
                    <w:rPr>
                      <w:w w:val="115"/>
                    </w:rPr>
                    <w:t>Octavia-</w:t>
                  </w:r>
                  <w:r>
                    <w:rPr>
                      <w:spacing w:val="-27"/>
                      <w:w w:val="115"/>
                    </w:rPr>
                    <w:t> </w:t>
                  </w:r>
                  <w:r>
                    <w:rPr>
                      <w:w w:val="115"/>
                    </w:rPr>
                    <w:t>4ks,</w:t>
                  </w:r>
                  <w:r>
                    <w:rPr>
                      <w:spacing w:val="-13"/>
                      <w:w w:val="115"/>
                    </w:rPr>
                    <w:t> </w:t>
                  </w:r>
                  <w:r>
                    <w:rPr>
                      <w:w w:val="115"/>
                    </w:rPr>
                    <w:t>Škoda</w:t>
                  </w:r>
                  <w:r>
                    <w:rPr>
                      <w:spacing w:val="-17"/>
                      <w:w w:val="115"/>
                    </w:rPr>
                    <w:t> </w:t>
                  </w:r>
                  <w:r>
                    <w:rPr>
                      <w:w w:val="115"/>
                    </w:rPr>
                    <w:t>Kodiaq-</w:t>
                  </w:r>
                  <w:r>
                    <w:rPr>
                      <w:spacing w:val="-27"/>
                      <w:w w:val="115"/>
                    </w:rPr>
                    <w:t> </w:t>
                  </w:r>
                  <w:r>
                    <w:rPr>
                      <w:w w:val="115"/>
                    </w:rPr>
                    <w:t>6ks,</w:t>
                  </w:r>
                  <w:r>
                    <w:rPr>
                      <w:spacing w:val="-16"/>
                      <w:w w:val="115"/>
                    </w:rPr>
                    <w:t> </w:t>
                  </w:r>
                  <w:r>
                    <w:rPr>
                      <w:w w:val="115"/>
                    </w:rPr>
                    <w:t>VW</w:t>
                  </w:r>
                  <w:r>
                    <w:rPr>
                      <w:spacing w:val="-19"/>
                      <w:w w:val="115"/>
                    </w:rPr>
                    <w:t> </w:t>
                  </w:r>
                  <w:r>
                    <w:rPr>
                      <w:w w:val="115"/>
                    </w:rPr>
                    <w:t>Candy-</w:t>
                  </w:r>
                  <w:r>
                    <w:rPr>
                      <w:spacing w:val="-18"/>
                      <w:w w:val="115"/>
                    </w:rPr>
                    <w:t> </w:t>
                  </w:r>
                  <w:r>
                    <w:rPr>
                      <w:w w:val="115"/>
                    </w:rPr>
                    <w:t>1ks,</w:t>
                  </w:r>
                  <w:r>
                    <w:rPr>
                      <w:spacing w:val="-22"/>
                      <w:w w:val="115"/>
                    </w:rPr>
                    <w:t> </w:t>
                  </w:r>
                  <w:r>
                    <w:rPr>
                      <w:w w:val="115"/>
                    </w:rPr>
                    <w:t>VW</w:t>
                  </w:r>
                  <w:r>
                    <w:rPr>
                      <w:spacing w:val="-19"/>
                      <w:w w:val="115"/>
                    </w:rPr>
                    <w:t> </w:t>
                  </w:r>
                  <w:r>
                    <w:rPr>
                      <w:w w:val="115"/>
                    </w:rPr>
                    <w:t>Caravelle- 1ks.</w:t>
                  </w:r>
                </w:p>
                <w:p>
                  <w:pPr>
                    <w:pStyle w:val="BodyText"/>
                    <w:spacing w:line="249" w:lineRule="auto" w:before="109"/>
                    <w:ind w:left="1771" w:right="1359"/>
                    <w:jc w:val="both"/>
                  </w:pPr>
                  <w:r>
                    <w:rPr/>
                    <w:t>V případě rozšíření/změny vozového parku objednatele apod. v průběhu trvání této rámcové dohody mohou být po vzájemné dohodě smluvních stran, nevyžadující uzavření dodatku ktéto  rámcové  dohodě, realizovány servisní a opravárenské práce též pro vozidla tovární značky Škoda, </w:t>
                  </w:r>
                  <w:r>
                    <w:rPr>
                      <w:spacing w:val="-3"/>
                    </w:rPr>
                    <w:t>VW </w:t>
                  </w:r>
                  <w:r>
                    <w:rPr/>
                    <w:t>shora neuvedené.</w:t>
                  </w:r>
                </w:p>
                <w:p>
                  <w:pPr>
                    <w:pStyle w:val="BodyText"/>
                    <w:rPr>
                      <w:rFonts w:ascii="Times New Roman"/>
                      <w:sz w:val="20"/>
                    </w:rPr>
                  </w:pPr>
                </w:p>
                <w:p>
                  <w:pPr>
                    <w:pStyle w:val="BodyText"/>
                    <w:spacing w:line="252" w:lineRule="auto" w:before="126"/>
                    <w:ind w:left="1771" w:right="1249" w:hanging="360"/>
                  </w:pPr>
                  <w:r>
                    <w:rPr>
                      <w:w w:val="105"/>
                    </w:rPr>
                    <w:t>3. Předání a převzetí vozidla určeného k opravě bude probíhat vždy v místě objednatele na základě konkrétní objednávky, jestliže objednatel neurčí jinak.</w:t>
                  </w:r>
                </w:p>
                <w:p>
                  <w:pPr>
                    <w:pStyle w:val="BodyText"/>
                    <w:spacing w:line="210" w:lineRule="exact"/>
                    <w:ind w:left="1771"/>
                    <w:jc w:val="both"/>
                  </w:pPr>
                  <w:r>
                    <w:rPr/>
                    <w:t>Předpokládaná  místa předání:</w:t>
                  </w:r>
                </w:p>
                <w:p>
                  <w:pPr>
                    <w:pStyle w:val="BodyText"/>
                    <w:spacing w:before="5"/>
                    <w:ind w:left="1771"/>
                    <w:jc w:val="both"/>
                  </w:pPr>
                  <w:r>
                    <w:rPr>
                      <w:w w:val="115"/>
                    </w:rPr>
                    <w:t>Územní pracoviště Harrachov </w:t>
                  </w:r>
                  <w:r>
                    <w:rPr>
                      <w:w w:val="125"/>
                    </w:rPr>
                    <w:t>-</w:t>
                  </w:r>
                  <w:r>
                    <w:rPr>
                      <w:spacing w:val="-56"/>
                      <w:w w:val="125"/>
                    </w:rPr>
                    <w:t> </w:t>
                  </w:r>
                  <w:r>
                    <w:rPr>
                      <w:w w:val="115"/>
                    </w:rPr>
                    <w:t>Harrachov čp. 325, tel.: 481 528 105</w:t>
                  </w:r>
                </w:p>
                <w:p>
                  <w:pPr>
                    <w:pStyle w:val="BodyText"/>
                    <w:spacing w:before="12"/>
                    <w:ind w:left="1771"/>
                    <w:jc w:val="both"/>
                  </w:pPr>
                  <w:r>
                    <w:rPr>
                      <w:w w:val="115"/>
                    </w:rPr>
                    <w:t>Územní pracoviště Rezek </w:t>
                  </w:r>
                  <w:r>
                    <w:rPr>
                      <w:w w:val="125"/>
                    </w:rPr>
                    <w:t>-</w:t>
                  </w:r>
                  <w:r>
                    <w:rPr>
                      <w:spacing w:val="-56"/>
                      <w:w w:val="125"/>
                    </w:rPr>
                    <w:t> </w:t>
                  </w:r>
                  <w:r>
                    <w:rPr>
                      <w:w w:val="115"/>
                    </w:rPr>
                    <w:t>Vítkovice čp. 176, tel.: 481 582 723</w:t>
                  </w:r>
                </w:p>
                <w:p>
                  <w:pPr>
                    <w:pStyle w:val="BodyText"/>
                    <w:rPr>
                      <w:rFonts w:ascii="Times New Roman"/>
                      <w:sz w:val="20"/>
                    </w:rPr>
                  </w:pPr>
                </w:p>
                <w:p>
                  <w:pPr>
                    <w:pStyle w:val="BodyText"/>
                    <w:spacing w:before="7"/>
                    <w:rPr>
                      <w:rFonts w:ascii="Times New Roman"/>
                      <w:sz w:val="29"/>
                    </w:rPr>
                  </w:pPr>
                </w:p>
                <w:p>
                  <w:pPr>
                    <w:spacing w:before="0"/>
                    <w:ind w:left="1777" w:right="1722" w:firstLine="0"/>
                    <w:jc w:val="center"/>
                    <w:rPr>
                      <w:sz w:val="17"/>
                    </w:rPr>
                  </w:pPr>
                  <w:r>
                    <w:rPr>
                      <w:sz w:val="17"/>
                    </w:rPr>
                    <w:t>1/8</w:t>
                  </w:r>
                </w:p>
              </w:txbxContent>
            </v:textbox>
            <w10:wrap type="none"/>
          </v:shape>
        </w:pict>
      </w:r>
      <w:r>
        <w:rPr/>
        <w:pict>
          <v:group style="position:absolute;margin-left:0pt;margin-top:.0pt;width:595.1pt;height:841.7pt;mso-position-horizontal-relative:page;mso-position-vertical-relative:page;z-index:-17296" coordorigin="0,0" coordsize="11902,16834">
            <v:shape style="position:absolute;left:0;top:0;width:11902;height:16834" type="#_x0000_t75" stroked="false">
              <v:imagedata r:id="rId5" o:title=""/>
            </v:shape>
            <v:shape style="position:absolute;left:3279;top:3706;width:7225;height:3988" coordorigin="3279,3706" coordsize="7225,3988" path="m4823,3706l3551,3706,3551,3965,4823,3965,4823,3706m6548,6239l3279,6239,3279,7694,6548,7694,6548,6239m10504,4154l3430,4154,3430,4632,10504,4632,10504,4154e" filled="true" fillcolor="#000000" stroked="false">
              <v:path arrowok="t"/>
              <v:fill type="solid"/>
            </v:shape>
            <w10:wrap type="none"/>
          </v:group>
        </w:pict>
      </w:r>
    </w:p>
    <w:p>
      <w:pPr>
        <w:spacing w:after="0"/>
        <w:rPr>
          <w:rFonts w:ascii="Times New Roman"/>
          <w:sz w:val="17"/>
        </w:rPr>
        <w:sectPr>
          <w:type w:val="continuous"/>
          <w:pgSz w:w="11920" w:h="16850"/>
          <w:pgMar w:top="1600" w:bottom="280" w:left="1680" w:right="1680"/>
        </w:sectPr>
      </w:pPr>
    </w:p>
    <w:p>
      <w:pPr>
        <w:pStyle w:val="BodyText"/>
        <w:rPr>
          <w:rFonts w:ascii="Times New Roman"/>
          <w:sz w:val="20"/>
        </w:rPr>
      </w:pPr>
      <w:r>
        <w:rPr/>
        <w:pict>
          <v:shape style="position:absolute;margin-left:0pt;margin-top:.350037pt;width:595pt;height:841.6pt;mso-position-horizontal-relative:page;mso-position-vertical-relative:page;z-index:-17272" type="#_x0000_t202" filled="false" stroked="false">
            <v:textbox inset="0,0,0,0">
              <w:txbxContent>
                <w:p>
                  <w:pPr>
                    <w:pStyle w:val="BodyText"/>
                    <w:rPr>
                      <w:rFonts w:ascii="Times New Roman"/>
                      <w:sz w:val="24"/>
                    </w:rPr>
                  </w:pPr>
                </w:p>
                <w:p>
                  <w:pPr>
                    <w:pStyle w:val="BodyText"/>
                    <w:spacing w:before="1"/>
                    <w:rPr>
                      <w:rFonts w:ascii="Times New Roman"/>
                      <w:sz w:val="32"/>
                    </w:rPr>
                  </w:pPr>
                </w:p>
                <w:p>
                  <w:pPr>
                    <w:spacing w:before="0"/>
                    <w:ind w:left="1490" w:right="0" w:firstLine="0"/>
                    <w:jc w:val="left"/>
                    <w:rPr>
                      <w:sz w:val="21"/>
                    </w:rPr>
                  </w:pPr>
                  <w:r>
                    <w:rPr>
                      <w:sz w:val="21"/>
                    </w:rPr>
                    <w:t>č. SMLR 75-4/2024</w:t>
                  </w:r>
                </w:p>
                <w:p>
                  <w:pPr>
                    <w:pStyle w:val="BodyText"/>
                    <w:rPr>
                      <w:rFonts w:ascii="Times New Roman"/>
                      <w:sz w:val="24"/>
                    </w:rPr>
                  </w:pPr>
                </w:p>
                <w:p>
                  <w:pPr>
                    <w:pStyle w:val="BodyText"/>
                    <w:spacing w:before="182"/>
                    <w:ind w:left="1850"/>
                  </w:pPr>
                  <w:r>
                    <w:rPr>
                      <w:w w:val="115"/>
                    </w:rPr>
                    <w:t>Územní pracoviště Špindlerův Mlýn </w:t>
                  </w:r>
                  <w:r>
                    <w:rPr>
                      <w:w w:val="125"/>
                    </w:rPr>
                    <w:t>-</w:t>
                  </w:r>
                  <w:r>
                    <w:rPr>
                      <w:spacing w:val="-56"/>
                      <w:w w:val="125"/>
                    </w:rPr>
                    <w:t> </w:t>
                  </w:r>
                  <w:r>
                    <w:rPr>
                      <w:w w:val="115"/>
                    </w:rPr>
                    <w:t>Špindlerův Mlýn čp. 275, tel.: 499 433 175</w:t>
                  </w:r>
                </w:p>
                <w:p>
                  <w:pPr>
                    <w:pStyle w:val="BodyText"/>
                    <w:spacing w:before="11"/>
                    <w:ind w:left="1850"/>
                  </w:pPr>
                  <w:r>
                    <w:rPr>
                      <w:w w:val="115"/>
                    </w:rPr>
                    <w:t>Územní pracoviště Černý Důl </w:t>
                  </w:r>
                  <w:r>
                    <w:rPr>
                      <w:w w:val="135"/>
                    </w:rPr>
                    <w:t>-</w:t>
                  </w:r>
                  <w:r>
                    <w:rPr>
                      <w:spacing w:val="-54"/>
                      <w:w w:val="135"/>
                    </w:rPr>
                    <w:t> </w:t>
                  </w:r>
                  <w:r>
                    <w:rPr>
                      <w:w w:val="115"/>
                    </w:rPr>
                    <w:t>Rudník čp. 58, tel.: 499 440 420</w:t>
                  </w:r>
                </w:p>
                <w:p>
                  <w:pPr>
                    <w:pStyle w:val="BodyText"/>
                    <w:spacing w:before="11"/>
                    <w:ind w:left="1843"/>
                  </w:pPr>
                  <w:r>
                    <w:rPr>
                      <w:w w:val="110"/>
                    </w:rPr>
                    <w:t>Územní pracoviště Pec pod Sněžkou- Pec pod Sněžkou čp. 145, tel.: 499 896 214</w:t>
                  </w:r>
                </w:p>
                <w:p>
                  <w:pPr>
                    <w:pStyle w:val="BodyText"/>
                    <w:spacing w:before="14"/>
                    <w:ind w:left="1843"/>
                  </w:pPr>
                  <w:r>
                    <w:rPr>
                      <w:w w:val="110"/>
                    </w:rPr>
                    <w:t>Územní pracoviště Horní Maršov- Horní Maršovčp. 111, tel.: 499 871 102</w:t>
                  </w:r>
                </w:p>
                <w:p>
                  <w:pPr>
                    <w:pStyle w:val="BodyText"/>
                    <w:spacing w:before="14"/>
                    <w:ind w:left="1843"/>
                  </w:pPr>
                  <w:r>
                    <w:rPr>
                      <w:spacing w:val="3"/>
                      <w:w w:val="105"/>
                    </w:rPr>
                    <w:t>Pracovištělogistikyaautodopravy-Zámecká </w:t>
                  </w:r>
                  <w:r>
                    <w:rPr>
                      <w:w w:val="105"/>
                    </w:rPr>
                    <w:t>1643,  </w:t>
                  </w:r>
                  <w:r>
                    <w:rPr>
                      <w:spacing w:val="4"/>
                      <w:w w:val="105"/>
                    </w:rPr>
                    <w:t>54301</w:t>
                  </w:r>
                  <w:r>
                    <w:rPr>
                      <w:spacing w:val="59"/>
                      <w:w w:val="105"/>
                    </w:rPr>
                    <w:t> </w:t>
                  </w:r>
                  <w:r>
                    <w:rPr>
                      <w:w w:val="105"/>
                    </w:rPr>
                    <w:t>Vrchlabí.</w:t>
                  </w:r>
                </w:p>
                <w:p>
                  <w:pPr>
                    <w:pStyle w:val="BodyText"/>
                    <w:spacing w:before="110"/>
                    <w:ind w:left="1644" w:right="1481"/>
                    <w:jc w:val="center"/>
                  </w:pPr>
                  <w:r>
                    <w:rPr/>
                    <w:t>4. Zhotovitel se zavazuje na základě písemných objednávek k provádění služeb v souladu s Článkem II.</w:t>
                  </w:r>
                </w:p>
                <w:p>
                  <w:pPr>
                    <w:pStyle w:val="BodyText"/>
                    <w:spacing w:before="26"/>
                    <w:ind w:left="1836"/>
                  </w:pPr>
                  <w:r>
                    <w:rPr/>
                    <w:t>odst. 1 a dále dle níže specifikovaného předmětu dohody (dále jen dílo):</w:t>
                  </w:r>
                </w:p>
                <w:p>
                  <w:pPr>
                    <w:pStyle w:val="BodyText"/>
                    <w:spacing w:before="14"/>
                    <w:ind w:left="1843"/>
                  </w:pPr>
                  <w:r>
                    <w:rPr>
                      <w:w w:val="105"/>
                    </w:rPr>
                    <w:t>Provádění  pravidelných   servisních   prohlídek   podle  servisní  dokumentace  vozidla  v souladu</w:t>
                  </w:r>
                </w:p>
                <w:p>
                  <w:pPr>
                    <w:pStyle w:val="BodyText"/>
                    <w:spacing w:line="254" w:lineRule="auto" w:before="11"/>
                    <w:ind w:left="2181" w:right="4041" w:hanging="346"/>
                  </w:pPr>
                  <w:r>
                    <w:rPr>
                      <w:w w:val="105"/>
                    </w:rPr>
                    <w:t>s podmínkami stanovenými výrobcem značky vozidla a dále: veškeré</w:t>
                  </w:r>
                  <w:r>
                    <w:rPr>
                      <w:spacing w:val="-15"/>
                      <w:w w:val="105"/>
                    </w:rPr>
                    <w:t> </w:t>
                  </w:r>
                  <w:r>
                    <w:rPr>
                      <w:w w:val="105"/>
                    </w:rPr>
                    <w:t>opravy</w:t>
                  </w:r>
                  <w:r>
                    <w:rPr>
                      <w:spacing w:val="-14"/>
                      <w:w w:val="105"/>
                    </w:rPr>
                    <w:t> </w:t>
                  </w:r>
                  <w:r>
                    <w:rPr>
                      <w:w w:val="105"/>
                    </w:rPr>
                    <w:t>vozidel</w:t>
                  </w:r>
                  <w:r>
                    <w:rPr>
                      <w:spacing w:val="-13"/>
                      <w:w w:val="105"/>
                    </w:rPr>
                    <w:t> </w:t>
                  </w:r>
                  <w:r>
                    <w:rPr>
                      <w:w w:val="105"/>
                    </w:rPr>
                    <w:t>související</w:t>
                  </w:r>
                  <w:r>
                    <w:rPr>
                      <w:spacing w:val="-16"/>
                      <w:w w:val="105"/>
                    </w:rPr>
                    <w:t> </w:t>
                  </w:r>
                  <w:r>
                    <w:rPr>
                      <w:w w:val="105"/>
                    </w:rPr>
                    <w:t>s</w:t>
                  </w:r>
                  <w:r>
                    <w:rPr>
                      <w:spacing w:val="-14"/>
                      <w:w w:val="105"/>
                    </w:rPr>
                    <w:t> </w:t>
                  </w:r>
                  <w:r>
                    <w:rPr>
                      <w:w w:val="105"/>
                    </w:rPr>
                    <w:t>provozem</w:t>
                  </w:r>
                  <w:r>
                    <w:rPr>
                      <w:spacing w:val="-8"/>
                      <w:w w:val="105"/>
                    </w:rPr>
                    <w:t> </w:t>
                  </w:r>
                  <w:r>
                    <w:rPr>
                      <w:w w:val="105"/>
                    </w:rPr>
                    <w:t>osobních</w:t>
                  </w:r>
                  <w:r>
                    <w:rPr>
                      <w:spacing w:val="-11"/>
                      <w:w w:val="105"/>
                    </w:rPr>
                    <w:t> </w:t>
                  </w:r>
                  <w:r>
                    <w:rPr>
                      <w:w w:val="105"/>
                    </w:rPr>
                    <w:t>vozidel; kompletní servisní</w:t>
                  </w:r>
                  <w:r>
                    <w:rPr>
                      <w:spacing w:val="-47"/>
                      <w:w w:val="105"/>
                    </w:rPr>
                    <w:t> </w:t>
                  </w:r>
                  <w:r>
                    <w:rPr>
                      <w:w w:val="105"/>
                    </w:rPr>
                    <w:t>prohlídky;</w:t>
                  </w:r>
                </w:p>
                <w:p>
                  <w:pPr>
                    <w:pStyle w:val="BodyText"/>
                    <w:spacing w:line="218" w:lineRule="exact"/>
                    <w:ind w:left="2188"/>
                  </w:pPr>
                  <w:r>
                    <w:rPr/>
                    <w:t>běžné mechanické práce;</w:t>
                  </w:r>
                </w:p>
                <w:p>
                  <w:pPr>
                    <w:pStyle w:val="BodyText"/>
                    <w:spacing w:before="12"/>
                    <w:ind w:left="2181"/>
                  </w:pPr>
                  <w:r>
                    <w:rPr/>
                    <w:t>diagnostika;</w:t>
                  </w:r>
                </w:p>
                <w:p>
                  <w:pPr>
                    <w:pStyle w:val="BodyText"/>
                    <w:spacing w:line="252" w:lineRule="auto" w:before="13"/>
                    <w:ind w:left="2174" w:right="4161"/>
                  </w:pPr>
                  <w:r>
                    <w:rPr/>
                    <w:t>veškeré opravy karoserie a klempířské práce včetně oprav laku; servis brzd, kontroly, opravy a výměna brzdových komponentů; opravy elektrospotřebičů pro vozidla (startéry, alternátory);  výměny</w:t>
                  </w:r>
                  <w:r>
                    <w:rPr>
                      <w:spacing w:val="-7"/>
                    </w:rPr>
                    <w:t> </w:t>
                  </w:r>
                  <w:r>
                    <w:rPr/>
                    <w:t>oleje;</w:t>
                  </w:r>
                </w:p>
                <w:p>
                  <w:pPr>
                    <w:pStyle w:val="BodyText"/>
                    <w:spacing w:before="3"/>
                    <w:ind w:left="2181"/>
                  </w:pPr>
                  <w:r>
                    <w:rPr/>
                    <w:t>pneuservis;</w:t>
                  </w:r>
                </w:p>
                <w:p>
                  <w:pPr>
                    <w:pStyle w:val="BodyText"/>
                    <w:tabs>
                      <w:tab w:pos="2160" w:val="left" w:leader="none"/>
                    </w:tabs>
                    <w:spacing w:before="2"/>
                    <w:ind w:left="1836"/>
                  </w:pPr>
                  <w:r>
                    <w:rPr/>
                    <w:t>-</w:t>
                    <w:tab/>
                    <w:t>příprava vozidel na pravidelné prohlídky STK, včetně</w:t>
                  </w:r>
                  <w:r>
                    <w:rPr>
                      <w:spacing w:val="4"/>
                    </w:rPr>
                    <w:t> </w:t>
                  </w:r>
                  <w:r>
                    <w:rPr/>
                    <w:t>emisníchkontrol;</w:t>
                  </w:r>
                </w:p>
                <w:p>
                  <w:pPr>
                    <w:pStyle w:val="BodyText"/>
                    <w:tabs>
                      <w:tab w:pos="2160" w:val="left" w:leader="none"/>
                    </w:tabs>
                    <w:spacing w:before="11"/>
                    <w:ind w:left="1836"/>
                  </w:pPr>
                  <w:r>
                    <w:rPr/>
                    <w:t>-</w:t>
                    <w:tab/>
                    <w:t>provádění  montáží  i demontáží jednotek  GPS  na  služebních  vozidlech  i  soukromých</w:t>
                  </w:r>
                  <w:r>
                    <w:rPr>
                      <w:spacing w:val="12"/>
                    </w:rPr>
                    <w:t> </w:t>
                  </w:r>
                  <w:r>
                    <w:rPr/>
                    <w:t>vozidlech</w:t>
                  </w:r>
                </w:p>
                <w:p>
                  <w:pPr>
                    <w:pStyle w:val="BodyText"/>
                    <w:spacing w:before="18"/>
                    <w:ind w:left="2181"/>
                  </w:pPr>
                  <w:r>
                    <w:rPr/>
                    <w:t>zaměstnanců;</w:t>
                  </w:r>
                </w:p>
                <w:p>
                  <w:pPr>
                    <w:pStyle w:val="BodyText"/>
                    <w:tabs>
                      <w:tab w:pos="2152" w:val="left" w:leader="none"/>
                    </w:tabs>
                    <w:spacing w:before="4"/>
                    <w:ind w:left="1828"/>
                  </w:pPr>
                  <w:r>
                    <w:rPr/>
                    <w:t>-</w:t>
                    <w:tab/>
                    <w:t>odtah</w:t>
                  </w:r>
                  <w:r>
                    <w:rPr>
                      <w:spacing w:val="-11"/>
                    </w:rPr>
                    <w:t> </w:t>
                  </w:r>
                  <w:r>
                    <w:rPr/>
                    <w:t>nepojízdných</w:t>
                  </w:r>
                  <w:r>
                    <w:rPr>
                      <w:spacing w:val="-16"/>
                    </w:rPr>
                    <w:t> </w:t>
                  </w:r>
                  <w:r>
                    <w:rPr/>
                    <w:t>vozidel</w:t>
                  </w:r>
                  <w:r>
                    <w:rPr>
                      <w:spacing w:val="-10"/>
                    </w:rPr>
                    <w:t> </w:t>
                  </w:r>
                  <w:r>
                    <w:rPr/>
                    <w:t>do</w:t>
                  </w:r>
                  <w:r>
                    <w:rPr>
                      <w:spacing w:val="-16"/>
                    </w:rPr>
                    <w:t> </w:t>
                  </w:r>
                  <w:r>
                    <w:rPr/>
                    <w:t>místa</w:t>
                  </w:r>
                  <w:r>
                    <w:rPr>
                      <w:spacing w:val="-16"/>
                    </w:rPr>
                    <w:t> </w:t>
                  </w:r>
                  <w:r>
                    <w:rPr/>
                    <w:t>provedení</w:t>
                  </w:r>
                  <w:r>
                    <w:rPr>
                      <w:spacing w:val="-18"/>
                    </w:rPr>
                    <w:t> </w:t>
                  </w:r>
                  <w:r>
                    <w:rPr/>
                    <w:t>opravy;</w:t>
                  </w:r>
                </w:p>
                <w:p>
                  <w:pPr>
                    <w:pStyle w:val="BodyText"/>
                    <w:tabs>
                      <w:tab w:pos="2153" w:val="left" w:leader="none"/>
                    </w:tabs>
                    <w:spacing w:before="11"/>
                    <w:ind w:left="1829"/>
                  </w:pPr>
                  <w:r>
                    <w:rPr/>
                    <w:t>-</w:t>
                    <w:tab/>
                    <w:t>vyzvednutí a přistavení vozidla u zadavatele v případě</w:t>
                  </w:r>
                  <w:r>
                    <w:rPr>
                      <w:spacing w:val="-1"/>
                    </w:rPr>
                    <w:t> </w:t>
                  </w:r>
                  <w:r>
                    <w:rPr/>
                    <w:t>záručníopravy;</w:t>
                  </w:r>
                </w:p>
                <w:p>
                  <w:pPr>
                    <w:pStyle w:val="BodyText"/>
                    <w:spacing w:before="4"/>
                    <w:ind w:left="2160"/>
                  </w:pPr>
                  <w:r>
                    <w:rPr/>
                    <w:t>bezplatné zabezpečení náležitostí nutných pro likvidaci vzniklých pojistných událostí. Jedná se o</w:t>
                  </w:r>
                </w:p>
                <w:p>
                  <w:pPr>
                    <w:pStyle w:val="BodyText"/>
                    <w:spacing w:before="17"/>
                    <w:ind w:left="2189"/>
                  </w:pPr>
                  <w:r>
                    <w:rPr/>
                    <w:t>fotodokumentaci a zabezpečení prohlídky vozidla likvidátorem daného pojišťovacího ústavu.</w:t>
                  </w:r>
                </w:p>
                <w:p>
                  <w:pPr>
                    <w:pStyle w:val="BodyText"/>
                    <w:spacing w:before="9"/>
                    <w:ind w:left="1836"/>
                  </w:pPr>
                  <w:r>
                    <w:rPr>
                      <w:w w:val="105"/>
                    </w:rPr>
                    <w:t>Další individuální služby dle potřeby zadavatele.</w:t>
                  </w:r>
                </w:p>
                <w:p>
                  <w:pPr>
                    <w:pStyle w:val="BodyText"/>
                    <w:spacing w:before="6"/>
                    <w:rPr>
                      <w:rFonts w:ascii="Times New Roman"/>
                      <w:sz w:val="20"/>
                    </w:rPr>
                  </w:pPr>
                </w:p>
                <w:p>
                  <w:pPr>
                    <w:pStyle w:val="BodyText"/>
                    <w:spacing w:line="252" w:lineRule="auto" w:before="1"/>
                    <w:ind w:left="1828" w:right="1267" w:hanging="353"/>
                    <w:jc w:val="both"/>
                  </w:pPr>
                  <w:r>
                    <w:rPr/>
                    <w:t>5. Součástí předmětu je rovněž dodávka náhradních dílů, které zhotovitel použije při opravě uvedených vozidel. Veškeré náhradní díly použité zhotovitelem musejí být vždy díly odpovídající  kvality,  tzn. výrobce takového dílu musí být schopen kdykoli prokázat, že díl odpovídá kvalitě příslušných komponentů motorových vozidel. Použití náhradních dílů  nutné  k  dílčím  opravám  je  zhotovitel povinen vždy konzultovat s kontaktní osobou  objednatele  -  p.  Kryštofem  Petrem  Erlebachem.  Použité díly oleje včetně pohonných hmot musí vždy splňovat zákonem stanovené požadavky především ty, které jsou obsažené v legislativě zabývající se bezpečností silničního  provozu  a ochranou  životního</w:t>
                  </w:r>
                  <w:r>
                    <w:rPr>
                      <w:spacing w:val="30"/>
                    </w:rPr>
                    <w:t> </w:t>
                  </w:r>
                  <w:r>
                    <w:rPr/>
                    <w:t>prostředí.</w:t>
                  </w:r>
                </w:p>
                <w:p>
                  <w:pPr>
                    <w:pStyle w:val="BodyText"/>
                    <w:rPr>
                      <w:rFonts w:ascii="Times New Roman"/>
                      <w:sz w:val="20"/>
                    </w:rPr>
                  </w:pPr>
                </w:p>
                <w:p>
                  <w:pPr>
                    <w:pStyle w:val="BodyText"/>
                    <w:spacing w:before="11"/>
                    <w:rPr>
                      <w:rFonts w:ascii="Times New Roman"/>
                      <w:sz w:val="18"/>
                    </w:rPr>
                  </w:pPr>
                </w:p>
                <w:p>
                  <w:pPr>
                    <w:spacing w:before="0"/>
                    <w:ind w:left="5666" w:right="0" w:firstLine="0"/>
                    <w:jc w:val="left"/>
                    <w:rPr>
                      <w:b/>
                      <w:sz w:val="22"/>
                    </w:rPr>
                  </w:pPr>
                  <w:r>
                    <w:rPr>
                      <w:b/>
                      <w:w w:val="95"/>
                      <w:sz w:val="22"/>
                    </w:rPr>
                    <w:t>II. Cena</w:t>
                  </w:r>
                </w:p>
                <w:p>
                  <w:pPr>
                    <w:pStyle w:val="BodyText"/>
                    <w:spacing w:before="5"/>
                    <w:rPr>
                      <w:rFonts w:ascii="Times New Roman"/>
                      <w:sz w:val="20"/>
                    </w:rPr>
                  </w:pPr>
                </w:p>
                <w:p>
                  <w:pPr>
                    <w:pStyle w:val="BodyText"/>
                    <w:spacing w:line="252" w:lineRule="auto"/>
                    <w:ind w:left="1821" w:right="1290" w:hanging="339"/>
                    <w:jc w:val="both"/>
                  </w:pPr>
                  <w:r>
                    <w:rPr/>
                    <w:t>1.  Cena za  služby  poskytované  v  rámci této dohody  bude vypočtena  za  skutečně  poskytnuté služby  na základě příslušné objednávky. K ceně služeb bude připočtena cena náhradních  dílů. Vypočtená cena je  konečná a zahrnuje veškeré  související  náklady zhotovitele,  tedy  i náklady na</w:t>
                  </w:r>
                  <w:r>
                    <w:rPr>
                      <w:spacing w:val="18"/>
                    </w:rPr>
                    <w:t> </w:t>
                  </w:r>
                  <w:r>
                    <w:rPr/>
                    <w:t>dopravu.</w:t>
                  </w:r>
                </w:p>
                <w:p>
                  <w:pPr>
                    <w:pStyle w:val="BodyText"/>
                    <w:spacing w:before="1"/>
                    <w:rPr>
                      <w:rFonts w:ascii="Times New Roman"/>
                      <w:sz w:val="20"/>
                    </w:rPr>
                  </w:pPr>
                </w:p>
                <w:p>
                  <w:pPr>
                    <w:pStyle w:val="BodyText"/>
                    <w:ind w:left="1821"/>
                  </w:pPr>
                  <w:r>
                    <w:rPr>
                      <w:w w:val="105"/>
                    </w:rPr>
                    <w:t>Zhotovitel je po celou dobu platnosti této dohody vázán následujícím naceněním služby:</w:t>
                  </w:r>
                </w:p>
                <w:p>
                  <w:pPr>
                    <w:pStyle w:val="BodyText"/>
                    <w:rPr>
                      <w:rFonts w:ascii="Times New Roman"/>
                      <w:sz w:val="21"/>
                    </w:rPr>
                  </w:pPr>
                </w:p>
                <w:p>
                  <w:pPr>
                    <w:tabs>
                      <w:tab w:pos="7682" w:val="left" w:leader="none"/>
                      <w:tab w:pos="9767" w:val="left" w:leader="none"/>
                    </w:tabs>
                    <w:spacing w:line="99" w:lineRule="exact" w:before="0"/>
                    <w:ind w:left="7171" w:right="0" w:firstLine="0"/>
                    <w:jc w:val="left"/>
                    <w:rPr>
                      <w:sz w:val="9"/>
                    </w:rPr>
                  </w:pPr>
                  <w:r>
                    <w:rPr>
                      <w:w w:val="130"/>
                      <w:sz w:val="9"/>
                    </w:rPr>
                    <w:t>Počet</w:t>
                    <w:tab/>
                    <w:t>Cena za</w:t>
                  </w:r>
                  <w:r>
                    <w:rPr>
                      <w:spacing w:val="3"/>
                      <w:w w:val="130"/>
                      <w:sz w:val="9"/>
                    </w:rPr>
                    <w:t> </w:t>
                  </w:r>
                  <w:r>
                    <w:rPr>
                      <w:w w:val="130"/>
                      <w:sz w:val="9"/>
                    </w:rPr>
                    <w:t>MJ</w:t>
                  </w:r>
                  <w:r>
                    <w:rPr>
                      <w:spacing w:val="4"/>
                      <w:w w:val="130"/>
                      <w:sz w:val="9"/>
                    </w:rPr>
                    <w:t> </w:t>
                  </w:r>
                  <w:r>
                    <w:rPr>
                      <w:w w:val="130"/>
                      <w:sz w:val="9"/>
                    </w:rPr>
                    <w:t>v</w:t>
                    <w:tab/>
                  </w:r>
                  <w:r>
                    <w:rPr>
                      <w:w w:val="130"/>
                      <w:position w:val="1"/>
                      <w:sz w:val="9"/>
                    </w:rPr>
                    <w:t>Cena za MJ</w:t>
                  </w:r>
                  <w:r>
                    <w:rPr>
                      <w:spacing w:val="29"/>
                      <w:w w:val="130"/>
                      <w:position w:val="1"/>
                      <w:sz w:val="9"/>
                    </w:rPr>
                    <w:t> </w:t>
                  </w:r>
                  <w:r>
                    <w:rPr>
                      <w:w w:val="130"/>
                      <w:position w:val="1"/>
                      <w:sz w:val="9"/>
                    </w:rPr>
                    <w:t>v</w:t>
                  </w:r>
                </w:p>
                <w:p>
                  <w:pPr>
                    <w:tabs>
                      <w:tab w:pos="6724" w:val="left" w:leader="none"/>
                      <w:tab w:pos="8632" w:val="left" w:leader="none"/>
                    </w:tabs>
                    <w:spacing w:line="90" w:lineRule="exact" w:before="0"/>
                    <w:ind w:left="3650" w:right="0" w:firstLine="0"/>
                    <w:jc w:val="left"/>
                    <w:rPr>
                      <w:sz w:val="9"/>
                    </w:rPr>
                  </w:pPr>
                  <w:r>
                    <w:rPr>
                      <w:w w:val="130"/>
                      <w:sz w:val="9"/>
                    </w:rPr>
                    <w:t>Název</w:t>
                  </w:r>
                  <w:r>
                    <w:rPr>
                      <w:spacing w:val="-2"/>
                      <w:w w:val="130"/>
                      <w:sz w:val="9"/>
                    </w:rPr>
                    <w:t> </w:t>
                  </w:r>
                  <w:r>
                    <w:rPr>
                      <w:w w:val="130"/>
                      <w:sz w:val="9"/>
                    </w:rPr>
                    <w:t>práce</w:t>
                    <w:tab/>
                    <w:t>MJ</w:t>
                    <w:tab/>
                  </w:r>
                  <w:r>
                    <w:rPr>
                      <w:w w:val="130"/>
                      <w:position w:val="1"/>
                      <w:sz w:val="9"/>
                    </w:rPr>
                    <w:t>DPH (21 %) </w:t>
                  </w:r>
                  <w:r>
                    <w:rPr>
                      <w:spacing w:val="4"/>
                      <w:w w:val="130"/>
                      <w:position w:val="1"/>
                      <w:sz w:val="9"/>
                    </w:rPr>
                    <w:t> </w:t>
                  </w:r>
                  <w:r>
                    <w:rPr>
                      <w:spacing w:val="2"/>
                      <w:w w:val="130"/>
                      <w:position w:val="1"/>
                      <w:sz w:val="9"/>
                    </w:rPr>
                    <w:t>vKč</w:t>
                  </w:r>
                </w:p>
                <w:p>
                  <w:pPr>
                    <w:tabs>
                      <w:tab w:pos="7696" w:val="left" w:leader="none"/>
                      <w:tab w:pos="9726" w:val="left" w:leader="none"/>
                    </w:tabs>
                    <w:spacing w:line="105" w:lineRule="exact" w:before="0"/>
                    <w:ind w:left="7257" w:right="0" w:firstLine="0"/>
                    <w:jc w:val="left"/>
                    <w:rPr>
                      <w:sz w:val="9"/>
                    </w:rPr>
                  </w:pPr>
                  <w:r>
                    <w:rPr>
                      <w:w w:val="130"/>
                      <w:sz w:val="9"/>
                    </w:rPr>
                    <w:t>MJ</w:t>
                    <w:tab/>
                    <w:t>Kč</w:t>
                  </w:r>
                  <w:r>
                    <w:rPr>
                      <w:spacing w:val="13"/>
                      <w:w w:val="130"/>
                      <w:sz w:val="9"/>
                    </w:rPr>
                    <w:t> </w:t>
                  </w:r>
                  <w:r>
                    <w:rPr>
                      <w:w w:val="130"/>
                      <w:sz w:val="9"/>
                    </w:rPr>
                    <w:t>bez</w:t>
                  </w:r>
                  <w:r>
                    <w:rPr>
                      <w:spacing w:val="23"/>
                      <w:w w:val="130"/>
                      <w:sz w:val="9"/>
                    </w:rPr>
                    <w:t> </w:t>
                  </w:r>
                  <w:r>
                    <w:rPr>
                      <w:w w:val="130"/>
                      <w:sz w:val="9"/>
                    </w:rPr>
                    <w:t>DPH</w:t>
                    <w:tab/>
                  </w:r>
                  <w:r>
                    <w:rPr>
                      <w:w w:val="130"/>
                      <w:position w:val="1"/>
                      <w:sz w:val="9"/>
                    </w:rPr>
                    <w:t>Kč  včetně</w:t>
                  </w:r>
                  <w:r>
                    <w:rPr>
                      <w:spacing w:val="3"/>
                      <w:w w:val="130"/>
                      <w:position w:val="1"/>
                      <w:sz w:val="9"/>
                    </w:rPr>
                    <w:t> </w:t>
                  </w:r>
                  <w:r>
                    <w:rPr>
                      <w:spacing w:val="-2"/>
                      <w:w w:val="130"/>
                      <w:position w:val="1"/>
                      <w:sz w:val="9"/>
                    </w:rPr>
                    <w:t>DPH</w:t>
                  </w:r>
                </w:p>
                <w:p>
                  <w:pPr>
                    <w:pStyle w:val="BodyText"/>
                    <w:spacing w:before="4"/>
                    <w:rPr>
                      <w:rFonts w:ascii="Times New Roman"/>
                      <w:sz w:val="10"/>
                    </w:rPr>
                  </w:pPr>
                </w:p>
                <w:p>
                  <w:pPr>
                    <w:spacing w:line="95" w:lineRule="exact" w:before="0"/>
                    <w:ind w:left="3144" w:right="1481" w:firstLine="0"/>
                    <w:jc w:val="center"/>
                    <w:rPr>
                      <w:sz w:val="9"/>
                    </w:rPr>
                  </w:pPr>
                  <w:r>
                    <w:rPr>
                      <w:w w:val="120"/>
                      <w:sz w:val="9"/>
                    </w:rPr>
                    <w:t>1 hod</w:t>
                  </w:r>
                </w:p>
                <w:p>
                  <w:pPr>
                    <w:tabs>
                      <w:tab w:pos="7307" w:val="left" w:leader="none"/>
                      <w:tab w:pos="7912" w:val="left" w:leader="none"/>
                      <w:tab w:pos="8971" w:val="left" w:leader="none"/>
                      <w:tab w:pos="10008" w:val="left" w:leader="none"/>
                    </w:tabs>
                    <w:spacing w:line="105" w:lineRule="exact" w:before="0"/>
                    <w:ind w:left="1497" w:right="0" w:firstLine="0"/>
                    <w:jc w:val="left"/>
                    <w:rPr>
                      <w:sz w:val="9"/>
                    </w:rPr>
                  </w:pPr>
                  <w:r>
                    <w:rPr>
                      <w:w w:val="130"/>
                      <w:sz w:val="9"/>
                    </w:rPr>
                    <w:t>mechanické  práce -</w:t>
                  </w:r>
                  <w:r>
                    <w:rPr>
                      <w:spacing w:val="10"/>
                      <w:w w:val="130"/>
                      <w:sz w:val="9"/>
                    </w:rPr>
                    <w:t> </w:t>
                  </w:r>
                  <w:r>
                    <w:rPr>
                      <w:w w:val="130"/>
                      <w:sz w:val="9"/>
                    </w:rPr>
                    <w:t>hodinové</w:t>
                  </w:r>
                  <w:r>
                    <w:rPr>
                      <w:spacing w:val="8"/>
                      <w:w w:val="130"/>
                      <w:sz w:val="9"/>
                    </w:rPr>
                    <w:t> </w:t>
                  </w:r>
                  <w:r>
                    <w:rPr>
                      <w:w w:val="130"/>
                      <w:sz w:val="9"/>
                    </w:rPr>
                    <w:t>sazba</w:t>
                    <w:tab/>
                    <w:t>1</w:t>
                    <w:tab/>
                  </w:r>
                  <w:r>
                    <w:rPr>
                      <w:w w:val="130"/>
                      <w:position w:val="1"/>
                      <w:sz w:val="9"/>
                    </w:rPr>
                    <w:t>500,-</w:t>
                    <w:tab/>
                    <w:t>105,-</w:t>
                    <w:tab/>
                    <w:t>605,-</w:t>
                  </w:r>
                </w:p>
                <w:p>
                  <w:pPr>
                    <w:pStyle w:val="BodyText"/>
                    <w:rPr>
                      <w:rFonts w:ascii="Times New Roman"/>
                      <w:sz w:val="10"/>
                    </w:rPr>
                  </w:pPr>
                </w:p>
                <w:p>
                  <w:pPr>
                    <w:pStyle w:val="BodyText"/>
                    <w:spacing w:before="1"/>
                    <w:rPr>
                      <w:rFonts w:ascii="Times New Roman"/>
                      <w:sz w:val="13"/>
                    </w:rPr>
                  </w:pPr>
                </w:p>
                <w:p>
                  <w:pPr>
                    <w:pStyle w:val="BodyText"/>
                    <w:ind w:left="1821"/>
                  </w:pPr>
                  <w:r>
                    <w:rPr>
                      <w:w w:val="105"/>
                    </w:rPr>
                    <w:t>V případě provedení defektace budou ceny uvedené na předložené faktuře korespondovat</w:t>
                  </w:r>
                </w:p>
                <w:p>
                  <w:pPr>
                    <w:pStyle w:val="BodyText"/>
                    <w:spacing w:before="2"/>
                    <w:rPr>
                      <w:rFonts w:ascii="Times New Roman"/>
                      <w:sz w:val="21"/>
                    </w:rPr>
                  </w:pPr>
                </w:p>
                <w:p>
                  <w:pPr>
                    <w:pStyle w:val="BodyText"/>
                    <w:spacing w:line="252" w:lineRule="auto"/>
                    <w:ind w:left="1821" w:right="1301" w:hanging="360"/>
                    <w:jc w:val="both"/>
                  </w:pPr>
                  <w:r>
                    <w:rPr/>
                    <w:t>2. Smluvní strany se dohodly, že cena za  opravy  nebo  servisní  úkony  neuvedené v čl.  II odst.  1 a  příloze č. 1 této dohody budou zhotovitelem předloženy k odsouhlasení a že ceny náhradních dílů a spotřebního  materiálu  nezbytného  k provedení  úkonů  budou cenami  v místě a čase</w:t>
                  </w:r>
                  <w:r>
                    <w:rPr>
                      <w:spacing w:val="-18"/>
                    </w:rPr>
                    <w:t> </w:t>
                  </w:r>
                  <w:r>
                    <w:rPr/>
                    <w:t>obvyklými.</w:t>
                  </w:r>
                </w:p>
                <w:p>
                  <w:pPr>
                    <w:pStyle w:val="BodyText"/>
                    <w:spacing w:before="5"/>
                    <w:rPr>
                      <w:rFonts w:ascii="Times New Roman"/>
                    </w:rPr>
                  </w:pPr>
                </w:p>
                <w:p>
                  <w:pPr>
                    <w:pStyle w:val="BodyText"/>
                    <w:spacing w:line="254" w:lineRule="auto"/>
                    <w:ind w:left="1814" w:right="1294" w:hanging="346"/>
                    <w:jc w:val="both"/>
                  </w:pPr>
                  <w:r>
                    <w:rPr>
                      <w:w w:val="105"/>
                    </w:rPr>
                    <w:t>3. Objednateli bude umožněn přístup ke katalogům certifikovaných,</w:t>
                  </w:r>
                  <w:r>
                    <w:rPr>
                      <w:spacing w:val="55"/>
                      <w:w w:val="105"/>
                    </w:rPr>
                    <w:t> </w:t>
                  </w:r>
                  <w:r>
                    <w:rPr>
                      <w:w w:val="105"/>
                    </w:rPr>
                    <w:t>popř.</w:t>
                  </w:r>
                  <w:r>
                    <w:rPr>
                      <w:spacing w:val="55"/>
                      <w:w w:val="105"/>
                    </w:rPr>
                    <w:t> </w:t>
                  </w:r>
                  <w:r>
                    <w:rPr>
                      <w:w w:val="105"/>
                    </w:rPr>
                    <w:t>alternativních</w:t>
                  </w:r>
                  <w:r>
                    <w:rPr>
                      <w:spacing w:val="55"/>
                      <w:w w:val="105"/>
                    </w:rPr>
                    <w:t> </w:t>
                  </w:r>
                  <w:r>
                    <w:rPr>
                      <w:w w:val="105"/>
                    </w:rPr>
                    <w:t>certifikovaných náhradních dílů vydaných výrobcem vozidla nebo výrobcem náhradních  dílů, dle VIN vozidla. Současně zhotovitel umožní na vyžádání objednatele nahlédnout do platného normativu</w:t>
                  </w:r>
                  <w:r>
                    <w:rPr>
                      <w:spacing w:val="-15"/>
                      <w:w w:val="105"/>
                    </w:rPr>
                    <w:t> </w:t>
                  </w:r>
                  <w:r>
                    <w:rPr>
                      <w:w w:val="105"/>
                    </w:rPr>
                    <w:t>časových</w:t>
                  </w:r>
                  <w:r>
                    <w:rPr>
                      <w:spacing w:val="-11"/>
                      <w:w w:val="105"/>
                    </w:rPr>
                    <w:t> </w:t>
                  </w:r>
                  <w:r>
                    <w:rPr>
                      <w:w w:val="105"/>
                    </w:rPr>
                    <w:t>lhůt</w:t>
                  </w:r>
                  <w:r>
                    <w:rPr>
                      <w:spacing w:val="-18"/>
                      <w:w w:val="105"/>
                    </w:rPr>
                    <w:t> </w:t>
                  </w:r>
                  <w:r>
                    <w:rPr>
                      <w:w w:val="105"/>
                    </w:rPr>
                    <w:t>prací</w:t>
                  </w:r>
                  <w:r>
                    <w:rPr>
                      <w:spacing w:val="-18"/>
                      <w:w w:val="105"/>
                    </w:rPr>
                    <w:t> </w:t>
                  </w:r>
                  <w:r>
                    <w:rPr>
                      <w:w w:val="105"/>
                    </w:rPr>
                    <w:t>a</w:t>
                  </w:r>
                  <w:r>
                    <w:rPr>
                      <w:spacing w:val="-15"/>
                      <w:w w:val="105"/>
                    </w:rPr>
                    <w:t> </w:t>
                  </w:r>
                  <w:r>
                    <w:rPr>
                      <w:w w:val="105"/>
                    </w:rPr>
                    <w:t>úkonů.</w:t>
                  </w:r>
                </w:p>
                <w:p>
                  <w:pPr>
                    <w:pStyle w:val="BodyText"/>
                    <w:rPr>
                      <w:rFonts w:ascii="Times New Roman"/>
                      <w:sz w:val="20"/>
                    </w:rPr>
                  </w:pPr>
                </w:p>
                <w:p>
                  <w:pPr>
                    <w:pStyle w:val="BodyText"/>
                    <w:spacing w:before="5"/>
                    <w:rPr>
                      <w:rFonts w:ascii="Times New Roman"/>
                      <w:sz w:val="27"/>
                    </w:rPr>
                  </w:pPr>
                </w:p>
                <w:p>
                  <w:pPr>
                    <w:spacing w:before="0"/>
                    <w:ind w:left="1640" w:right="1481" w:firstLine="0"/>
                    <w:jc w:val="center"/>
                    <w:rPr>
                      <w:sz w:val="17"/>
                    </w:rPr>
                  </w:pPr>
                  <w:r>
                    <w:rPr>
                      <w:sz w:val="17"/>
                    </w:rPr>
                    <w:t>2/8</w:t>
                  </w:r>
                </w:p>
              </w:txbxContent>
            </v:textbox>
            <w10:wrap type="none"/>
          </v:shape>
        </w:pict>
      </w:r>
      <w:r>
        <w:rPr>
          <w:rFonts w:ascii="Times New Roman"/>
          <w:sz w:val="20"/>
        </w:rPr>
        <w:drawing>
          <wp:inline distT="0" distB="0" distL="0" distR="0">
            <wp:extent cx="7399543" cy="10466641"/>
            <wp:effectExtent l="0" t="0" r="0" b="0"/>
            <wp:docPr id="1" name="image2.jpeg" descr="ţ˙"/>
            <wp:cNvGraphicFramePr>
              <a:graphicFrameLocks noChangeAspect="1"/>
            </wp:cNvGraphicFramePr>
            <a:graphic>
              <a:graphicData uri="http://schemas.openxmlformats.org/drawingml/2006/picture">
                <pic:pic>
                  <pic:nvPicPr>
                    <pic:cNvPr id="2" name="image2.jpeg"/>
                    <pic:cNvPicPr/>
                  </pic:nvPicPr>
                  <pic:blipFill>
                    <a:blip r:embed="rId6" cstate="print"/>
                    <a:stretch>
                      <a:fillRect/>
                    </a:stretch>
                  </pic:blipFill>
                  <pic:spPr>
                    <a:xfrm>
                      <a:off x="0" y="0"/>
                      <a:ext cx="7399543" cy="10466641"/>
                    </a:xfrm>
                    <a:prstGeom prst="rect">
                      <a:avLst/>
                    </a:prstGeom>
                  </pic:spPr>
                </pic:pic>
              </a:graphicData>
            </a:graphic>
          </wp:inline>
        </w:drawing>
      </w:r>
      <w:r>
        <w:rPr>
          <w:rFonts w:ascii="Times New Roman"/>
          <w:sz w:val="20"/>
        </w:rPr>
      </w:r>
    </w:p>
    <w:p>
      <w:pPr>
        <w:spacing w:after="0"/>
        <w:rPr>
          <w:rFonts w:ascii="Times New Roman"/>
          <w:sz w:val="20"/>
        </w:rPr>
        <w:sectPr>
          <w:pgSz w:w="11920" w:h="16850"/>
          <w:pgMar w:top="0" w:bottom="0" w:left="0" w:right="0"/>
        </w:sectPr>
      </w:pPr>
    </w:p>
    <w:p>
      <w:pPr>
        <w:pStyle w:val="BodyText"/>
        <w:ind w:right="-31"/>
        <w:rPr>
          <w:rFonts w:ascii="Times New Roman"/>
          <w:sz w:val="20"/>
        </w:rPr>
      </w:pPr>
      <w:r>
        <w:rPr/>
        <w:pict>
          <v:shape style="position:absolute;margin-left:0pt;margin-top:.0pt;width:595.1pt;height:841.7pt;mso-position-horizontal-relative:page;mso-position-vertical-relative:page;z-index:-17248" type="#_x0000_t202" filled="false" stroked="false">
            <v:textbox inset="0,0,0,0">
              <w:txbxContent>
                <w:p>
                  <w:pPr>
                    <w:pStyle w:val="BodyText"/>
                    <w:rPr>
                      <w:rFonts w:ascii="Times New Roman"/>
                      <w:sz w:val="24"/>
                    </w:rPr>
                  </w:pPr>
                </w:p>
                <w:p>
                  <w:pPr>
                    <w:pStyle w:val="BodyText"/>
                    <w:spacing w:before="10"/>
                    <w:rPr>
                      <w:rFonts w:ascii="Times New Roman"/>
                      <w:sz w:val="30"/>
                    </w:rPr>
                  </w:pPr>
                </w:p>
                <w:p>
                  <w:pPr>
                    <w:spacing w:before="0"/>
                    <w:ind w:left="1476" w:right="0" w:firstLine="0"/>
                    <w:jc w:val="left"/>
                    <w:rPr>
                      <w:sz w:val="21"/>
                    </w:rPr>
                  </w:pPr>
                  <w:r>
                    <w:rPr>
                      <w:sz w:val="21"/>
                    </w:rPr>
                    <w:t>č. SMLR 75-4/2024</w:t>
                  </w:r>
                </w:p>
                <w:p>
                  <w:pPr>
                    <w:pStyle w:val="BodyText"/>
                    <w:rPr>
                      <w:rFonts w:ascii="Times New Roman"/>
                      <w:sz w:val="24"/>
                    </w:rPr>
                  </w:pPr>
                </w:p>
                <w:p>
                  <w:pPr>
                    <w:pStyle w:val="BodyText"/>
                    <w:spacing w:line="247" w:lineRule="auto" w:before="197"/>
                    <w:ind w:left="1821" w:right="1292" w:hanging="360"/>
                    <w:jc w:val="both"/>
                  </w:pPr>
                  <w:r>
                    <w:rPr>
                      <w:w w:val="105"/>
                    </w:rPr>
                    <w:t>4. Zhotovitel si je vědom skutečnosti, že navýšení hodinové sazby ceny výše uvedených položek, cen opravárenských a servisních úkonů je možné pouze z důvodu zákonného navýšení DPH.</w:t>
                  </w:r>
                </w:p>
                <w:p>
                  <w:pPr>
                    <w:pStyle w:val="BodyText"/>
                    <w:spacing w:before="3"/>
                    <w:rPr>
                      <w:rFonts w:ascii="Times New Roman"/>
                      <w:sz w:val="20"/>
                    </w:rPr>
                  </w:pPr>
                </w:p>
                <w:p>
                  <w:pPr>
                    <w:pStyle w:val="BodyText"/>
                    <w:ind w:left="1468"/>
                  </w:pPr>
                  <w:r>
                    <w:rPr>
                      <w:w w:val="105"/>
                    </w:rPr>
                    <w:t>5.  V  případě,  že  navýšení  cen  uvedených  v  této  dohodě  nebylo  provedeno  v  souladu  dle  výše</w:t>
                  </w:r>
                </w:p>
                <w:p>
                  <w:pPr>
                    <w:pStyle w:val="BodyText"/>
                    <w:spacing w:before="18"/>
                    <w:ind w:left="1821"/>
                  </w:pPr>
                  <w:r>
                    <w:rPr>
                      <w:w w:val="105"/>
                    </w:rPr>
                    <w:t>uvedeného, má objednatel právo zhotoviteli tento rozdíl neuhradit.</w:t>
                  </w:r>
                </w:p>
                <w:p>
                  <w:pPr>
                    <w:pStyle w:val="BodyText"/>
                    <w:rPr>
                      <w:rFonts w:ascii="Times New Roman"/>
                      <w:sz w:val="20"/>
                    </w:rPr>
                  </w:pPr>
                </w:p>
                <w:p>
                  <w:pPr>
                    <w:spacing w:before="0"/>
                    <w:ind w:left="4248" w:right="0" w:firstLine="0"/>
                    <w:jc w:val="left"/>
                    <w:rPr>
                      <w:b/>
                      <w:sz w:val="22"/>
                    </w:rPr>
                  </w:pPr>
                  <w:r>
                    <w:rPr>
                      <w:b/>
                      <w:sz w:val="22"/>
                    </w:rPr>
                    <w:t>III. Fakturační a platební podmínky</w:t>
                  </w:r>
                </w:p>
                <w:p>
                  <w:pPr>
                    <w:pStyle w:val="BodyText"/>
                    <w:spacing w:before="3"/>
                    <w:rPr>
                      <w:rFonts w:ascii="Times New Roman"/>
                      <w:sz w:val="20"/>
                    </w:rPr>
                  </w:pPr>
                </w:p>
                <w:p>
                  <w:pPr>
                    <w:pStyle w:val="BodyText"/>
                    <w:spacing w:line="249" w:lineRule="auto"/>
                    <w:ind w:left="1807" w:right="1280" w:hanging="339"/>
                    <w:jc w:val="both"/>
                  </w:pPr>
                  <w:r>
                    <w:rPr>
                      <w:w w:val="105"/>
                    </w:rPr>
                    <w:t>1. Zhotoviteli vzniká nárok na fakturaci po zhotovení, dodání a potvrzení převzetí vozidla z opravy na základě sepsaného přejímacího zápisu s objednatelem.</w:t>
                  </w:r>
                </w:p>
                <w:p>
                  <w:pPr>
                    <w:pStyle w:val="BodyText"/>
                    <w:spacing w:before="10"/>
                    <w:rPr>
                      <w:rFonts w:ascii="Times New Roman"/>
                      <w:sz w:val="20"/>
                    </w:rPr>
                  </w:pPr>
                </w:p>
                <w:p>
                  <w:pPr>
                    <w:pStyle w:val="BodyText"/>
                    <w:ind w:left="1452"/>
                  </w:pPr>
                  <w:r>
                    <w:rPr>
                      <w:w w:val="105"/>
                    </w:rPr>
                    <w:t>2.  Přílohou  každé faktury musí být podrobné vyúčtování poskytnutých služeb, tedy z jakých   </w:t>
                  </w:r>
                  <w:r>
                    <w:rPr>
                      <w:spacing w:val="50"/>
                      <w:w w:val="105"/>
                    </w:rPr>
                    <w:t> </w:t>
                  </w:r>
                  <w:r>
                    <w:rPr>
                      <w:w w:val="105"/>
                    </w:rPr>
                    <w:t>položek</w:t>
                  </w:r>
                </w:p>
                <w:p>
                  <w:pPr>
                    <w:pStyle w:val="BodyText"/>
                    <w:spacing w:before="6"/>
                    <w:ind w:left="1807"/>
                  </w:pPr>
                  <w:r>
                    <w:rPr>
                      <w:w w:val="105"/>
                    </w:rPr>
                    <w:t>se skládá výsledná částka, zakázkový list potvrzený oběma smluvními stranami.</w:t>
                  </w:r>
                </w:p>
                <w:p>
                  <w:pPr>
                    <w:pStyle w:val="BodyText"/>
                    <w:spacing w:before="9"/>
                    <w:rPr>
                      <w:rFonts w:ascii="Times New Roman"/>
                      <w:sz w:val="20"/>
                    </w:rPr>
                  </w:pPr>
                </w:p>
                <w:p>
                  <w:pPr>
                    <w:pStyle w:val="BodyText"/>
                    <w:tabs>
                      <w:tab w:pos="1823" w:val="left" w:leader="none"/>
                    </w:tabs>
                    <w:ind w:left="1454"/>
                  </w:pPr>
                  <w:r>
                    <w:rPr/>
                    <w:t>3.</w:t>
                    <w:tab/>
                    <w:t>Podkladem  pro placení je faktura,  která  musí</w:t>
                  </w:r>
                  <w:r>
                    <w:rPr>
                      <w:spacing w:val="-11"/>
                    </w:rPr>
                    <w:t> </w:t>
                  </w:r>
                  <w:r>
                    <w:rPr/>
                    <w:t>obsahovat:</w:t>
                  </w:r>
                </w:p>
                <w:p>
                  <w:pPr>
                    <w:pStyle w:val="BodyText"/>
                    <w:spacing w:before="4"/>
                    <w:ind w:left="1807"/>
                  </w:pPr>
                  <w:r>
                    <w:rPr>
                      <w:w w:val="105"/>
                    </w:rPr>
                    <w:t>- označení faktury a její číslo,</w:t>
                  </w:r>
                </w:p>
                <w:p>
                  <w:pPr>
                    <w:pStyle w:val="BodyText"/>
                    <w:spacing w:before="18"/>
                    <w:ind w:left="1807"/>
                  </w:pPr>
                  <w:r>
                    <w:rPr>
                      <w:w w:val="105"/>
                    </w:rPr>
                    <w:t>- číslo smlouvy (objednávky) o dílo a den jejího uzavření,</w:t>
                  </w:r>
                </w:p>
                <w:p>
                  <w:pPr>
                    <w:pStyle w:val="BodyText"/>
                    <w:tabs>
                      <w:tab w:pos="7226" w:val="left" w:leader="none"/>
                    </w:tabs>
                    <w:spacing w:before="8"/>
                    <w:ind w:left="1807"/>
                  </w:pPr>
                  <w:r>
                    <w:rPr/>
                    <w:t>-  název a sídlo smluvních stran, obchodní název,</w:t>
                  </w:r>
                  <w:r>
                    <w:rPr>
                      <w:spacing w:val="-10"/>
                    </w:rPr>
                    <w:t> </w:t>
                  </w:r>
                  <w:r>
                    <w:rPr/>
                    <w:t>adresu,</w:t>
                  </w:r>
                  <w:r>
                    <w:rPr>
                      <w:spacing w:val="51"/>
                    </w:rPr>
                    <w:t> </w:t>
                  </w:r>
                  <w:r>
                    <w:rPr/>
                    <w:t>IČ,</w:t>
                    <w:tab/>
                    <w:t>DIČ,</w:t>
                  </w:r>
                </w:p>
                <w:p>
                  <w:pPr>
                    <w:pStyle w:val="BodyText"/>
                    <w:spacing w:before="11"/>
                    <w:ind w:left="1800"/>
                  </w:pPr>
                  <w:r>
                    <w:rPr>
                      <w:w w:val="105"/>
                    </w:rPr>
                    <w:t>-  den odeslání faktury a datum její splatnosti</w:t>
                  </w:r>
                </w:p>
                <w:p>
                  <w:pPr>
                    <w:pStyle w:val="BodyText"/>
                    <w:spacing w:before="11"/>
                    <w:ind w:left="1799"/>
                  </w:pPr>
                  <w:r>
                    <w:rPr>
                      <w:w w:val="105"/>
                    </w:rPr>
                    <w:t>- označení banky a číslo účtu zhotovitele, na který má být uhrazena,</w:t>
                  </w:r>
                </w:p>
                <w:p>
                  <w:pPr>
                    <w:pStyle w:val="BodyText"/>
                    <w:spacing w:before="11"/>
                    <w:ind w:left="1800"/>
                  </w:pPr>
                  <w:r>
                    <w:rPr>
                      <w:w w:val="115"/>
                    </w:rPr>
                    <w:t>- soupis provedených prací a rozpis použitého (dodaného) materiálu </w:t>
                  </w:r>
                  <w:r>
                    <w:rPr>
                      <w:w w:val="125"/>
                    </w:rPr>
                    <w:t>-</w:t>
                  </w:r>
                  <w:r>
                    <w:rPr>
                      <w:spacing w:val="-57"/>
                      <w:w w:val="125"/>
                    </w:rPr>
                    <w:t> </w:t>
                  </w:r>
                  <w:r>
                    <w:rPr>
                      <w:w w:val="115"/>
                    </w:rPr>
                    <w:t>náhradních dílů,</w:t>
                  </w:r>
                </w:p>
                <w:p>
                  <w:pPr>
                    <w:pStyle w:val="BodyText"/>
                    <w:spacing w:before="11"/>
                    <w:ind w:left="1800"/>
                  </w:pPr>
                  <w:r>
                    <w:rPr>
                      <w:w w:val="105"/>
                    </w:rPr>
                    <w:t>-  celkovou fakturovanou částku,</w:t>
                  </w:r>
                </w:p>
                <w:p>
                  <w:pPr>
                    <w:pStyle w:val="BodyText"/>
                    <w:spacing w:before="11"/>
                    <w:ind w:left="1800"/>
                  </w:pPr>
                  <w:r>
                    <w:rPr/>
                    <w:t>- všechny údaje týkající se daňového dokladu dle  §  28  zák.  č.235/2004  Sb.  o  dani  z přidané</w:t>
                  </w:r>
                </w:p>
                <w:p>
                  <w:pPr>
                    <w:pStyle w:val="BodyText"/>
                    <w:spacing w:before="2"/>
                    <w:ind w:left="1987"/>
                  </w:pPr>
                  <w:r>
                    <w:rPr/>
                    <w:t>hodnoty v platném</w:t>
                  </w:r>
                  <w:r>
                    <w:rPr>
                      <w:spacing w:val="52"/>
                    </w:rPr>
                    <w:t> </w:t>
                  </w:r>
                  <w:r>
                    <w:rPr/>
                    <w:t>znění.</w:t>
                  </w:r>
                </w:p>
                <w:p>
                  <w:pPr>
                    <w:pStyle w:val="BodyText"/>
                    <w:spacing w:before="7"/>
                    <w:rPr>
                      <w:rFonts w:ascii="Times New Roman"/>
                      <w:sz w:val="21"/>
                    </w:rPr>
                  </w:pPr>
                </w:p>
                <w:p>
                  <w:pPr>
                    <w:pStyle w:val="BodyText"/>
                    <w:spacing w:line="249" w:lineRule="auto"/>
                    <w:ind w:left="1800" w:right="1289" w:hanging="361"/>
                    <w:jc w:val="both"/>
                  </w:pPr>
                  <w:r>
                    <w:rPr/>
                    <w:t>4. Splatnost faktury se sjednává v délce 14 kalendářních dnů od jejího  doručení  objednateli.  Lhůty splatnosti v případě faktur doručených v průběhu posledního měsíce kalendářního roku budou</w:t>
                  </w:r>
                  <w:r>
                    <w:rPr>
                      <w:spacing w:val="-29"/>
                    </w:rPr>
                    <w:t> </w:t>
                  </w:r>
                  <w:r>
                    <w:rPr/>
                    <w:t>přiměřeně </w:t>
                  </w:r>
                  <w:r>
                    <w:rPr>
                      <w:spacing w:val="2"/>
                    </w:rPr>
                    <w:t>prodlouženyzdůvodů</w:t>
                  </w:r>
                  <w:r>
                    <w:rPr>
                      <w:spacing w:val="-33"/>
                    </w:rPr>
                    <w:t> </w:t>
                  </w:r>
                  <w:r>
                    <w:rPr>
                      <w:spacing w:val="2"/>
                    </w:rPr>
                    <w:t>nastraněobjednatele.</w:t>
                  </w:r>
                </w:p>
                <w:p>
                  <w:pPr>
                    <w:pStyle w:val="BodyText"/>
                    <w:spacing w:before="10"/>
                    <w:rPr>
                      <w:rFonts w:ascii="Times New Roman"/>
                      <w:sz w:val="20"/>
                    </w:rPr>
                  </w:pPr>
                </w:p>
                <w:p>
                  <w:pPr>
                    <w:pStyle w:val="BodyText"/>
                    <w:spacing w:line="247" w:lineRule="auto"/>
                    <w:ind w:left="1792" w:right="1296" w:hanging="332"/>
                    <w:jc w:val="both"/>
                  </w:pPr>
                  <w:r>
                    <w:rPr/>
                    <w:t>5. V případě, že faktura nebude mít odpovídající náležitosti, je objednatel oprávněn vrátit ji ve lhůtě  splatnosti zhotoviteli s vytknutím nedostatků, aniž by se dostal do prodlení. Nová lhůta splatnosti počíná běžet od okamžiku doručení opravené či doplněné faktury</w:t>
                  </w:r>
                  <w:r>
                    <w:rPr>
                      <w:spacing w:val="-14"/>
                    </w:rPr>
                    <w:t> </w:t>
                  </w:r>
                  <w:r>
                    <w:rPr/>
                    <w:t>objednateli.</w:t>
                  </w:r>
                </w:p>
                <w:p>
                  <w:pPr>
                    <w:pStyle w:val="BodyText"/>
                    <w:spacing w:before="5"/>
                    <w:rPr>
                      <w:rFonts w:ascii="Times New Roman"/>
                      <w:sz w:val="20"/>
                    </w:rPr>
                  </w:pPr>
                </w:p>
                <w:p>
                  <w:pPr>
                    <w:pStyle w:val="BodyText"/>
                    <w:ind w:left="1432"/>
                  </w:pPr>
                  <w:r>
                    <w:rPr/>
                    <w:t>6.  Objednatel neposkytuje žádné zálohové platby.</w:t>
                  </w:r>
                </w:p>
                <w:p>
                  <w:pPr>
                    <w:pStyle w:val="BodyText"/>
                    <w:rPr>
                      <w:rFonts w:ascii="Times New Roman"/>
                      <w:sz w:val="20"/>
                    </w:rPr>
                  </w:pPr>
                </w:p>
                <w:p>
                  <w:pPr>
                    <w:pStyle w:val="BodyText"/>
                    <w:spacing w:before="5"/>
                    <w:rPr>
                      <w:rFonts w:ascii="Times New Roman"/>
                      <w:sz w:val="20"/>
                    </w:rPr>
                  </w:pPr>
                </w:p>
                <w:p>
                  <w:pPr>
                    <w:spacing w:before="0"/>
                    <w:ind w:left="3758" w:right="0" w:firstLine="0"/>
                    <w:jc w:val="left"/>
                    <w:rPr>
                      <w:b/>
                      <w:sz w:val="22"/>
                    </w:rPr>
                  </w:pPr>
                  <w:r>
                    <w:rPr>
                      <w:b/>
                      <w:sz w:val="22"/>
                    </w:rPr>
                    <w:t>IV. Doba platnosti rámcové dohody</w:t>
                  </w:r>
                </w:p>
                <w:p>
                  <w:pPr>
                    <w:pStyle w:val="BodyText"/>
                    <w:spacing w:before="5"/>
                    <w:rPr>
                      <w:rFonts w:ascii="Times New Roman"/>
                      <w:sz w:val="20"/>
                    </w:rPr>
                  </w:pPr>
                </w:p>
                <w:p>
                  <w:pPr>
                    <w:pStyle w:val="BodyText"/>
                    <w:spacing w:line="249" w:lineRule="auto"/>
                    <w:ind w:left="1785" w:right="1304" w:hanging="346"/>
                    <w:jc w:val="both"/>
                  </w:pPr>
                  <w:r>
                    <w:rPr>
                      <w:w w:val="105"/>
                    </w:rPr>
                    <w:t>1. Tato rámcová dohoda se uzavírá na dobu určitou, a to ode dne nabytí účinnosti dohody do </w:t>
                  </w:r>
                  <w:r>
                    <w:rPr>
                      <w:b/>
                      <w:w w:val="105"/>
                    </w:rPr>
                    <w:t>31.12.2024 </w:t>
                  </w:r>
                  <w:r>
                    <w:rPr>
                      <w:w w:val="105"/>
                    </w:rPr>
                    <w:t>nebo do dosažení hodnoty plnění (ceny zaplacené za poskytnuté služby) v částce ve výši 400.000 Kč bez DPH (slovy: čtyři-sta-tisíc-korun-českých), a to dle toho, která ze skutečností nastane dříve.</w:t>
                  </w:r>
                </w:p>
                <w:p>
                  <w:pPr>
                    <w:pStyle w:val="BodyText"/>
                    <w:spacing w:before="10"/>
                    <w:rPr>
                      <w:rFonts w:ascii="Times New Roman"/>
                      <w:sz w:val="20"/>
                    </w:rPr>
                  </w:pPr>
                </w:p>
                <w:p>
                  <w:pPr>
                    <w:pStyle w:val="BodyText"/>
                    <w:tabs>
                      <w:tab w:pos="1795" w:val="left" w:leader="none"/>
                    </w:tabs>
                    <w:ind w:left="1425"/>
                  </w:pPr>
                  <w:r>
                    <w:rPr/>
                    <w:t>2.</w:t>
                    <w:tab/>
                    <w:t>Tato rámcová dohoda  může být</w:t>
                  </w:r>
                  <w:r>
                    <w:rPr>
                      <w:spacing w:val="-8"/>
                    </w:rPr>
                    <w:t> </w:t>
                  </w:r>
                  <w:r>
                    <w:rPr/>
                    <w:t>ukončena:</w:t>
                  </w:r>
                </w:p>
                <w:p>
                  <w:pPr>
                    <w:pStyle w:val="BodyText"/>
                    <w:tabs>
                      <w:tab w:pos="2157" w:val="left" w:leader="none"/>
                    </w:tabs>
                    <w:spacing w:before="126"/>
                    <w:ind w:left="1778"/>
                  </w:pPr>
                  <w:r>
                    <w:rPr/>
                    <w:t>a)</w:t>
                    <w:tab/>
                    <w:t>uplynutím  lhůty,  na kterou  byla dohoda</w:t>
                  </w:r>
                  <w:r>
                    <w:rPr>
                      <w:spacing w:val="-13"/>
                    </w:rPr>
                    <w:t> </w:t>
                  </w:r>
                  <w:r>
                    <w:rPr/>
                    <w:t>uzavřena;</w:t>
                  </w:r>
                </w:p>
                <w:p>
                  <w:pPr>
                    <w:pStyle w:val="BodyText"/>
                    <w:spacing w:before="76"/>
                    <w:ind w:left="1785"/>
                  </w:pPr>
                  <w:r>
                    <w:rPr>
                      <w:w w:val="105"/>
                    </w:rPr>
                    <w:t>b) dosažením maximální hodnoty plnění dle předchozího odstavce;</w:t>
                  </w:r>
                </w:p>
                <w:p>
                  <w:pPr>
                    <w:pStyle w:val="BodyText"/>
                    <w:tabs>
                      <w:tab w:pos="2142" w:val="left" w:leader="none"/>
                    </w:tabs>
                    <w:spacing w:before="60"/>
                    <w:ind w:left="1778"/>
                  </w:pPr>
                  <w:r>
                    <w:rPr>
                      <w:w w:val="105"/>
                    </w:rPr>
                    <w:t>c)</w:t>
                    <w:tab/>
                    <w:t>písemnou</w:t>
                  </w:r>
                  <w:r>
                    <w:rPr>
                      <w:spacing w:val="-21"/>
                      <w:w w:val="105"/>
                    </w:rPr>
                    <w:t> </w:t>
                  </w:r>
                  <w:r>
                    <w:rPr>
                      <w:w w:val="105"/>
                    </w:rPr>
                    <w:t>dohodou</w:t>
                  </w:r>
                  <w:r>
                    <w:rPr>
                      <w:spacing w:val="-25"/>
                      <w:w w:val="105"/>
                    </w:rPr>
                    <w:t> </w:t>
                  </w:r>
                  <w:r>
                    <w:rPr>
                      <w:w w:val="105"/>
                    </w:rPr>
                    <w:t>obou</w:t>
                  </w:r>
                  <w:r>
                    <w:rPr>
                      <w:spacing w:val="-21"/>
                      <w:w w:val="105"/>
                    </w:rPr>
                    <w:t> </w:t>
                  </w:r>
                  <w:r>
                    <w:rPr>
                      <w:w w:val="105"/>
                    </w:rPr>
                    <w:t>stran;</w:t>
                  </w:r>
                </w:p>
                <w:p>
                  <w:pPr>
                    <w:pStyle w:val="BodyText"/>
                    <w:spacing w:before="77"/>
                    <w:ind w:left="1778"/>
                  </w:pPr>
                  <w:r>
                    <w:rPr>
                      <w:w w:val="105"/>
                    </w:rPr>
                    <w:t>d)  písemným odstoupením od této dohody jednou ze smluvních stran;</w:t>
                  </w:r>
                </w:p>
                <w:p>
                  <w:pPr>
                    <w:pStyle w:val="BodyText"/>
                    <w:spacing w:before="69"/>
                    <w:ind w:left="1778"/>
                  </w:pPr>
                  <w:r>
                    <w:rPr>
                      <w:w w:val="105"/>
                    </w:rPr>
                    <w:t>e) jiným způsobem předvídaným obecně závaznými právními předpisy;</w:t>
                  </w:r>
                </w:p>
                <w:p>
                  <w:pPr>
                    <w:pStyle w:val="BodyText"/>
                    <w:tabs>
                      <w:tab w:pos="2123" w:val="left" w:leader="none"/>
                    </w:tabs>
                    <w:spacing w:before="76"/>
                    <w:ind w:left="1785"/>
                  </w:pPr>
                  <w:r>
                    <w:rPr>
                      <w:w w:val="105"/>
                    </w:rPr>
                    <w:t>f)</w:t>
                    <w:tab/>
                    <w:t>písemnou</w:t>
                  </w:r>
                  <w:r>
                    <w:rPr>
                      <w:spacing w:val="-9"/>
                      <w:w w:val="105"/>
                    </w:rPr>
                    <w:t> </w:t>
                  </w:r>
                  <w:r>
                    <w:rPr>
                      <w:w w:val="105"/>
                    </w:rPr>
                    <w:t>výpovědí</w:t>
                  </w:r>
                  <w:r>
                    <w:rPr>
                      <w:spacing w:val="-10"/>
                      <w:w w:val="105"/>
                    </w:rPr>
                    <w:t> </w:t>
                  </w:r>
                  <w:r>
                    <w:rPr>
                      <w:w w:val="105"/>
                    </w:rPr>
                    <w:t>dle</w:t>
                  </w:r>
                  <w:r>
                    <w:rPr>
                      <w:spacing w:val="-11"/>
                      <w:w w:val="105"/>
                    </w:rPr>
                    <w:t> </w:t>
                  </w:r>
                  <w:r>
                    <w:rPr>
                      <w:w w:val="105"/>
                    </w:rPr>
                    <w:t>odst.</w:t>
                  </w:r>
                  <w:r>
                    <w:rPr>
                      <w:spacing w:val="-4"/>
                      <w:w w:val="105"/>
                    </w:rPr>
                    <w:t> </w:t>
                  </w:r>
                  <w:r>
                    <w:rPr>
                      <w:w w:val="105"/>
                    </w:rPr>
                    <w:t>7</w:t>
                  </w:r>
                  <w:r>
                    <w:rPr>
                      <w:spacing w:val="-11"/>
                      <w:w w:val="105"/>
                    </w:rPr>
                    <w:t> </w:t>
                  </w:r>
                  <w:r>
                    <w:rPr>
                      <w:w w:val="105"/>
                    </w:rPr>
                    <w:t>a</w:t>
                  </w:r>
                  <w:r>
                    <w:rPr>
                      <w:spacing w:val="-11"/>
                      <w:w w:val="105"/>
                    </w:rPr>
                    <w:t> </w:t>
                  </w:r>
                  <w:r>
                    <w:rPr>
                      <w:w w:val="105"/>
                    </w:rPr>
                    <w:t>8.</w:t>
                  </w:r>
                  <w:r>
                    <w:rPr>
                      <w:spacing w:val="-10"/>
                      <w:w w:val="105"/>
                    </w:rPr>
                    <w:t> </w:t>
                  </w:r>
                  <w:r>
                    <w:rPr>
                      <w:w w:val="105"/>
                    </w:rPr>
                    <w:t>tohoto</w:t>
                  </w:r>
                  <w:r>
                    <w:rPr>
                      <w:spacing w:val="-11"/>
                      <w:w w:val="105"/>
                    </w:rPr>
                    <w:t> </w:t>
                  </w:r>
                  <w:r>
                    <w:rPr>
                      <w:w w:val="105"/>
                    </w:rPr>
                    <w:t>článku</w:t>
                  </w:r>
                  <w:r>
                    <w:rPr>
                      <w:spacing w:val="-5"/>
                      <w:w w:val="105"/>
                    </w:rPr>
                    <w:t> </w:t>
                  </w:r>
                  <w:r>
                    <w:rPr>
                      <w:w w:val="105"/>
                    </w:rPr>
                    <w:t>dohody</w:t>
                  </w:r>
                </w:p>
                <w:p>
                  <w:pPr>
                    <w:pStyle w:val="BodyText"/>
                    <w:spacing w:line="252" w:lineRule="auto" w:before="127"/>
                    <w:ind w:left="1763" w:right="1318" w:hanging="346"/>
                    <w:jc w:val="both"/>
                  </w:pPr>
                  <w:r>
                    <w:rPr>
                      <w:w w:val="105"/>
                    </w:rPr>
                    <w:t>3.   Kterákoliv  ze  smluvních  stran je  oprávněna  odstoupit od  rámcové  dohody z důvodů  uvedených v této dohodě, příp. z důvodů uvedených v obecně závazných právních předpisech. Oznámení o odstoupení musí být druhé smluvní straně doručeno a musí obsahovat vymezení</w:t>
                  </w:r>
                  <w:r>
                    <w:rPr>
                      <w:spacing w:val="55"/>
                      <w:w w:val="105"/>
                    </w:rPr>
                    <w:t> </w:t>
                  </w:r>
                  <w:r>
                    <w:rPr>
                      <w:w w:val="105"/>
                    </w:rPr>
                    <w:t>důvodu odstoupení  tak,  aby jej  nebylo  možno  zaměnit  s jiným  důvodem  odstoupení.  K zániku  dohody z důvodu  odstoupení od dohody některou ze smluvních stran  dochází dnem  doručení oznámení   o odstoupení druhé smluvní straně, popřípadě pozdějším dnem uvedeným v tomto oznámení, a to  s</w:t>
                  </w:r>
                  <w:r>
                    <w:rPr>
                      <w:spacing w:val="-23"/>
                      <w:w w:val="105"/>
                    </w:rPr>
                    <w:t> </w:t>
                  </w:r>
                  <w:r>
                    <w:rPr>
                      <w:w w:val="105"/>
                    </w:rPr>
                    <w:t>účinky</w:t>
                  </w:r>
                  <w:r>
                    <w:rPr>
                      <w:spacing w:val="-26"/>
                      <w:w w:val="105"/>
                    </w:rPr>
                    <w:t> </w:t>
                  </w:r>
                  <w:r>
                    <w:rPr>
                      <w:w w:val="105"/>
                    </w:rPr>
                    <w:t>do</w:t>
                  </w:r>
                  <w:r>
                    <w:rPr>
                      <w:spacing w:val="-22"/>
                      <w:w w:val="105"/>
                    </w:rPr>
                    <w:t> </w:t>
                  </w:r>
                  <w:r>
                    <w:rPr>
                      <w:w w:val="105"/>
                    </w:rPr>
                    <w:t>budoucna.</w:t>
                  </w:r>
                </w:p>
                <w:p>
                  <w:pPr>
                    <w:pStyle w:val="BodyText"/>
                    <w:rPr>
                      <w:rFonts w:ascii="Times New Roman"/>
                      <w:sz w:val="20"/>
                    </w:rPr>
                  </w:pPr>
                </w:p>
                <w:p>
                  <w:pPr>
                    <w:pStyle w:val="BodyText"/>
                    <w:rPr>
                      <w:rFonts w:ascii="Times New Roman"/>
                      <w:sz w:val="27"/>
                    </w:rPr>
                  </w:pPr>
                </w:p>
                <w:p>
                  <w:pPr>
                    <w:spacing w:before="0"/>
                    <w:ind w:left="1792" w:right="1722" w:firstLine="0"/>
                    <w:jc w:val="center"/>
                    <w:rPr>
                      <w:sz w:val="17"/>
                    </w:rPr>
                  </w:pPr>
                  <w:r>
                    <w:rPr>
                      <w:sz w:val="17"/>
                    </w:rPr>
                    <w:t>3/8</w:t>
                  </w:r>
                </w:p>
              </w:txbxContent>
            </v:textbox>
            <w10:wrap type="none"/>
          </v:shape>
        </w:pict>
      </w:r>
      <w:r>
        <w:rPr>
          <w:rFonts w:ascii="Times New Roman"/>
          <w:sz w:val="20"/>
        </w:rPr>
        <w:drawing>
          <wp:inline distT="0" distB="0" distL="0" distR="0">
            <wp:extent cx="7557590" cy="10689336"/>
            <wp:effectExtent l="0" t="0" r="0" b="0"/>
            <wp:docPr id="3" name="image3.jpeg" descr="ţ˙"/>
            <wp:cNvGraphicFramePr>
              <a:graphicFrameLocks noChangeAspect="1"/>
            </wp:cNvGraphicFramePr>
            <a:graphic>
              <a:graphicData uri="http://schemas.openxmlformats.org/drawingml/2006/picture">
                <pic:pic>
                  <pic:nvPicPr>
                    <pic:cNvPr id="4" name="image3.jpeg"/>
                    <pic:cNvPicPr/>
                  </pic:nvPicPr>
                  <pic:blipFill>
                    <a:blip r:embed="rId7" cstate="print"/>
                    <a:stretch>
                      <a:fillRect/>
                    </a:stretch>
                  </pic:blipFill>
                  <pic:spPr>
                    <a:xfrm>
                      <a:off x="0" y="0"/>
                      <a:ext cx="7557590" cy="10689336"/>
                    </a:xfrm>
                    <a:prstGeom prst="rect">
                      <a:avLst/>
                    </a:prstGeom>
                  </pic:spPr>
                </pic:pic>
              </a:graphicData>
            </a:graphic>
          </wp:inline>
        </w:drawing>
      </w:r>
      <w:r>
        <w:rPr>
          <w:rFonts w:ascii="Times New Roman"/>
          <w:sz w:val="20"/>
        </w:rPr>
      </w:r>
    </w:p>
    <w:p>
      <w:pPr>
        <w:spacing w:after="0"/>
        <w:rPr>
          <w:rFonts w:ascii="Times New Roman"/>
          <w:sz w:val="20"/>
        </w:rPr>
        <w:sectPr>
          <w:pgSz w:w="11920" w:h="16850"/>
          <w:pgMar w:top="0" w:bottom="0" w:left="0" w:right="0"/>
        </w:sectPr>
      </w:pPr>
    </w:p>
    <w:p>
      <w:pPr>
        <w:pStyle w:val="BodyText"/>
        <w:ind w:right="-31"/>
        <w:rPr>
          <w:rFonts w:ascii="Times New Roman"/>
          <w:sz w:val="20"/>
        </w:rPr>
      </w:pPr>
      <w:r>
        <w:rPr/>
        <w:pict>
          <v:shape style="position:absolute;margin-left:0pt;margin-top:.0pt;width:595.1pt;height:841.7pt;mso-position-horizontal-relative:page;mso-position-vertical-relative:page;z-index:-17224" type="#_x0000_t202" filled="false" stroked="false">
            <v:textbox inset="0,0,0,0">
              <w:txbxContent>
                <w:p>
                  <w:pPr>
                    <w:pStyle w:val="BodyText"/>
                    <w:rPr>
                      <w:rFonts w:ascii="Times New Roman"/>
                      <w:sz w:val="24"/>
                    </w:rPr>
                  </w:pPr>
                </w:p>
                <w:p>
                  <w:pPr>
                    <w:pStyle w:val="BodyText"/>
                    <w:rPr>
                      <w:rFonts w:ascii="Times New Roman"/>
                      <w:sz w:val="34"/>
                    </w:rPr>
                  </w:pPr>
                </w:p>
                <w:p>
                  <w:pPr>
                    <w:spacing w:before="0"/>
                    <w:ind w:left="1504" w:right="0" w:firstLine="0"/>
                    <w:jc w:val="left"/>
                    <w:rPr>
                      <w:sz w:val="21"/>
                    </w:rPr>
                  </w:pPr>
                  <w:r>
                    <w:rPr>
                      <w:sz w:val="21"/>
                    </w:rPr>
                    <w:t>č. SMLR 75-4/2024</w:t>
                  </w:r>
                </w:p>
                <w:p>
                  <w:pPr>
                    <w:pStyle w:val="BodyText"/>
                    <w:rPr>
                      <w:rFonts w:ascii="Times New Roman"/>
                      <w:sz w:val="24"/>
                    </w:rPr>
                  </w:pPr>
                </w:p>
                <w:p>
                  <w:pPr>
                    <w:pStyle w:val="BodyText"/>
                    <w:spacing w:before="190"/>
                    <w:ind w:left="1497"/>
                  </w:pPr>
                  <w:r>
                    <w:rPr>
                      <w:w w:val="105"/>
                    </w:rPr>
                    <w:t>4. Objednatel je oprávněn odstoupit od této dohody zejména v případech, kdy:</w:t>
                  </w:r>
                </w:p>
                <w:p>
                  <w:pPr>
                    <w:pStyle w:val="BodyText"/>
                    <w:spacing w:before="129"/>
                    <w:ind w:left="2195"/>
                  </w:pPr>
                  <w:r>
                    <w:rPr>
                      <w:w w:val="105"/>
                    </w:rPr>
                    <w:t>a)  zhotovitel  podstatným  způsobem  poruší  své  povinnosti  stanovené  touto  dohodou nebo</w:t>
                  </w:r>
                </w:p>
                <w:p>
                  <w:pPr>
                    <w:spacing w:before="16"/>
                    <w:ind w:left="6" w:right="1722" w:firstLine="0"/>
                    <w:jc w:val="center"/>
                    <w:rPr>
                      <w:b/>
                      <w:sz w:val="19"/>
                    </w:rPr>
                  </w:pPr>
                  <w:r>
                    <w:rPr>
                      <w:spacing w:val="1"/>
                      <w:w w:val="102"/>
                      <w:sz w:val="19"/>
                    </w:rPr>
                    <w:t>o</w:t>
                  </w:r>
                  <w:r>
                    <w:rPr>
                      <w:spacing w:val="-1"/>
                      <w:w w:val="102"/>
                      <w:sz w:val="19"/>
                    </w:rPr>
                    <w:t>b</w:t>
                  </w:r>
                  <w:r>
                    <w:rPr>
                      <w:spacing w:val="2"/>
                      <w:w w:val="102"/>
                      <w:sz w:val="19"/>
                    </w:rPr>
                    <w:t>j</w:t>
                  </w:r>
                  <w:r>
                    <w:rPr>
                      <w:spacing w:val="-1"/>
                      <w:w w:val="102"/>
                      <w:sz w:val="19"/>
                    </w:rPr>
                    <w:t>e</w:t>
                  </w:r>
                  <w:r>
                    <w:rPr>
                      <w:spacing w:val="1"/>
                      <w:w w:val="102"/>
                      <w:sz w:val="19"/>
                    </w:rPr>
                    <w:t>dn</w:t>
                  </w:r>
                  <w:r>
                    <w:rPr>
                      <w:spacing w:val="-1"/>
                      <w:w w:val="102"/>
                      <w:sz w:val="19"/>
                    </w:rPr>
                    <w:t>á</w:t>
                  </w:r>
                  <w:r>
                    <w:rPr>
                      <w:w w:val="102"/>
                      <w:sz w:val="19"/>
                    </w:rPr>
                    <w:t>v</w:t>
                  </w:r>
                  <w:r>
                    <w:rPr>
                      <w:spacing w:val="3"/>
                      <w:w w:val="102"/>
                      <w:sz w:val="19"/>
                    </w:rPr>
                    <w:t>k</w:t>
                  </w:r>
                  <w:r>
                    <w:rPr>
                      <w:spacing w:val="1"/>
                      <w:w w:val="102"/>
                      <w:sz w:val="19"/>
                    </w:rPr>
                    <w:t>o</w:t>
                  </w:r>
                  <w:r>
                    <w:rPr>
                      <w:w w:val="102"/>
                      <w:sz w:val="19"/>
                    </w:rPr>
                    <w:t>u</w:t>
                  </w:r>
                  <w:r>
                    <w:rPr>
                      <w:spacing w:val="1"/>
                      <w:sz w:val="19"/>
                    </w:rPr>
                    <w:t> </w:t>
                  </w:r>
                  <w:r>
                    <w:rPr>
                      <w:spacing w:val="-1"/>
                      <w:w w:val="102"/>
                      <w:sz w:val="19"/>
                    </w:rPr>
                    <w:t>o</w:t>
                  </w:r>
                  <w:r>
                    <w:rPr>
                      <w:spacing w:val="1"/>
                      <w:w w:val="102"/>
                      <w:sz w:val="19"/>
                    </w:rPr>
                    <w:t>b</w:t>
                  </w:r>
                  <w:r>
                    <w:rPr>
                      <w:spacing w:val="-1"/>
                      <w:w w:val="102"/>
                      <w:sz w:val="19"/>
                    </w:rPr>
                    <w:t>j</w:t>
                  </w:r>
                  <w:r>
                    <w:rPr>
                      <w:spacing w:val="1"/>
                      <w:w w:val="102"/>
                      <w:sz w:val="19"/>
                    </w:rPr>
                    <w:t>edn</w:t>
                  </w:r>
                  <w:r>
                    <w:rPr>
                      <w:spacing w:val="-1"/>
                      <w:w w:val="102"/>
                      <w:sz w:val="19"/>
                    </w:rPr>
                    <w:t>a</w:t>
                  </w:r>
                  <w:r>
                    <w:rPr>
                      <w:w w:val="102"/>
                      <w:sz w:val="19"/>
                    </w:rPr>
                    <w:t>t</w:t>
                  </w:r>
                  <w:r>
                    <w:rPr>
                      <w:spacing w:val="1"/>
                      <w:w w:val="102"/>
                      <w:sz w:val="19"/>
                    </w:rPr>
                    <w:t>e</w:t>
                  </w:r>
                  <w:r>
                    <w:rPr>
                      <w:spacing w:val="-1"/>
                      <w:w w:val="102"/>
                      <w:sz w:val="19"/>
                    </w:rPr>
                    <w:t>l</w:t>
                  </w:r>
                  <w:r>
                    <w:rPr>
                      <w:w w:val="102"/>
                      <w:sz w:val="19"/>
                    </w:rPr>
                    <w:t>e</w:t>
                  </w:r>
                  <w:r>
                    <w:rPr>
                      <w:spacing w:val="2"/>
                      <w:sz w:val="19"/>
                    </w:rPr>
                    <w:t> </w:t>
                  </w:r>
                  <w:r>
                    <w:rPr>
                      <w:spacing w:val="1"/>
                      <w:w w:val="99"/>
                      <w:sz w:val="19"/>
                    </w:rPr>
                    <w:t>(</w:t>
                  </w:r>
                  <w:r>
                    <w:rPr>
                      <w:spacing w:val="2"/>
                      <w:w w:val="99"/>
                      <w:sz w:val="19"/>
                    </w:rPr>
                    <w:t>d</w:t>
                  </w:r>
                  <w:r>
                    <w:rPr>
                      <w:w w:val="99"/>
                      <w:sz w:val="19"/>
                    </w:rPr>
                    <w:t>á</w:t>
                  </w:r>
                  <w:r>
                    <w:rPr>
                      <w:spacing w:val="3"/>
                      <w:w w:val="99"/>
                      <w:sz w:val="19"/>
                    </w:rPr>
                    <w:t>l</w:t>
                  </w:r>
                  <w:r>
                    <w:rPr>
                      <w:w w:val="99"/>
                      <w:sz w:val="19"/>
                    </w:rPr>
                    <w:t>e</w:t>
                  </w:r>
                  <w:r>
                    <w:rPr>
                      <w:sz w:val="19"/>
                    </w:rPr>
                    <w:t> </w:t>
                  </w:r>
                  <w:r>
                    <w:rPr>
                      <w:spacing w:val="2"/>
                      <w:w w:val="99"/>
                      <w:sz w:val="19"/>
                    </w:rPr>
                    <w:t>t</w:t>
                  </w:r>
                  <w:r>
                    <w:rPr>
                      <w:w w:val="99"/>
                      <w:sz w:val="19"/>
                    </w:rPr>
                    <w:t>a</w:t>
                  </w:r>
                  <w:r>
                    <w:rPr>
                      <w:spacing w:val="3"/>
                      <w:w w:val="99"/>
                      <w:sz w:val="19"/>
                    </w:rPr>
                    <w:t>k</w:t>
                  </w:r>
                  <w:r>
                    <w:rPr>
                      <w:w w:val="99"/>
                      <w:sz w:val="19"/>
                    </w:rPr>
                    <w:t>é</w:t>
                  </w:r>
                  <w:r>
                    <w:rPr>
                      <w:spacing w:val="1"/>
                      <w:sz w:val="19"/>
                    </w:rPr>
                    <w:t> </w:t>
                  </w:r>
                  <w:r>
                    <w:rPr>
                      <w:spacing w:val="2"/>
                      <w:w w:val="102"/>
                      <w:sz w:val="19"/>
                    </w:rPr>
                    <w:t>j</w:t>
                  </w:r>
                  <w:r>
                    <w:rPr>
                      <w:spacing w:val="1"/>
                      <w:w w:val="102"/>
                      <w:sz w:val="19"/>
                    </w:rPr>
                    <w:t>e</w:t>
                  </w:r>
                  <w:r>
                    <w:rPr>
                      <w:w w:val="102"/>
                      <w:sz w:val="19"/>
                    </w:rPr>
                    <w:t>n</w:t>
                  </w:r>
                  <w:r>
                    <w:rPr>
                      <w:spacing w:val="2"/>
                      <w:sz w:val="19"/>
                    </w:rPr>
                    <w:t> </w:t>
                  </w:r>
                  <w:r>
                    <w:rPr>
                      <w:b/>
                      <w:spacing w:val="2"/>
                      <w:w w:val="95"/>
                      <w:sz w:val="19"/>
                    </w:rPr>
                    <w:t>„</w:t>
                  </w:r>
                  <w:r>
                    <w:rPr>
                      <w:b/>
                      <w:spacing w:val="-1"/>
                      <w:w w:val="95"/>
                      <w:sz w:val="19"/>
                    </w:rPr>
                    <w:t>dí</w:t>
                  </w:r>
                  <w:r>
                    <w:rPr>
                      <w:b/>
                      <w:spacing w:val="2"/>
                      <w:w w:val="95"/>
                      <w:sz w:val="19"/>
                    </w:rPr>
                    <w:t>l</w:t>
                  </w:r>
                  <w:r>
                    <w:rPr>
                      <w:b/>
                      <w:spacing w:val="-1"/>
                      <w:w w:val="95"/>
                      <w:sz w:val="19"/>
                    </w:rPr>
                    <w:t>č</w:t>
                  </w:r>
                  <w:r>
                    <w:rPr>
                      <w:b/>
                      <w:w w:val="95"/>
                      <w:sz w:val="19"/>
                    </w:rPr>
                    <w:t>í</w:t>
                  </w:r>
                  <w:r>
                    <w:rPr>
                      <w:b/>
                      <w:spacing w:val="-2"/>
                      <w:sz w:val="19"/>
                    </w:rPr>
                    <w:t> </w:t>
                  </w:r>
                  <w:r>
                    <w:rPr>
                      <w:b/>
                      <w:spacing w:val="2"/>
                      <w:w w:val="102"/>
                      <w:sz w:val="19"/>
                    </w:rPr>
                    <w:t>sm</w:t>
                  </w:r>
                  <w:r>
                    <w:rPr>
                      <w:b/>
                      <w:spacing w:val="3"/>
                      <w:w w:val="102"/>
                      <w:sz w:val="19"/>
                    </w:rPr>
                    <w:t>l</w:t>
                  </w:r>
                  <w:r>
                    <w:rPr>
                      <w:b/>
                      <w:spacing w:val="3"/>
                      <w:w w:val="102"/>
                      <w:sz w:val="19"/>
                    </w:rPr>
                    <w:t>ou</w:t>
                  </w:r>
                  <w:r>
                    <w:rPr>
                      <w:b/>
                      <w:spacing w:val="2"/>
                      <w:w w:val="102"/>
                      <w:sz w:val="19"/>
                    </w:rPr>
                    <w:t>va</w:t>
                  </w:r>
                  <w:r>
                    <w:rPr>
                      <w:b/>
                      <w:spacing w:val="1"/>
                      <w:w w:val="32"/>
                      <w:sz w:val="19"/>
                    </w:rPr>
                    <w:t>1</w:t>
                  </w:r>
                  <w:r>
                    <w:rPr>
                      <w:b/>
                      <w:spacing w:val="2"/>
                      <w:w w:val="32"/>
                      <w:sz w:val="19"/>
                    </w:rPr>
                    <w:t>1</w:t>
                  </w:r>
                  <w:r>
                    <w:rPr>
                      <w:b/>
                      <w:spacing w:val="-2"/>
                      <w:w w:val="74"/>
                      <w:sz w:val="19"/>
                    </w:rPr>
                    <w:t>);</w:t>
                  </w:r>
                </w:p>
                <w:p>
                  <w:pPr>
                    <w:pStyle w:val="BodyText"/>
                    <w:tabs>
                      <w:tab w:pos="2611" w:val="left" w:leader="none"/>
                    </w:tabs>
                    <w:spacing w:before="69"/>
                    <w:ind w:left="2203"/>
                  </w:pPr>
                  <w:r>
                    <w:rPr>
                      <w:w w:val="105"/>
                    </w:rPr>
                    <w:t>b)</w:t>
                    <w:tab/>
                    <w:t>existují</w:t>
                  </w:r>
                  <w:r>
                    <w:rPr>
                      <w:spacing w:val="-10"/>
                      <w:w w:val="105"/>
                    </w:rPr>
                    <w:t> </w:t>
                  </w:r>
                  <w:r>
                    <w:rPr>
                      <w:w w:val="105"/>
                    </w:rPr>
                    <w:t>důvody</w:t>
                  </w:r>
                  <w:r>
                    <w:rPr>
                      <w:spacing w:val="-11"/>
                      <w:w w:val="105"/>
                    </w:rPr>
                    <w:t> </w:t>
                  </w:r>
                  <w:r>
                    <w:rPr>
                      <w:w w:val="105"/>
                    </w:rPr>
                    <w:t>zakazující</w:t>
                  </w:r>
                  <w:r>
                    <w:rPr>
                      <w:spacing w:val="-10"/>
                      <w:w w:val="105"/>
                    </w:rPr>
                    <w:t> </w:t>
                  </w:r>
                  <w:r>
                    <w:rPr>
                      <w:w w:val="105"/>
                    </w:rPr>
                    <w:t>zhotoviteli</w:t>
                  </w:r>
                  <w:r>
                    <w:rPr>
                      <w:spacing w:val="-11"/>
                      <w:w w:val="105"/>
                    </w:rPr>
                    <w:t> </w:t>
                  </w:r>
                  <w:r>
                    <w:rPr>
                      <w:spacing w:val="2"/>
                      <w:w w:val="105"/>
                    </w:rPr>
                    <w:t>plnittuto</w:t>
                  </w:r>
                  <w:r>
                    <w:rPr>
                      <w:spacing w:val="-11"/>
                      <w:w w:val="105"/>
                    </w:rPr>
                    <w:t> </w:t>
                  </w:r>
                  <w:r>
                    <w:rPr>
                      <w:spacing w:val="2"/>
                      <w:w w:val="105"/>
                    </w:rPr>
                    <w:t>rámcovou</w:t>
                  </w:r>
                  <w:r>
                    <w:rPr>
                      <w:spacing w:val="-11"/>
                      <w:w w:val="105"/>
                    </w:rPr>
                    <w:t> </w:t>
                  </w:r>
                  <w:r>
                    <w:rPr>
                      <w:w w:val="105"/>
                    </w:rPr>
                    <w:t>dohodu.</w:t>
                  </w:r>
                </w:p>
                <w:p>
                  <w:pPr>
                    <w:pStyle w:val="BodyText"/>
                    <w:spacing w:line="252" w:lineRule="auto" w:before="127"/>
                    <w:ind w:left="1857" w:right="1258" w:hanging="361"/>
                    <w:jc w:val="both"/>
                  </w:pPr>
                  <w:r>
                    <w:rPr/>
                    <w:t>5. Smluvní strany sjednávají, že vztahují-li se důvody pro odstoupení od této dohody (uvedené v této rámcové dohodě nebo v obecně závazných právních předpisech) pro konkrétní dílčí smlouvu, může příslušná smluvní strana odstoupit,  byť i jen ve vztahu  k této dílčí  smlouvě.</w:t>
                  </w:r>
                </w:p>
                <w:p>
                  <w:pPr>
                    <w:pStyle w:val="BodyText"/>
                    <w:spacing w:line="252" w:lineRule="auto" w:before="123"/>
                    <w:ind w:left="1843" w:right="1270" w:hanging="353"/>
                    <w:jc w:val="both"/>
                  </w:pPr>
                  <w:r>
                    <w:rPr>
                      <w:w w:val="105"/>
                    </w:rPr>
                    <w:t>6. Objednatel je dále oprávněn odstoupit od dílčí smlouvy s účinky ke dni doručení oznámení o odstoupení od dílčí smlouvy zhotoviteli též v případě, že zhotovitel bude v prodlení s poskytnutím služeb dle této dohody o více než 10 kalendářních dnů oproti termínu stanovenému rámcovou dohodou nebo dílčí smlouvou.</w:t>
                  </w:r>
                </w:p>
                <w:p>
                  <w:pPr>
                    <w:pStyle w:val="BodyText"/>
                    <w:spacing w:line="254" w:lineRule="auto" w:before="113"/>
                    <w:ind w:left="1843" w:right="1258" w:hanging="346"/>
                    <w:jc w:val="both"/>
                  </w:pPr>
                  <w:r>
                    <w:rPr/>
                    <w:t>7. Kterákoliv smluvní strana je oprávněna ukončit tuto dohodu písemnou výpovědí, a to  i bez  udání  důvodu. Výpovědní doba činí dva měsíce a počíná běžet prvním dnem měsíce následujícího po  doručení výpovědi druhé smluvní straně. V případě výpovědi rámcové dohody budou zhotovitelem poskytnuta všechna plnění, jež se zhotovitel zavázal poskytnout v době před vypovězením rámcové dohody kteroukoliv smluvní stranou, i ta plnění, k jejichž provedení se zhotovitel zaváže během výpovědní doby, byť by k dokončení/poskytnutí takových plnění mělo dojít až po uplynutí výpovědní doby, resp. po zániku této rámcové dohody. Pokud doje k plnění po uplynuti doby platnosti  této  rámcové dohody, vztahují se na tato plnění (dílčí smlouvy) rovněž ujednání uvedená v této rámcové dohodě  a jejích  případných</w:t>
                  </w:r>
                  <w:r>
                    <w:rPr>
                      <w:spacing w:val="7"/>
                    </w:rPr>
                    <w:t> </w:t>
                  </w:r>
                  <w:r>
                    <w:rPr/>
                    <w:t>dodatcích.</w:t>
                  </w:r>
                </w:p>
                <w:p>
                  <w:pPr>
                    <w:pStyle w:val="BodyText"/>
                    <w:spacing w:line="261" w:lineRule="auto" w:before="111"/>
                    <w:ind w:left="1843" w:right="1267" w:hanging="353"/>
                    <w:jc w:val="both"/>
                  </w:pPr>
                  <w:r>
                    <w:rPr>
                      <w:w w:val="105"/>
                    </w:rPr>
                    <w:t>8. V následujících případech je objednatel oprávněn vypovědět rámcovou dohodu s třicetidenní výpovědní dobou ode dne doručení zhotoviteli:</w:t>
                  </w:r>
                </w:p>
                <w:p>
                  <w:pPr>
                    <w:pStyle w:val="BodyText"/>
                    <w:spacing w:line="261" w:lineRule="auto" w:before="100"/>
                    <w:ind w:left="2620" w:right="1310" w:hanging="432"/>
                    <w:jc w:val="both"/>
                  </w:pPr>
                  <w:r>
                    <w:rPr>
                      <w:w w:val="105"/>
                    </w:rPr>
                    <w:t>a) je zjištěno, že dohoda neměla být uzavřena z důvodu, že zhotovitel měl</w:t>
                  </w:r>
                  <w:r>
                    <w:rPr>
                      <w:spacing w:val="55"/>
                      <w:w w:val="105"/>
                    </w:rPr>
                    <w:t> </w:t>
                  </w:r>
                  <w:r>
                    <w:rPr>
                      <w:w w:val="105"/>
                    </w:rPr>
                    <w:t>být vyloučen z účasti ve výběrovém řízení;</w:t>
                  </w:r>
                </w:p>
                <w:p>
                  <w:pPr>
                    <w:pStyle w:val="BodyText"/>
                    <w:spacing w:line="254" w:lineRule="auto" w:before="50"/>
                    <w:ind w:left="2613" w:right="1297" w:hanging="418"/>
                    <w:jc w:val="both"/>
                  </w:pPr>
                  <w:r>
                    <w:rPr>
                      <w:w w:val="105"/>
                    </w:rPr>
                    <w:t>b) je zjištěno, že dohoda neměla být uzavřena z důvodu, že zhotovitel předložil údaje nebo dokumenty, které neodpovídaly skutečnosti a měly nebo mohly mít vliv na výběr dodavatele ve veřejné zakázce, nebo</w:t>
                  </w:r>
                </w:p>
                <w:p>
                  <w:pPr>
                    <w:pStyle w:val="BodyText"/>
                    <w:tabs>
                      <w:tab w:pos="2596" w:val="left" w:leader="none"/>
                    </w:tabs>
                    <w:spacing w:before="56"/>
                    <w:ind w:left="2188"/>
                  </w:pPr>
                  <w:r>
                    <w:rPr>
                      <w:w w:val="105"/>
                    </w:rPr>
                    <w:t>c)</w:t>
                    <w:tab/>
                    <w:t>je</w:t>
                  </w:r>
                  <w:r>
                    <w:rPr>
                      <w:spacing w:val="-16"/>
                      <w:w w:val="105"/>
                    </w:rPr>
                    <w:t> </w:t>
                  </w:r>
                  <w:r>
                    <w:rPr>
                      <w:w w:val="105"/>
                    </w:rPr>
                    <w:t>zjištěno,</w:t>
                  </w:r>
                  <w:r>
                    <w:rPr>
                      <w:spacing w:val="-7"/>
                      <w:w w:val="105"/>
                    </w:rPr>
                    <w:t> </w:t>
                  </w:r>
                  <w:r>
                    <w:rPr>
                      <w:w w:val="105"/>
                    </w:rPr>
                    <w:t>že</w:t>
                  </w:r>
                  <w:r>
                    <w:rPr>
                      <w:spacing w:val="-10"/>
                      <w:w w:val="105"/>
                    </w:rPr>
                    <w:t> </w:t>
                  </w:r>
                  <w:r>
                    <w:rPr>
                      <w:w w:val="105"/>
                    </w:rPr>
                    <w:t>zhotovitel</w:t>
                  </w:r>
                  <w:r>
                    <w:rPr>
                      <w:spacing w:val="-6"/>
                      <w:w w:val="105"/>
                    </w:rPr>
                    <w:t> </w:t>
                  </w:r>
                  <w:r>
                    <w:rPr>
                      <w:w w:val="105"/>
                    </w:rPr>
                    <w:t>neplní</w:t>
                  </w:r>
                  <w:r>
                    <w:rPr>
                      <w:spacing w:val="-8"/>
                      <w:w w:val="105"/>
                    </w:rPr>
                    <w:t> </w:t>
                  </w:r>
                  <w:r>
                    <w:rPr>
                      <w:w w:val="105"/>
                    </w:rPr>
                    <w:t>své</w:t>
                  </w:r>
                  <w:r>
                    <w:rPr>
                      <w:spacing w:val="-16"/>
                      <w:w w:val="105"/>
                    </w:rPr>
                    <w:t> </w:t>
                  </w:r>
                  <w:r>
                    <w:rPr>
                      <w:w w:val="105"/>
                    </w:rPr>
                    <w:t>závazky</w:t>
                  </w:r>
                  <w:r>
                    <w:rPr>
                      <w:spacing w:val="-16"/>
                      <w:w w:val="105"/>
                    </w:rPr>
                    <w:t> </w:t>
                  </w:r>
                  <w:r>
                    <w:rPr>
                      <w:w w:val="105"/>
                    </w:rPr>
                    <w:t>vůči</w:t>
                  </w:r>
                  <w:r>
                    <w:rPr>
                      <w:spacing w:val="-10"/>
                      <w:w w:val="105"/>
                    </w:rPr>
                    <w:t> </w:t>
                  </w:r>
                  <w:r>
                    <w:rPr>
                      <w:w w:val="105"/>
                    </w:rPr>
                    <w:t>svým</w:t>
                  </w:r>
                  <w:r>
                    <w:rPr>
                      <w:spacing w:val="-5"/>
                      <w:w w:val="105"/>
                    </w:rPr>
                    <w:t> </w:t>
                  </w:r>
                  <w:r>
                    <w:rPr>
                      <w:w w:val="105"/>
                    </w:rPr>
                    <w:t>poddodavatelům</w:t>
                  </w:r>
                  <w:r>
                    <w:rPr>
                      <w:spacing w:val="4"/>
                      <w:w w:val="105"/>
                    </w:rPr>
                    <w:t> </w:t>
                  </w:r>
                  <w:r>
                    <w:rPr>
                      <w:w w:val="105"/>
                    </w:rPr>
                    <w:t>řádně</w:t>
                  </w:r>
                  <w:r>
                    <w:rPr>
                      <w:spacing w:val="-8"/>
                      <w:w w:val="105"/>
                    </w:rPr>
                    <w:t> </w:t>
                  </w:r>
                  <w:r>
                    <w:rPr>
                      <w:w w:val="105"/>
                    </w:rPr>
                    <w:t>a</w:t>
                  </w:r>
                  <w:r>
                    <w:rPr>
                      <w:spacing w:val="-12"/>
                      <w:w w:val="105"/>
                    </w:rPr>
                    <w:t> </w:t>
                  </w:r>
                  <w:r>
                    <w:rPr>
                      <w:w w:val="105"/>
                    </w:rPr>
                    <w:t>včas.</w:t>
                  </w:r>
                </w:p>
                <w:p>
                  <w:pPr>
                    <w:pStyle w:val="BodyText"/>
                    <w:spacing w:before="131"/>
                    <w:ind w:left="2044"/>
                  </w:pPr>
                  <w:r>
                    <w:rPr>
                      <w:w w:val="105"/>
                    </w:rPr>
                    <w:t>Za den doručení se považuje též den uložení výpovědi u poštovního doručovatele.</w:t>
                  </w:r>
                </w:p>
                <w:p>
                  <w:pPr>
                    <w:pStyle w:val="BodyText"/>
                    <w:spacing w:line="249" w:lineRule="auto" w:before="165"/>
                    <w:ind w:left="1850" w:right="1267" w:hanging="360"/>
                    <w:jc w:val="both"/>
                  </w:pPr>
                  <w:r>
                    <w:rPr>
                      <w:w w:val="105"/>
                    </w:rPr>
                    <w:t>9. Smluvní strany nebudou povinny vracet si plnění, které si vzájemně poskytly na základě již řádně splněných dílčích smluv - objednávek</w:t>
                  </w:r>
                </w:p>
                <w:p>
                  <w:pPr>
                    <w:pStyle w:val="BodyText"/>
                    <w:rPr>
                      <w:rFonts w:ascii="Times New Roman"/>
                      <w:sz w:val="20"/>
                    </w:rPr>
                  </w:pPr>
                </w:p>
                <w:p>
                  <w:pPr>
                    <w:pStyle w:val="BodyText"/>
                    <w:spacing w:before="4"/>
                    <w:rPr>
                      <w:rFonts w:ascii="Times New Roman"/>
                    </w:rPr>
                  </w:pPr>
                </w:p>
                <w:p>
                  <w:pPr>
                    <w:spacing w:before="0"/>
                    <w:ind w:left="5284" w:right="0" w:firstLine="0"/>
                    <w:jc w:val="left"/>
                    <w:rPr>
                      <w:b/>
                      <w:sz w:val="22"/>
                    </w:rPr>
                  </w:pPr>
                  <w:r>
                    <w:rPr>
                      <w:b/>
                      <w:sz w:val="22"/>
                    </w:rPr>
                    <w:t>V. Místo plnění</w:t>
                  </w:r>
                </w:p>
                <w:p>
                  <w:pPr>
                    <w:pStyle w:val="BodyText"/>
                    <w:spacing w:before="3"/>
                    <w:rPr>
                      <w:rFonts w:ascii="Times New Roman"/>
                      <w:sz w:val="20"/>
                    </w:rPr>
                  </w:pPr>
                </w:p>
                <w:p>
                  <w:pPr>
                    <w:pStyle w:val="BodyText"/>
                    <w:spacing w:line="256" w:lineRule="auto"/>
                    <w:ind w:left="1843" w:right="1270" w:hanging="346"/>
                    <w:jc w:val="both"/>
                  </w:pPr>
                  <w:r>
                    <w:rPr>
                      <w:w w:val="105"/>
                    </w:rPr>
                    <w:t>1. Místem plnění je provozovna zhotovitele, kde bude poskytován servis a kde budou prováděny opravy, není-li v této dohodě stanoveno jinak. Zhotovitel je povinen přebírat a předávat opravovaná vozidla dle dohody s objednatelem.</w:t>
                  </w:r>
                </w:p>
                <w:p>
                  <w:pPr>
                    <w:pStyle w:val="BodyText"/>
                    <w:rPr>
                      <w:rFonts w:ascii="Times New Roman"/>
                      <w:sz w:val="20"/>
                    </w:rPr>
                  </w:pPr>
                </w:p>
                <w:p>
                  <w:pPr>
                    <w:pStyle w:val="BodyText"/>
                    <w:spacing w:before="11"/>
                    <w:rPr>
                      <w:rFonts w:ascii="Times New Roman"/>
                      <w:sz w:val="17"/>
                    </w:rPr>
                  </w:pPr>
                </w:p>
                <w:p>
                  <w:pPr>
                    <w:spacing w:before="0"/>
                    <w:ind w:left="4053" w:right="0" w:firstLine="0"/>
                    <w:jc w:val="left"/>
                    <w:rPr>
                      <w:b/>
                      <w:sz w:val="22"/>
                    </w:rPr>
                  </w:pPr>
                  <w:r>
                    <w:rPr>
                      <w:b/>
                      <w:sz w:val="22"/>
                    </w:rPr>
                    <w:t>VI. Práva a povinnosti smluvních stran</w:t>
                  </w:r>
                </w:p>
                <w:p>
                  <w:pPr>
                    <w:pStyle w:val="BodyText"/>
                    <w:spacing w:before="3"/>
                    <w:rPr>
                      <w:rFonts w:ascii="Times New Roman"/>
                      <w:sz w:val="20"/>
                    </w:rPr>
                  </w:pPr>
                </w:p>
                <w:p>
                  <w:pPr>
                    <w:pStyle w:val="BodyText"/>
                    <w:spacing w:line="252" w:lineRule="auto"/>
                    <w:ind w:left="1843" w:right="1280" w:hanging="346"/>
                    <w:jc w:val="both"/>
                  </w:pPr>
                  <w:r>
                    <w:rPr>
                      <w:w w:val="105"/>
                    </w:rPr>
                    <w:t>1. Zhotovitel je povinen při provádění prací postupovat s odbornou péčí, dodržovat obecně závazné právní předpisy, technické normy, pokyny výrobců vozidel a podmínky této dohody.</w:t>
                  </w:r>
                </w:p>
                <w:p>
                  <w:pPr>
                    <w:pStyle w:val="BodyText"/>
                    <w:spacing w:before="1"/>
                    <w:rPr>
                      <w:rFonts w:ascii="Times New Roman"/>
                      <w:sz w:val="20"/>
                    </w:rPr>
                  </w:pPr>
                </w:p>
                <w:p>
                  <w:pPr>
                    <w:pStyle w:val="BodyText"/>
                    <w:ind w:left="1483"/>
                  </w:pPr>
                  <w:r>
                    <w:rPr>
                      <w:w w:val="105"/>
                    </w:rPr>
                    <w:t>2. Zhotovitel před započetím díla (po přistavení vozidla objednatele) provede kontrolu spojenou s   tím,</w:t>
                  </w:r>
                </w:p>
                <w:p>
                  <w:pPr>
                    <w:pStyle w:val="BodyText"/>
                    <w:spacing w:before="11"/>
                    <w:ind w:left="1835"/>
                  </w:pPr>
                  <w:r>
                    <w:rPr>
                      <w:w w:val="105"/>
                    </w:rPr>
                    <w:t>že bude od objednatele (nebo od techniku předávající osoby) vyžadovat:</w:t>
                  </w:r>
                </w:p>
                <w:p>
                  <w:pPr>
                    <w:pStyle w:val="BodyText"/>
                    <w:spacing w:before="6"/>
                    <w:ind w:left="1835"/>
                  </w:pPr>
                  <w:r>
                    <w:rPr>
                      <w:w w:val="105"/>
                    </w:rPr>
                    <w:t>- písemnou objednávku (zakázkový list) na dílo s datem a podpisem objednatele</w:t>
                  </w:r>
                </w:p>
                <w:p>
                  <w:pPr>
                    <w:pStyle w:val="BodyText"/>
                    <w:spacing w:before="16"/>
                    <w:ind w:left="1835"/>
                  </w:pPr>
                  <w:r>
                    <w:rPr>
                      <w:w w:val="105"/>
                    </w:rPr>
                    <w:t>- prokázání se vztahu k objednateli (jak vozidlo, tak řidič)</w:t>
                  </w:r>
                </w:p>
                <w:p>
                  <w:pPr>
                    <w:pStyle w:val="BodyText"/>
                    <w:spacing w:line="249" w:lineRule="auto" w:before="11"/>
                    <w:ind w:left="1842" w:right="1249" w:hanging="8"/>
                  </w:pPr>
                  <w:r>
                    <w:rPr>
                      <w:w w:val="105"/>
                    </w:rPr>
                    <w:t>Jestliže bude vozidlo viditelně poškozeno mimo rozsah objednávky, ohlásí toto zhotovitel neprodleně (telefonicky) objednateli.</w:t>
                  </w:r>
                </w:p>
                <w:p>
                  <w:pPr>
                    <w:pStyle w:val="BodyText"/>
                    <w:spacing w:before="3"/>
                    <w:rPr>
                      <w:rFonts w:ascii="Times New Roman"/>
                      <w:sz w:val="20"/>
                    </w:rPr>
                  </w:pPr>
                </w:p>
                <w:p>
                  <w:pPr>
                    <w:pStyle w:val="BodyText"/>
                    <w:spacing w:line="261" w:lineRule="auto"/>
                    <w:ind w:left="1836" w:right="1284" w:hanging="346"/>
                    <w:jc w:val="both"/>
                  </w:pPr>
                  <w:r>
                    <w:rPr/>
                    <w:t>3. Zhotovitel podpisem této dohody prohlašuje, že je řádně pojištěn  na  škody,  které  by  mohl  svojí  činností</w:t>
                  </w:r>
                  <w:r>
                    <w:rPr>
                      <w:spacing w:val="35"/>
                    </w:rPr>
                    <w:t> </w:t>
                  </w:r>
                  <w:r>
                    <w:rPr/>
                    <w:t>způsobit.</w:t>
                  </w:r>
                </w:p>
                <w:p>
                  <w:pPr>
                    <w:pStyle w:val="BodyText"/>
                    <w:rPr>
                      <w:rFonts w:ascii="Times New Roman"/>
                      <w:sz w:val="20"/>
                    </w:rPr>
                  </w:pPr>
                </w:p>
                <w:p>
                  <w:pPr>
                    <w:pStyle w:val="BodyText"/>
                    <w:rPr>
                      <w:rFonts w:ascii="Times New Roman"/>
                      <w:sz w:val="20"/>
                    </w:rPr>
                  </w:pPr>
                </w:p>
                <w:p>
                  <w:pPr>
                    <w:spacing w:before="115"/>
                    <w:ind w:left="1907" w:right="1722" w:firstLine="0"/>
                    <w:jc w:val="center"/>
                    <w:rPr>
                      <w:sz w:val="17"/>
                    </w:rPr>
                  </w:pPr>
                  <w:r>
                    <w:rPr>
                      <w:sz w:val="17"/>
                    </w:rPr>
                    <w:t>4/8</w:t>
                  </w:r>
                </w:p>
              </w:txbxContent>
            </v:textbox>
            <w10:wrap type="none"/>
          </v:shape>
        </w:pict>
      </w:r>
      <w:r>
        <w:rPr>
          <w:rFonts w:ascii="Times New Roman"/>
          <w:sz w:val="20"/>
        </w:rPr>
        <w:drawing>
          <wp:inline distT="0" distB="0" distL="0" distR="0">
            <wp:extent cx="7557590" cy="10689336"/>
            <wp:effectExtent l="0" t="0" r="0" b="0"/>
            <wp:docPr id="5" name="image4.jpeg" descr="ţ˙"/>
            <wp:cNvGraphicFramePr>
              <a:graphicFrameLocks noChangeAspect="1"/>
            </wp:cNvGraphicFramePr>
            <a:graphic>
              <a:graphicData uri="http://schemas.openxmlformats.org/drawingml/2006/picture">
                <pic:pic>
                  <pic:nvPicPr>
                    <pic:cNvPr id="6" name="image4.jpeg"/>
                    <pic:cNvPicPr/>
                  </pic:nvPicPr>
                  <pic:blipFill>
                    <a:blip r:embed="rId8" cstate="print"/>
                    <a:stretch>
                      <a:fillRect/>
                    </a:stretch>
                  </pic:blipFill>
                  <pic:spPr>
                    <a:xfrm>
                      <a:off x="0" y="0"/>
                      <a:ext cx="7557590" cy="10689336"/>
                    </a:xfrm>
                    <a:prstGeom prst="rect">
                      <a:avLst/>
                    </a:prstGeom>
                  </pic:spPr>
                </pic:pic>
              </a:graphicData>
            </a:graphic>
          </wp:inline>
        </w:drawing>
      </w:r>
      <w:r>
        <w:rPr>
          <w:rFonts w:ascii="Times New Roman"/>
          <w:sz w:val="20"/>
        </w:rPr>
      </w:r>
    </w:p>
    <w:p>
      <w:pPr>
        <w:spacing w:after="0"/>
        <w:rPr>
          <w:rFonts w:ascii="Times New Roman"/>
          <w:sz w:val="20"/>
        </w:rPr>
        <w:sectPr>
          <w:pgSz w:w="11920" w:h="16850"/>
          <w:pgMar w:top="0" w:bottom="0" w:left="0" w:right="0"/>
        </w:sectPr>
      </w:pPr>
    </w:p>
    <w:p>
      <w:pPr>
        <w:pStyle w:val="BodyText"/>
        <w:ind w:right="-31"/>
        <w:rPr>
          <w:rFonts w:ascii="Times New Roman"/>
          <w:sz w:val="20"/>
        </w:rPr>
      </w:pPr>
      <w:r>
        <w:rPr/>
        <w:pict>
          <v:shape style="position:absolute;margin-left:0pt;margin-top:.0pt;width:595.1pt;height:841.7pt;mso-position-horizontal-relative:page;mso-position-vertical-relative:page;z-index:-17200" type="#_x0000_t202" filled="false" stroked="false">
            <v:textbox inset="0,0,0,0">
              <w:txbxContent>
                <w:p>
                  <w:pPr>
                    <w:pStyle w:val="BodyText"/>
                    <w:rPr>
                      <w:rFonts w:ascii="Times New Roman"/>
                      <w:sz w:val="24"/>
                    </w:rPr>
                  </w:pPr>
                </w:p>
                <w:p>
                  <w:pPr>
                    <w:pStyle w:val="BodyText"/>
                    <w:spacing w:before="4"/>
                    <w:rPr>
                      <w:rFonts w:ascii="Times New Roman"/>
                      <w:sz w:val="29"/>
                    </w:rPr>
                  </w:pPr>
                </w:p>
                <w:p>
                  <w:pPr>
                    <w:spacing w:before="0"/>
                    <w:ind w:left="1468" w:right="0" w:firstLine="0"/>
                    <w:jc w:val="left"/>
                    <w:rPr>
                      <w:sz w:val="21"/>
                    </w:rPr>
                  </w:pPr>
                  <w:r>
                    <w:rPr>
                      <w:sz w:val="21"/>
                    </w:rPr>
                    <w:t>č.  SMLR 75-4/2024</w:t>
                  </w:r>
                </w:p>
                <w:p>
                  <w:pPr>
                    <w:pStyle w:val="BodyText"/>
                    <w:rPr>
                      <w:rFonts w:ascii="Times New Roman"/>
                      <w:sz w:val="24"/>
                    </w:rPr>
                  </w:pPr>
                </w:p>
                <w:p>
                  <w:pPr>
                    <w:pStyle w:val="BodyText"/>
                    <w:spacing w:before="206"/>
                    <w:ind w:left="1454"/>
                  </w:pPr>
                  <w:r>
                    <w:rPr>
                      <w:w w:val="105"/>
                    </w:rPr>
                    <w:t>4. Před započetím jednotlivého plnění zhotovitel sepíše s objednatelem zakázkový list, kde zejména</w:t>
                  </w:r>
                </w:p>
                <w:p>
                  <w:pPr>
                    <w:pStyle w:val="BodyText"/>
                    <w:spacing w:before="4"/>
                    <w:ind w:left="1821"/>
                    <w:jc w:val="both"/>
                  </w:pPr>
                  <w:r>
                    <w:rPr/>
                    <w:t>bude uvedeno:</w:t>
                  </w:r>
                </w:p>
                <w:p>
                  <w:pPr>
                    <w:pStyle w:val="BodyText"/>
                    <w:spacing w:before="9"/>
                    <w:ind w:left="2174"/>
                  </w:pPr>
                  <w:r>
                    <w:rPr>
                      <w:w w:val="105"/>
                    </w:rPr>
                    <w:t>stav tachometru při přejímce do opravy</w:t>
                  </w:r>
                </w:p>
                <w:p>
                  <w:pPr>
                    <w:pStyle w:val="BodyText"/>
                    <w:spacing w:before="14"/>
                    <w:ind w:left="2171"/>
                  </w:pPr>
                  <w:r>
                    <w:rPr>
                      <w:w w:val="105"/>
                    </w:rPr>
                    <w:t>stav množství paliva v nádrži při přejímce do opravy</w:t>
                  </w:r>
                </w:p>
                <w:p>
                  <w:pPr>
                    <w:pStyle w:val="BodyText"/>
                    <w:spacing w:before="9"/>
                    <w:ind w:left="2166"/>
                  </w:pPr>
                  <w:r>
                    <w:rPr>
                      <w:w w:val="105"/>
                    </w:rPr>
                    <w:t>výbava vozu</w:t>
                  </w:r>
                </w:p>
                <w:p>
                  <w:pPr>
                    <w:pStyle w:val="BodyText"/>
                    <w:spacing w:line="254" w:lineRule="auto" w:before="14"/>
                    <w:ind w:left="2159" w:right="7098" w:firstLine="7"/>
                  </w:pPr>
                  <w:r>
                    <w:rPr>
                      <w:w w:val="105"/>
                    </w:rPr>
                    <w:t>soupis předané dokumentace termín dokončení díla předběžná cena za dílo</w:t>
                  </w:r>
                </w:p>
                <w:p>
                  <w:pPr>
                    <w:pStyle w:val="BodyText"/>
                    <w:spacing w:line="218" w:lineRule="exact"/>
                    <w:ind w:left="2166"/>
                  </w:pPr>
                  <w:r>
                    <w:rPr>
                      <w:w w:val="105"/>
                    </w:rPr>
                    <w:t>požadovaný rozsah díla (popř. specifikace závady)</w:t>
                  </w:r>
                </w:p>
                <w:p>
                  <w:pPr>
                    <w:pStyle w:val="BodyText"/>
                    <w:spacing w:before="12"/>
                    <w:ind w:left="2159"/>
                  </w:pPr>
                  <w:r>
                    <w:rPr>
                      <w:w w:val="105"/>
                    </w:rPr>
                    <w:t>datum sepsání zápisu.</w:t>
                  </w:r>
                </w:p>
                <w:p>
                  <w:pPr>
                    <w:pStyle w:val="BodyText"/>
                    <w:spacing w:before="7"/>
                    <w:rPr>
                      <w:rFonts w:ascii="Times New Roman"/>
                      <w:sz w:val="21"/>
                    </w:rPr>
                  </w:pPr>
                </w:p>
                <w:p>
                  <w:pPr>
                    <w:pStyle w:val="BodyText"/>
                    <w:spacing w:line="249" w:lineRule="auto" w:before="1"/>
                    <w:ind w:left="1807" w:right="1298" w:hanging="360"/>
                    <w:jc w:val="both"/>
                  </w:pPr>
                  <w:r>
                    <w:rPr>
                      <w:w w:val="105"/>
                    </w:rPr>
                    <w:t>5. Při převzetí hotového díla objednatel zkontroluje a potvrdí u zakázkového listu zpětné převzetí kompletní výbavy a dokumentace uvedené v čl. VI. odst. 4. této dohody.</w:t>
                  </w:r>
                </w:p>
                <w:p>
                  <w:pPr>
                    <w:pStyle w:val="BodyText"/>
                    <w:spacing w:before="3"/>
                    <w:rPr>
                      <w:rFonts w:ascii="Times New Roman"/>
                      <w:sz w:val="20"/>
                    </w:rPr>
                  </w:pPr>
                </w:p>
                <w:p>
                  <w:pPr>
                    <w:pStyle w:val="BodyText"/>
                    <w:spacing w:line="244" w:lineRule="auto" w:before="1"/>
                    <w:ind w:left="1792" w:right="1296" w:hanging="353"/>
                    <w:jc w:val="both"/>
                  </w:pPr>
                  <w:r>
                    <w:rPr>
                      <w:w w:val="105"/>
                    </w:rPr>
                    <w:t>6. Termín zahájení díla počíná dnem sepsání zakázkového listu. Délka vlastního provedení požadovaného servisního úkonu, termín ukončení opravy je vždy uvedena na objednávce objednatele.</w:t>
                  </w:r>
                </w:p>
                <w:p>
                  <w:pPr>
                    <w:pStyle w:val="BodyText"/>
                    <w:spacing w:before="11"/>
                    <w:rPr>
                      <w:rFonts w:ascii="Times New Roman"/>
                      <w:sz w:val="21"/>
                    </w:rPr>
                  </w:pPr>
                </w:p>
                <w:p>
                  <w:pPr>
                    <w:pStyle w:val="BodyText"/>
                    <w:spacing w:line="252" w:lineRule="auto"/>
                    <w:ind w:left="1785" w:right="1289" w:hanging="353"/>
                    <w:jc w:val="both"/>
                  </w:pPr>
                  <w:r>
                    <w:rPr/>
                    <w:t>6. Objednatel požaduje k opravám použít vždy certifikované, homologované náhradní díly nebo alternativní certifikované, homologované díly. Všechny náhradní díly použité při provádění díla musí být schváleny pro daný účel použití a předmětné vozidlo. Náhradní díly použité při plnění díla nesmí měnit užitné vlastnosti</w:t>
                  </w:r>
                  <w:r>
                    <w:rPr>
                      <w:spacing w:val="-1"/>
                    </w:rPr>
                    <w:t> </w:t>
                  </w:r>
                  <w:r>
                    <w:rPr/>
                    <w:t>vozidel</w:t>
                  </w:r>
                  <w:r>
                    <w:rPr>
                      <w:spacing w:val="-4"/>
                    </w:rPr>
                    <w:t> </w:t>
                  </w:r>
                  <w:r>
                    <w:rPr/>
                    <w:t>a</w:t>
                  </w:r>
                  <w:r>
                    <w:rPr>
                      <w:spacing w:val="-12"/>
                    </w:rPr>
                    <w:t> </w:t>
                  </w:r>
                  <w:r>
                    <w:rPr/>
                    <w:t>jejich</w:t>
                  </w:r>
                  <w:r>
                    <w:rPr>
                      <w:spacing w:val="-5"/>
                    </w:rPr>
                    <w:t> </w:t>
                  </w:r>
                  <w:r>
                    <w:rPr/>
                    <w:t>technicko-taktické</w:t>
                  </w:r>
                  <w:r>
                    <w:rPr>
                      <w:spacing w:val="-9"/>
                    </w:rPr>
                    <w:t> </w:t>
                  </w:r>
                  <w:r>
                    <w:rPr/>
                    <w:t>parametry.</w:t>
                  </w:r>
                  <w:r>
                    <w:rPr>
                      <w:spacing w:val="7"/>
                    </w:rPr>
                    <w:t> </w:t>
                  </w:r>
                  <w:r>
                    <w:rPr/>
                    <w:t>Dodávané</w:t>
                  </w:r>
                  <w:r>
                    <w:rPr>
                      <w:spacing w:val="-2"/>
                    </w:rPr>
                    <w:t> </w:t>
                  </w:r>
                  <w:r>
                    <w:rPr/>
                    <w:t>náhradní</w:t>
                  </w:r>
                  <w:r>
                    <w:rPr>
                      <w:spacing w:val="-5"/>
                    </w:rPr>
                    <w:t> </w:t>
                  </w:r>
                  <w:r>
                    <w:rPr/>
                    <w:t>díly</w:t>
                  </w:r>
                  <w:r>
                    <w:rPr>
                      <w:spacing w:val="-4"/>
                    </w:rPr>
                    <w:t> </w:t>
                  </w:r>
                  <w:r>
                    <w:rPr/>
                    <w:t>musí</w:t>
                  </w:r>
                  <w:r>
                    <w:rPr>
                      <w:spacing w:val="-5"/>
                    </w:rPr>
                    <w:t> </w:t>
                  </w:r>
                  <w:r>
                    <w:rPr/>
                    <w:t>být</w:t>
                  </w:r>
                  <w:r>
                    <w:rPr>
                      <w:spacing w:val="-7"/>
                    </w:rPr>
                    <w:t> </w:t>
                  </w:r>
                  <w:r>
                    <w:rPr/>
                    <w:t>shodné</w:t>
                  </w:r>
                  <w:r>
                    <w:rPr>
                      <w:spacing w:val="-5"/>
                    </w:rPr>
                    <w:t> </w:t>
                  </w:r>
                  <w:r>
                    <w:rPr/>
                    <w:t>kvality</w:t>
                  </w:r>
                  <w:r>
                    <w:rPr>
                      <w:spacing w:val="-16"/>
                    </w:rPr>
                    <w:t> </w:t>
                  </w:r>
                  <w:r>
                    <w:rPr/>
                    <w:t>a životnosti s díly dodávanými autorizovanou servisní sítí výrobce vozidla, nesmí být starší 12 měsíců od výroby</w:t>
                  </w:r>
                  <w:r>
                    <w:rPr>
                      <w:spacing w:val="-25"/>
                    </w:rPr>
                    <w:t> </w:t>
                  </w:r>
                  <w:r>
                    <w:rPr/>
                    <w:t>z</w:t>
                  </w:r>
                  <w:r>
                    <w:rPr>
                      <w:spacing w:val="-18"/>
                    </w:rPr>
                    <w:t> </w:t>
                  </w:r>
                  <w:r>
                    <w:rPr/>
                    <w:t>důvodu</w:t>
                  </w:r>
                  <w:r>
                    <w:rPr>
                      <w:spacing w:val="-13"/>
                    </w:rPr>
                    <w:t> </w:t>
                  </w:r>
                  <w:r>
                    <w:rPr/>
                    <w:t>zachování</w:t>
                  </w:r>
                  <w:r>
                    <w:rPr>
                      <w:spacing w:val="-13"/>
                    </w:rPr>
                    <w:t> </w:t>
                  </w:r>
                  <w:r>
                    <w:rPr/>
                    <w:t>užitných</w:t>
                  </w:r>
                  <w:r>
                    <w:rPr>
                      <w:spacing w:val="-15"/>
                    </w:rPr>
                    <w:t> </w:t>
                  </w:r>
                  <w:r>
                    <w:rPr/>
                    <w:t>vlastností</w:t>
                  </w:r>
                  <w:r>
                    <w:rPr>
                      <w:spacing w:val="-15"/>
                    </w:rPr>
                    <w:t> </w:t>
                  </w:r>
                  <w:r>
                    <w:rPr/>
                    <w:t>(pryžový</w:t>
                  </w:r>
                  <w:r>
                    <w:rPr>
                      <w:spacing w:val="-12"/>
                    </w:rPr>
                    <w:t> </w:t>
                  </w:r>
                  <w:r>
                    <w:rPr/>
                    <w:t>materiál,</w:t>
                  </w:r>
                  <w:r>
                    <w:rPr>
                      <w:spacing w:val="-4"/>
                    </w:rPr>
                    <w:t> </w:t>
                  </w:r>
                  <w:r>
                    <w:rPr/>
                    <w:t>navlhnutí</w:t>
                  </w:r>
                  <w:r>
                    <w:rPr>
                      <w:spacing w:val="-19"/>
                    </w:rPr>
                    <w:t> </w:t>
                  </w:r>
                  <w:r>
                    <w:rPr/>
                    <w:t>filtrů</w:t>
                  </w:r>
                  <w:r>
                    <w:rPr>
                      <w:spacing w:val="-17"/>
                    </w:rPr>
                    <w:t> </w:t>
                  </w:r>
                  <w:r>
                    <w:rPr/>
                    <w:t>apod.).</w:t>
                  </w:r>
                </w:p>
                <w:p>
                  <w:pPr>
                    <w:pStyle w:val="BodyText"/>
                    <w:spacing w:line="249" w:lineRule="auto" w:before="1"/>
                    <w:ind w:left="1785" w:right="1301" w:firstLine="7"/>
                    <w:jc w:val="both"/>
                  </w:pPr>
                  <w:r>
                    <w:rPr>
                      <w:w w:val="105"/>
                    </w:rPr>
                    <w:t>Použití</w:t>
                  </w:r>
                  <w:r>
                    <w:rPr>
                      <w:spacing w:val="-15"/>
                      <w:w w:val="105"/>
                    </w:rPr>
                    <w:t> </w:t>
                  </w:r>
                  <w:r>
                    <w:rPr>
                      <w:w w:val="105"/>
                    </w:rPr>
                    <w:t>jiných</w:t>
                  </w:r>
                  <w:r>
                    <w:rPr>
                      <w:spacing w:val="-3"/>
                      <w:w w:val="105"/>
                    </w:rPr>
                    <w:t> </w:t>
                  </w:r>
                  <w:r>
                    <w:rPr>
                      <w:w w:val="105"/>
                    </w:rPr>
                    <w:t>než</w:t>
                  </w:r>
                  <w:r>
                    <w:rPr>
                      <w:spacing w:val="-8"/>
                      <w:w w:val="105"/>
                    </w:rPr>
                    <w:t> </w:t>
                  </w:r>
                  <w:r>
                    <w:rPr>
                      <w:w w:val="105"/>
                    </w:rPr>
                    <w:t>originálních</w:t>
                  </w:r>
                  <w:r>
                    <w:rPr>
                      <w:spacing w:val="-5"/>
                      <w:w w:val="105"/>
                    </w:rPr>
                    <w:t> </w:t>
                  </w:r>
                  <w:r>
                    <w:rPr>
                      <w:w w:val="105"/>
                    </w:rPr>
                    <w:t>náhradních</w:t>
                  </w:r>
                  <w:r>
                    <w:rPr>
                      <w:spacing w:val="-7"/>
                      <w:w w:val="105"/>
                    </w:rPr>
                    <w:t> </w:t>
                  </w:r>
                  <w:r>
                    <w:rPr>
                      <w:w w:val="105"/>
                    </w:rPr>
                    <w:t>dílů</w:t>
                  </w:r>
                  <w:r>
                    <w:rPr>
                      <w:spacing w:val="-34"/>
                      <w:w w:val="105"/>
                    </w:rPr>
                    <w:t> </w:t>
                  </w:r>
                  <w:r>
                    <w:rPr>
                      <w:w w:val="125"/>
                    </w:rPr>
                    <w:t>-</w:t>
                  </w:r>
                  <w:r>
                    <w:rPr>
                      <w:spacing w:val="8"/>
                      <w:w w:val="125"/>
                    </w:rPr>
                    <w:t> </w:t>
                  </w:r>
                  <w:r>
                    <w:rPr>
                      <w:w w:val="105"/>
                    </w:rPr>
                    <w:t>demontované,</w:t>
                  </w:r>
                  <w:r>
                    <w:rPr>
                      <w:spacing w:val="-4"/>
                      <w:w w:val="105"/>
                    </w:rPr>
                    <w:t> </w:t>
                  </w:r>
                  <w:r>
                    <w:rPr>
                      <w:w w:val="105"/>
                    </w:rPr>
                    <w:t>repasované,</w:t>
                  </w:r>
                  <w:r>
                    <w:rPr>
                      <w:spacing w:val="-4"/>
                      <w:w w:val="105"/>
                    </w:rPr>
                    <w:t> </w:t>
                  </w:r>
                  <w:r>
                    <w:rPr>
                      <w:w w:val="105"/>
                    </w:rPr>
                    <w:t>alternativní</w:t>
                  </w:r>
                  <w:r>
                    <w:rPr>
                      <w:spacing w:val="-10"/>
                      <w:w w:val="105"/>
                    </w:rPr>
                    <w:t> </w:t>
                  </w:r>
                  <w:r>
                    <w:rPr>
                      <w:w w:val="105"/>
                    </w:rPr>
                    <w:t>apod.,</w:t>
                  </w:r>
                  <w:r>
                    <w:rPr>
                      <w:spacing w:val="-1"/>
                      <w:w w:val="105"/>
                    </w:rPr>
                    <w:t> </w:t>
                  </w:r>
                  <w:r>
                    <w:rPr>
                      <w:w w:val="105"/>
                    </w:rPr>
                    <w:t>které budou nutné k dílčím opravám, je zhotovitel povinen vždy konzultovat s kontaktní osobou objednatele</w:t>
                  </w:r>
                  <w:r>
                    <w:rPr>
                      <w:spacing w:val="-9"/>
                      <w:w w:val="105"/>
                    </w:rPr>
                    <w:t> </w:t>
                  </w:r>
                  <w:r>
                    <w:rPr>
                      <w:w w:val="105"/>
                    </w:rPr>
                    <w:t>-</w:t>
                  </w:r>
                  <w:r>
                    <w:rPr>
                      <w:spacing w:val="-9"/>
                      <w:w w:val="105"/>
                    </w:rPr>
                    <w:t> </w:t>
                  </w:r>
                  <w:r>
                    <w:rPr>
                      <w:w w:val="105"/>
                    </w:rPr>
                    <w:t>p.</w:t>
                  </w:r>
                  <w:r>
                    <w:rPr>
                      <w:spacing w:val="-8"/>
                      <w:w w:val="105"/>
                    </w:rPr>
                    <w:t> </w:t>
                  </w:r>
                  <w:r>
                    <w:rPr>
                      <w:w w:val="105"/>
                    </w:rPr>
                    <w:t>Kryštofem</w:t>
                  </w:r>
                  <w:r>
                    <w:rPr>
                      <w:spacing w:val="-8"/>
                      <w:w w:val="105"/>
                    </w:rPr>
                    <w:t> </w:t>
                  </w:r>
                  <w:r>
                    <w:rPr>
                      <w:w w:val="105"/>
                    </w:rPr>
                    <w:t>Petrem</w:t>
                  </w:r>
                  <w:r>
                    <w:rPr>
                      <w:spacing w:val="-35"/>
                      <w:w w:val="105"/>
                    </w:rPr>
                    <w:t> </w:t>
                  </w:r>
                  <w:r>
                    <w:rPr>
                      <w:w w:val="105"/>
                    </w:rPr>
                    <w:t>Erlebachem.</w:t>
                  </w:r>
                </w:p>
                <w:p>
                  <w:pPr>
                    <w:pStyle w:val="BodyText"/>
                    <w:spacing w:before="8"/>
                    <w:rPr>
                      <w:rFonts w:ascii="Times New Roman"/>
                      <w:sz w:val="20"/>
                    </w:rPr>
                  </w:pPr>
                </w:p>
                <w:p>
                  <w:pPr>
                    <w:pStyle w:val="BodyText"/>
                    <w:spacing w:line="249" w:lineRule="auto"/>
                    <w:ind w:left="1778" w:right="1309" w:hanging="346"/>
                    <w:jc w:val="both"/>
                  </w:pPr>
                  <w:r>
                    <w:rPr>
                      <w:w w:val="105"/>
                    </w:rPr>
                    <w:t>7. Zhotovitel je povinen předložit na vyžádání objednatele staré díly, které byly vyměňovány. Pokud objednatel nepožaduje jejich vrácení, zhotovitel se zavazuje, že staré díly ekologicky zlikviduje na vlastní náklady.</w:t>
                  </w:r>
                </w:p>
                <w:p>
                  <w:pPr>
                    <w:pStyle w:val="BodyText"/>
                    <w:spacing w:before="8"/>
                    <w:rPr>
                      <w:rFonts w:ascii="Times New Roman"/>
                      <w:sz w:val="20"/>
                    </w:rPr>
                  </w:pPr>
                </w:p>
                <w:p>
                  <w:pPr>
                    <w:pStyle w:val="BodyText"/>
                    <w:spacing w:line="244" w:lineRule="auto"/>
                    <w:ind w:left="1778" w:right="1321" w:hanging="360"/>
                    <w:jc w:val="both"/>
                  </w:pPr>
                  <w:r>
                    <w:rPr>
                      <w:w w:val="105"/>
                    </w:rPr>
                    <w:t>8. Zhotovitel vlastní diagnostický systém aktualizovaný výrobcem a tuto aktualizaci má zajištěnou shodně s vydáním aktualizace výrobce.</w:t>
                  </w:r>
                </w:p>
                <w:p>
                  <w:pPr>
                    <w:pStyle w:val="BodyText"/>
                    <w:spacing w:before="5"/>
                    <w:rPr>
                      <w:rFonts w:ascii="Times New Roman"/>
                      <w:sz w:val="20"/>
                    </w:rPr>
                  </w:pPr>
                </w:p>
                <w:p>
                  <w:pPr>
                    <w:pStyle w:val="BodyText"/>
                    <w:spacing w:line="252" w:lineRule="auto"/>
                    <w:ind w:left="1771" w:right="1320" w:hanging="353"/>
                    <w:jc w:val="both"/>
                  </w:pPr>
                  <w:r>
                    <w:rPr>
                      <w:w w:val="105"/>
                    </w:rPr>
                    <w:t>9. Zhotovitel používá výrobcem stanovené přípravky a má přístup a používá pracovní postupy vyplývající z opravárenských manuálů vydaných výrobcem vozidel na každý typ zmíněné techniky.</w:t>
                  </w:r>
                </w:p>
                <w:p>
                  <w:pPr>
                    <w:pStyle w:val="BodyText"/>
                    <w:spacing w:before="1"/>
                    <w:rPr>
                      <w:rFonts w:ascii="Times New Roman"/>
                      <w:sz w:val="20"/>
                    </w:rPr>
                  </w:pPr>
                </w:p>
                <w:p>
                  <w:pPr>
                    <w:pStyle w:val="BodyText"/>
                    <w:spacing w:line="252" w:lineRule="auto"/>
                    <w:ind w:left="1771" w:right="1325" w:hanging="346"/>
                    <w:jc w:val="both"/>
                  </w:pPr>
                  <w:r>
                    <w:rPr>
                      <w:w w:val="105"/>
                    </w:rPr>
                    <w:t>10. V případě potřeby zabezpečit odtah nepojízdného nebo havarovaného vozidla objednatele (nejdéle do 2 hodin od nahlášení) jeho uchování v krytých prostorách zhotovitele do jeho předání objednateli. Poškozené vozidlo bude odtaženo z adresy zadané objednatelem.</w:t>
                  </w:r>
                </w:p>
                <w:p>
                  <w:pPr>
                    <w:pStyle w:val="BodyText"/>
                    <w:spacing w:before="4"/>
                    <w:rPr>
                      <w:rFonts w:ascii="Times New Roman"/>
                      <w:sz w:val="20"/>
                    </w:rPr>
                  </w:pPr>
                </w:p>
                <w:p>
                  <w:pPr>
                    <w:pStyle w:val="BodyText"/>
                    <w:spacing w:line="247" w:lineRule="auto"/>
                    <w:ind w:left="1756" w:right="1322" w:hanging="341"/>
                    <w:jc w:val="both"/>
                  </w:pPr>
                  <w:r>
                    <w:rPr>
                      <w:w w:val="105"/>
                    </w:rPr>
                    <w:t>11. Zabezpečit naléhavé opravy na cestě. Tuto opravu zabezpečit svým výjezdním (servisním) vozidlem, nebo zajistit opravu v jiném smluvním autorizovaném servisním zařízení v místě poruchy za dodržení podmínek této dohody.</w:t>
                  </w:r>
                </w:p>
                <w:p>
                  <w:pPr>
                    <w:pStyle w:val="BodyText"/>
                    <w:spacing w:before="1"/>
                    <w:rPr>
                      <w:rFonts w:ascii="Times New Roman"/>
                      <w:sz w:val="21"/>
                    </w:rPr>
                  </w:pPr>
                </w:p>
                <w:p>
                  <w:pPr>
                    <w:pStyle w:val="BodyText"/>
                    <w:spacing w:line="249" w:lineRule="auto"/>
                    <w:ind w:left="1756" w:right="1332" w:hanging="341"/>
                    <w:jc w:val="both"/>
                  </w:pPr>
                  <w:r>
                    <w:rPr>
                      <w:w w:val="105"/>
                    </w:rPr>
                    <w:t>12. Zhotovitel na vyžádání objednatele (kdykoliv v průběhu díla) poskytne pro potřeby objednatele platný normativ práce, aktuální ceník zabezpečovaných náhradních dílů, které jsou předmětem opravy (díla).</w:t>
                  </w:r>
                </w:p>
                <w:p>
                  <w:pPr>
                    <w:pStyle w:val="BodyText"/>
                    <w:spacing w:before="7"/>
                    <w:rPr>
                      <w:rFonts w:ascii="Times New Roman"/>
                      <w:sz w:val="20"/>
                    </w:rPr>
                  </w:pPr>
                </w:p>
                <w:p>
                  <w:pPr>
                    <w:pStyle w:val="BodyText"/>
                    <w:spacing w:line="244" w:lineRule="auto" w:before="1"/>
                    <w:ind w:left="1756" w:right="1335" w:hanging="346"/>
                    <w:jc w:val="both"/>
                  </w:pPr>
                  <w:r>
                    <w:rPr>
                      <w:w w:val="105"/>
                    </w:rPr>
                    <w:t>13. V případě neodebrání vozidla po ukončení díla je zhotovitel povinen zabezpečit jeho uschování ve střežených prostorách, a to do doby jeho předání objednateli. Náklady spojené s uchováním vozidla nebudou objednateli účtovány.</w:t>
                  </w:r>
                </w:p>
                <w:p>
                  <w:pPr>
                    <w:pStyle w:val="BodyText"/>
                    <w:spacing w:line="252" w:lineRule="auto" w:before="12"/>
                    <w:ind w:left="1749" w:right="1341" w:hanging="339"/>
                    <w:jc w:val="both"/>
                  </w:pPr>
                  <w:r>
                    <w:rPr>
                      <w:w w:val="105"/>
                    </w:rPr>
                    <w:t>14. V případě vzniku vícepráce nad rozsah stanovený písemnou objednávkou nebo při hrozícím překročení stanoveného předběžného finančního limitu (viz zakázkový list při předání vozidla do opravy), přerušit práci na díle. Informovat o vzniklé skutečnosti objednatele. Práci zahájit až po odsouhlasení změny rozsahu díla kontaktní osobou objednatele (uvedenou v této dohodě).</w:t>
                  </w:r>
                </w:p>
                <w:p>
                  <w:pPr>
                    <w:pStyle w:val="BodyText"/>
                    <w:spacing w:before="1"/>
                    <w:rPr>
                      <w:rFonts w:ascii="Times New Roman"/>
                      <w:sz w:val="20"/>
                    </w:rPr>
                  </w:pPr>
                </w:p>
                <w:p>
                  <w:pPr>
                    <w:pStyle w:val="BodyText"/>
                    <w:ind w:left="1404"/>
                  </w:pPr>
                  <w:r>
                    <w:rPr>
                      <w:w w:val="105"/>
                    </w:rPr>
                    <w:t>15.  Objednatel  má   právo  provádět  průběžnou   kontrolu  jakosti  dodávaného  materiálu  (ND)       a</w:t>
                  </w:r>
                </w:p>
                <w:p>
                  <w:pPr>
                    <w:pStyle w:val="BodyText"/>
                    <w:spacing w:before="11"/>
                    <w:ind w:left="1756"/>
                    <w:jc w:val="both"/>
                  </w:pPr>
                  <w:r>
                    <w:rPr>
                      <w:w w:val="105"/>
                    </w:rPr>
                    <w:t>prováděných prací u jednotlivých objednávek. Kontrolu provádí kontaktní osoba objednatele.</w:t>
                  </w:r>
                </w:p>
                <w:p>
                  <w:pPr>
                    <w:pStyle w:val="BodyText"/>
                    <w:rPr>
                      <w:rFonts w:ascii="Times New Roman"/>
                      <w:sz w:val="20"/>
                    </w:rPr>
                  </w:pPr>
                </w:p>
                <w:p>
                  <w:pPr>
                    <w:pStyle w:val="BodyText"/>
                    <w:rPr>
                      <w:rFonts w:ascii="Times New Roman"/>
                      <w:sz w:val="18"/>
                    </w:rPr>
                  </w:pPr>
                </w:p>
                <w:p>
                  <w:pPr>
                    <w:spacing w:before="1"/>
                    <w:ind w:left="1744" w:right="1722" w:firstLine="0"/>
                    <w:jc w:val="center"/>
                    <w:rPr>
                      <w:sz w:val="17"/>
                    </w:rPr>
                  </w:pPr>
                  <w:r>
                    <w:rPr>
                      <w:sz w:val="17"/>
                    </w:rPr>
                    <w:t>5/8</w:t>
                  </w:r>
                </w:p>
              </w:txbxContent>
            </v:textbox>
            <w10:wrap type="none"/>
          </v:shape>
        </w:pict>
      </w:r>
      <w:r>
        <w:rPr>
          <w:rFonts w:ascii="Times New Roman"/>
          <w:sz w:val="20"/>
        </w:rPr>
        <w:drawing>
          <wp:inline distT="0" distB="0" distL="0" distR="0">
            <wp:extent cx="7557590" cy="10689336"/>
            <wp:effectExtent l="0" t="0" r="0" b="0"/>
            <wp:docPr id="7" name="image5.jpeg" descr="ţ˙"/>
            <wp:cNvGraphicFramePr>
              <a:graphicFrameLocks noChangeAspect="1"/>
            </wp:cNvGraphicFramePr>
            <a:graphic>
              <a:graphicData uri="http://schemas.openxmlformats.org/drawingml/2006/picture">
                <pic:pic>
                  <pic:nvPicPr>
                    <pic:cNvPr id="8" name="image5.jpeg"/>
                    <pic:cNvPicPr/>
                  </pic:nvPicPr>
                  <pic:blipFill>
                    <a:blip r:embed="rId9" cstate="print"/>
                    <a:stretch>
                      <a:fillRect/>
                    </a:stretch>
                  </pic:blipFill>
                  <pic:spPr>
                    <a:xfrm>
                      <a:off x="0" y="0"/>
                      <a:ext cx="7557590" cy="10689336"/>
                    </a:xfrm>
                    <a:prstGeom prst="rect">
                      <a:avLst/>
                    </a:prstGeom>
                  </pic:spPr>
                </pic:pic>
              </a:graphicData>
            </a:graphic>
          </wp:inline>
        </w:drawing>
      </w:r>
      <w:r>
        <w:rPr>
          <w:rFonts w:ascii="Times New Roman"/>
          <w:sz w:val="20"/>
        </w:rPr>
      </w:r>
    </w:p>
    <w:p>
      <w:pPr>
        <w:spacing w:after="0"/>
        <w:rPr>
          <w:rFonts w:ascii="Times New Roman"/>
          <w:sz w:val="20"/>
        </w:rPr>
        <w:sectPr>
          <w:pgSz w:w="11920" w:h="16850"/>
          <w:pgMar w:top="0" w:bottom="0" w:left="0" w:right="0"/>
        </w:sectPr>
      </w:pPr>
    </w:p>
    <w:p>
      <w:pPr>
        <w:pStyle w:val="BodyText"/>
        <w:ind w:right="-31"/>
        <w:rPr>
          <w:rFonts w:ascii="Times New Roman"/>
          <w:sz w:val="20"/>
        </w:rPr>
      </w:pPr>
      <w:r>
        <w:rPr/>
        <w:pict>
          <v:shape style="position:absolute;margin-left:0pt;margin-top:.0pt;width:595.1pt;height:841.7pt;mso-position-horizontal-relative:page;mso-position-vertical-relative:page;z-index:-17176" type="#_x0000_t202" filled="false" stroked="false">
            <v:textbox inset="0,0,0,0">
              <w:txbxContent>
                <w:p>
                  <w:pPr>
                    <w:pStyle w:val="BodyText"/>
                    <w:rPr>
                      <w:rFonts w:ascii="Times New Roman"/>
                      <w:sz w:val="24"/>
                    </w:rPr>
                  </w:pPr>
                </w:p>
                <w:p>
                  <w:pPr>
                    <w:pStyle w:val="BodyText"/>
                    <w:rPr>
                      <w:rFonts w:ascii="Times New Roman"/>
                      <w:sz w:val="34"/>
                    </w:rPr>
                  </w:pPr>
                </w:p>
                <w:p>
                  <w:pPr>
                    <w:spacing w:before="0"/>
                    <w:ind w:left="1497" w:right="0" w:firstLine="0"/>
                    <w:jc w:val="left"/>
                    <w:rPr>
                      <w:sz w:val="21"/>
                    </w:rPr>
                  </w:pPr>
                  <w:r>
                    <w:rPr>
                      <w:sz w:val="21"/>
                    </w:rPr>
                    <w:t>č. SMLR 75-4/2024</w:t>
                  </w:r>
                </w:p>
                <w:p>
                  <w:pPr>
                    <w:pStyle w:val="BodyText"/>
                    <w:rPr>
                      <w:rFonts w:ascii="Times New Roman"/>
                      <w:sz w:val="24"/>
                    </w:rPr>
                  </w:pPr>
                </w:p>
                <w:p>
                  <w:pPr>
                    <w:pStyle w:val="BodyText"/>
                    <w:rPr>
                      <w:rFonts w:ascii="Times New Roman"/>
                      <w:sz w:val="24"/>
                    </w:rPr>
                  </w:pPr>
                </w:p>
                <w:p>
                  <w:pPr>
                    <w:pStyle w:val="BodyText"/>
                    <w:spacing w:line="252" w:lineRule="auto" w:before="144"/>
                    <w:ind w:left="1843" w:right="1267" w:hanging="339"/>
                    <w:jc w:val="both"/>
                  </w:pPr>
                  <w:r>
                    <w:rPr>
                      <w:w w:val="105"/>
                    </w:rPr>
                    <w:t>16. Objednatel má právo na provedení konečné kontroly díla při jeho převzetí, včetně provedení zkušební jízdy (do 15 km). Kontrolu provádí kontaktní osoba objednatele, popř. přebírající zástupce objednatele.</w:t>
                  </w:r>
                </w:p>
                <w:p>
                  <w:pPr>
                    <w:pStyle w:val="BodyText"/>
                    <w:spacing w:before="1"/>
                    <w:rPr>
                      <w:rFonts w:ascii="Times New Roman"/>
                      <w:sz w:val="20"/>
                    </w:rPr>
                  </w:pPr>
                </w:p>
                <w:p>
                  <w:pPr>
                    <w:pStyle w:val="BodyText"/>
                    <w:spacing w:line="252" w:lineRule="auto"/>
                    <w:ind w:left="1850" w:right="1280" w:hanging="346"/>
                    <w:jc w:val="both"/>
                  </w:pPr>
                  <w:r>
                    <w:rPr>
                      <w:w w:val="105"/>
                    </w:rPr>
                    <w:t>17. Zhotovitel se zavazuje neprodleně písemné oznámit případné změny cen stanovené v ceníku náhradních dílů. Veškeré změny cen musí být písemně potvrzeny smluvními stranami.</w:t>
                  </w:r>
                </w:p>
                <w:p>
                  <w:pPr>
                    <w:pStyle w:val="BodyText"/>
                    <w:rPr>
                      <w:rFonts w:ascii="Times New Roman"/>
                      <w:sz w:val="20"/>
                    </w:rPr>
                  </w:pPr>
                </w:p>
                <w:p>
                  <w:pPr>
                    <w:pStyle w:val="BodyText"/>
                    <w:spacing w:before="4"/>
                    <w:rPr>
                      <w:rFonts w:ascii="Times New Roman"/>
                      <w:sz w:val="23"/>
                    </w:rPr>
                  </w:pPr>
                </w:p>
                <w:p>
                  <w:pPr>
                    <w:spacing w:before="0"/>
                    <w:ind w:left="5047" w:right="0" w:firstLine="0"/>
                    <w:jc w:val="left"/>
                    <w:rPr>
                      <w:b/>
                      <w:sz w:val="22"/>
                    </w:rPr>
                  </w:pPr>
                  <w:r>
                    <w:rPr>
                      <w:b/>
                      <w:sz w:val="22"/>
                    </w:rPr>
                    <w:t>VII. Smluvní pokuta</w:t>
                  </w:r>
                </w:p>
                <w:p>
                  <w:pPr>
                    <w:pStyle w:val="BodyText"/>
                    <w:spacing w:before="3"/>
                    <w:rPr>
                      <w:rFonts w:ascii="Times New Roman"/>
                      <w:sz w:val="20"/>
                    </w:rPr>
                  </w:pPr>
                </w:p>
                <w:p>
                  <w:pPr>
                    <w:pStyle w:val="BodyText"/>
                    <w:spacing w:line="252" w:lineRule="auto"/>
                    <w:ind w:left="1835" w:right="1266" w:hanging="339"/>
                    <w:jc w:val="both"/>
                  </w:pPr>
                  <w:r>
                    <w:rPr>
                      <w:w w:val="105"/>
                    </w:rPr>
                    <w:t>1. V případě prodlení zhotovitele splněním každého jednotlivého plnění na základě doručené objednávky je zhotovitel povinen zaplatit objednateli smluvní pokutu ve výši 500,- Kč za každý započatý den prodlení.</w:t>
                  </w:r>
                </w:p>
                <w:p>
                  <w:pPr>
                    <w:pStyle w:val="BodyText"/>
                    <w:spacing w:before="1"/>
                    <w:rPr>
                      <w:rFonts w:ascii="Times New Roman"/>
                      <w:sz w:val="20"/>
                    </w:rPr>
                  </w:pPr>
                </w:p>
                <w:p>
                  <w:pPr>
                    <w:pStyle w:val="BodyText"/>
                    <w:spacing w:line="254" w:lineRule="auto"/>
                    <w:ind w:left="1843" w:right="1275" w:hanging="360"/>
                    <w:jc w:val="both"/>
                  </w:pPr>
                  <w:r>
                    <w:rPr>
                      <w:w w:val="105"/>
                    </w:rPr>
                    <w:t>2. V případě prodlení zhotovitele s odstraněním vady (vady zjištěné v záruční době) je zhotovitel povinen zaplatit objednateli smluvní pokutu ve výši 500,-Kč za každý započatý den prodlení až do úplného odstranění vady.</w:t>
                  </w:r>
                </w:p>
                <w:p>
                  <w:pPr>
                    <w:pStyle w:val="BodyText"/>
                    <w:spacing w:before="8"/>
                    <w:rPr>
                      <w:rFonts w:ascii="Times New Roman"/>
                    </w:rPr>
                  </w:pPr>
                </w:p>
                <w:p>
                  <w:pPr>
                    <w:pStyle w:val="BodyText"/>
                    <w:spacing w:line="252" w:lineRule="auto"/>
                    <w:ind w:left="1821" w:right="1280" w:hanging="339"/>
                    <w:jc w:val="both"/>
                  </w:pPr>
                  <w:r>
                    <w:rPr>
                      <w:w w:val="105"/>
                    </w:rPr>
                    <w:t>3. Za nedodržení (porušení) jednotlivých ustanovení této dohody zhotovitel uhradí objednateli jednorázovou pokutu ve výši 2 000,- Kč.</w:t>
                  </w:r>
                </w:p>
                <w:p>
                  <w:pPr>
                    <w:pStyle w:val="BodyText"/>
                    <w:spacing w:before="5"/>
                    <w:rPr>
                      <w:rFonts w:ascii="Times New Roman"/>
                    </w:rPr>
                  </w:pPr>
                </w:p>
                <w:p>
                  <w:pPr>
                    <w:pStyle w:val="BodyText"/>
                    <w:spacing w:line="252" w:lineRule="auto"/>
                    <w:ind w:left="1836" w:right="1272" w:hanging="360"/>
                    <w:jc w:val="both"/>
                  </w:pPr>
                  <w:r>
                    <w:rPr>
                      <w:w w:val="105"/>
                    </w:rPr>
                    <w:t>4. Zaplacením smluvní pokuty dle jakéhokoli ujednání tohoto článku této dohody není dotčen nárok oprávněné smluvní strany požadovat po druhé smluvní straně náhradu způsobené škody v plném rozsahu  a rovněž  není  dotčena  povinnost splnit závazky  vyplývající z této  dohody.  Ustanovení</w:t>
                  </w:r>
                </w:p>
                <w:p>
                  <w:pPr>
                    <w:pStyle w:val="BodyText"/>
                    <w:spacing w:line="217" w:lineRule="exact"/>
                    <w:ind w:left="1836"/>
                  </w:pPr>
                  <w:r>
                    <w:rPr/>
                    <w:t>§ 2050 občanského zákoníku  se nepoužije.</w:t>
                  </w:r>
                </w:p>
                <w:p>
                  <w:pPr>
                    <w:pStyle w:val="BodyText"/>
                    <w:spacing w:before="1"/>
                    <w:rPr>
                      <w:rFonts w:ascii="Times New Roman"/>
                      <w:sz w:val="21"/>
                    </w:rPr>
                  </w:pPr>
                </w:p>
                <w:p>
                  <w:pPr>
                    <w:pStyle w:val="BodyText"/>
                    <w:spacing w:line="252" w:lineRule="auto"/>
                    <w:ind w:left="1835" w:right="1277" w:hanging="353"/>
                    <w:jc w:val="both"/>
                  </w:pPr>
                  <w:r>
                    <w:rPr>
                      <w:w w:val="105"/>
                    </w:rPr>
                    <w:t>5. Právo vymáhat a fakturovat smluvní pokuty vzniká objednateli prvním  dnem</w:t>
                  </w:r>
                  <w:r>
                    <w:rPr>
                      <w:spacing w:val="55"/>
                      <w:w w:val="105"/>
                    </w:rPr>
                    <w:t> </w:t>
                  </w:r>
                  <w:r>
                    <w:rPr>
                      <w:w w:val="105"/>
                    </w:rPr>
                    <w:t>následujícím</w:t>
                  </w:r>
                  <w:r>
                    <w:rPr>
                      <w:spacing w:val="55"/>
                      <w:w w:val="105"/>
                    </w:rPr>
                    <w:t> </w:t>
                  </w:r>
                  <w:r>
                    <w:rPr>
                      <w:w w:val="105"/>
                    </w:rPr>
                    <w:t>po marném uplynutí lhůty k plnění závazku. Smluvní pokuta je splatná do 30 dní ode dne doručení oznámení.</w:t>
                  </w:r>
                </w:p>
                <w:p>
                  <w:pPr>
                    <w:pStyle w:val="BodyText"/>
                    <w:spacing w:before="1"/>
                    <w:rPr>
                      <w:rFonts w:ascii="Times New Roman"/>
                      <w:sz w:val="20"/>
                    </w:rPr>
                  </w:pPr>
                </w:p>
                <w:p>
                  <w:pPr>
                    <w:pStyle w:val="BodyText"/>
                    <w:ind w:left="1476"/>
                  </w:pPr>
                  <w:r>
                    <w:rPr>
                      <w:w w:val="105"/>
                    </w:rPr>
                    <w:t>6. Objednatel má právo smluvní pokuty započíst proti úhradě zhotoviteli.</w:t>
                  </w:r>
                </w:p>
                <w:p>
                  <w:pPr>
                    <w:pStyle w:val="BodyText"/>
                    <w:rPr>
                      <w:rFonts w:ascii="Times New Roman"/>
                      <w:sz w:val="20"/>
                    </w:rPr>
                  </w:pPr>
                </w:p>
                <w:p>
                  <w:pPr>
                    <w:pStyle w:val="BodyText"/>
                    <w:spacing w:before="1"/>
                    <w:rPr>
                      <w:rFonts w:ascii="Times New Roman"/>
                      <w:sz w:val="20"/>
                    </w:rPr>
                  </w:pPr>
                </w:p>
                <w:p>
                  <w:pPr>
                    <w:spacing w:before="0"/>
                    <w:ind w:left="1915" w:right="1722" w:firstLine="0"/>
                    <w:jc w:val="center"/>
                    <w:rPr>
                      <w:b/>
                      <w:sz w:val="22"/>
                    </w:rPr>
                  </w:pPr>
                  <w:r>
                    <w:rPr>
                      <w:b/>
                      <w:sz w:val="22"/>
                    </w:rPr>
                    <w:t>Vlil. Záruka a reklamační podmínky</w:t>
                  </w:r>
                </w:p>
                <w:p>
                  <w:pPr>
                    <w:pStyle w:val="BodyText"/>
                    <w:spacing w:before="3"/>
                    <w:rPr>
                      <w:rFonts w:ascii="Times New Roman"/>
                      <w:sz w:val="20"/>
                    </w:rPr>
                  </w:pPr>
                </w:p>
                <w:p>
                  <w:pPr>
                    <w:pStyle w:val="BodyText"/>
                    <w:spacing w:line="252" w:lineRule="auto"/>
                    <w:ind w:left="1828" w:right="1284" w:hanging="346"/>
                    <w:jc w:val="both"/>
                  </w:pPr>
                  <w:r>
                    <w:rPr>
                      <w:w w:val="105"/>
                    </w:rPr>
                    <w:t>1. Zhotovitel poskytuje záruku za jakost díla v následujícím rozsahu, a to ode dne převzetí díla objednatelem na základě přejímacího zápisu takto:</w:t>
                  </w:r>
                </w:p>
                <w:p>
                  <w:pPr>
                    <w:pStyle w:val="BodyText"/>
                    <w:spacing w:before="123"/>
                    <w:ind w:left="1800"/>
                  </w:pPr>
                  <w:r>
                    <w:rPr/>
                    <w:t>- na materiál  po dobu 12 měsíců</w:t>
                  </w:r>
                </w:p>
                <w:p>
                  <w:pPr>
                    <w:pStyle w:val="BodyText"/>
                    <w:spacing w:before="9"/>
                    <w:ind w:left="1800"/>
                  </w:pPr>
                  <w:r>
                    <w:rPr/>
                    <w:t>- na práci po dobu 6 měsíců.</w:t>
                  </w:r>
                </w:p>
                <w:p>
                  <w:pPr>
                    <w:pStyle w:val="BodyText"/>
                    <w:spacing w:before="4"/>
                    <w:rPr>
                      <w:rFonts w:ascii="Times New Roman"/>
                      <w:sz w:val="20"/>
                    </w:rPr>
                  </w:pPr>
                </w:p>
                <w:p>
                  <w:pPr>
                    <w:pStyle w:val="BodyText"/>
                    <w:spacing w:line="252" w:lineRule="auto"/>
                    <w:ind w:left="1828" w:right="1282" w:hanging="353"/>
                    <w:jc w:val="both"/>
                  </w:pPr>
                  <w:r>
                    <w:rPr>
                      <w:w w:val="105"/>
                    </w:rPr>
                    <w:t>2. Zhotovitel se zavazuje stanovit termín přistavení vozidla k provedení záruční opravy nejpozději do 2 prac. dnů od obdržení písemné informace o vadě v záruční době, pokud se smluvní strany nedohodnou jinak. Samotné provedení záruční opravy provést nejpozdéji do 2. pracovních dnů ode dne převzetí vozidla do opravy.</w:t>
                  </w:r>
                </w:p>
                <w:p>
                  <w:pPr>
                    <w:pStyle w:val="BodyText"/>
                    <w:spacing w:before="1"/>
                    <w:rPr>
                      <w:rFonts w:ascii="Times New Roman"/>
                      <w:sz w:val="20"/>
                    </w:rPr>
                  </w:pPr>
                </w:p>
                <w:p>
                  <w:pPr>
                    <w:pStyle w:val="BodyText"/>
                    <w:spacing w:line="244" w:lineRule="auto"/>
                    <w:ind w:left="1828" w:right="1288" w:hanging="353"/>
                    <w:jc w:val="both"/>
                  </w:pPr>
                  <w:r>
                    <w:rPr>
                      <w:w w:val="105"/>
                    </w:rPr>
                    <w:t>3. Uplatněním reklamace se rozumí podání zprávy zhotoviteli o vadách díla ze strany objednatele v souladu s ustanovením § 2112 Občanského zákoníku, a to písemně nebo ústně.</w:t>
                  </w:r>
                </w:p>
                <w:p>
                  <w:pPr>
                    <w:pStyle w:val="BodyText"/>
                    <w:spacing w:before="8"/>
                    <w:rPr>
                      <w:rFonts w:ascii="Times New Roman"/>
                      <w:sz w:val="20"/>
                    </w:rPr>
                  </w:pPr>
                </w:p>
                <w:p>
                  <w:pPr>
                    <w:pStyle w:val="BodyText"/>
                    <w:spacing w:line="252" w:lineRule="auto"/>
                    <w:ind w:left="1814" w:right="1284" w:hanging="353"/>
                    <w:jc w:val="both"/>
                  </w:pPr>
                  <w:r>
                    <w:rPr>
                      <w:w w:val="105"/>
                    </w:rPr>
                    <w:t>4. Pokud nebudou vady odstraněny v dohodnutém termínu, má objednatel právo zajistit odstranění závady u jiného zhotovitele na náklad zhotovitele. I přes odstranění závady jiným zhotovitelem není dotčena původní záruční lhůta na zbytek díla.</w:t>
                  </w:r>
                </w:p>
                <w:p>
                  <w:pPr>
                    <w:pStyle w:val="BodyText"/>
                    <w:rPr>
                      <w:rFonts w:ascii="Times New Roman"/>
                      <w:sz w:val="20"/>
                    </w:rPr>
                  </w:pPr>
                </w:p>
                <w:p>
                  <w:pPr>
                    <w:pStyle w:val="BodyText"/>
                    <w:spacing w:before="11"/>
                    <w:rPr>
                      <w:rFonts w:ascii="Times New Roman"/>
                      <w:sz w:val="18"/>
                    </w:rPr>
                  </w:pPr>
                </w:p>
                <w:p>
                  <w:pPr>
                    <w:spacing w:before="0"/>
                    <w:ind w:left="4687" w:right="0" w:firstLine="0"/>
                    <w:jc w:val="left"/>
                    <w:rPr>
                      <w:b/>
                      <w:sz w:val="22"/>
                    </w:rPr>
                  </w:pPr>
                  <w:r>
                    <w:rPr>
                      <w:b/>
                      <w:sz w:val="22"/>
                    </w:rPr>
                    <w:t>IX. Odpovědnost za škody</w:t>
                  </w:r>
                </w:p>
                <w:p>
                  <w:pPr>
                    <w:pStyle w:val="BodyText"/>
                    <w:spacing w:before="10"/>
                    <w:rPr>
                      <w:rFonts w:ascii="Times New Roman"/>
                      <w:sz w:val="20"/>
                    </w:rPr>
                  </w:pPr>
                </w:p>
                <w:p>
                  <w:pPr>
                    <w:pStyle w:val="BodyText"/>
                    <w:ind w:left="1476"/>
                  </w:pPr>
                  <w:r>
                    <w:rPr>
                      <w:w w:val="105"/>
                    </w:rPr>
                    <w:t>1. V případě škody vzniklé objednateli nebo třetím osobám při plnění této dohody zhotovitelem, je</w:t>
                  </w:r>
                </w:p>
                <w:p>
                  <w:pPr>
                    <w:pStyle w:val="BodyText"/>
                    <w:spacing w:before="11"/>
                    <w:ind w:left="1821"/>
                  </w:pPr>
                  <w:r>
                    <w:rPr>
                      <w:w w:val="105"/>
                    </w:rPr>
                    <w:t>tento povinen škodu objednateli nebo třetím osobám uhradit.</w:t>
                  </w:r>
                </w:p>
                <w:p>
                  <w:pPr>
                    <w:pStyle w:val="BodyText"/>
                    <w:spacing w:before="9"/>
                    <w:ind w:left="1814"/>
                  </w:pPr>
                  <w:r>
                    <w:rPr>
                      <w:w w:val="105"/>
                    </w:rPr>
                    <w:t>Zhotovitel nese odpovědnost za odvedenou práci a výrobek (použité náhradní díly). V případě, že</w:t>
                  </w:r>
                </w:p>
                <w:p>
                  <w:pPr>
                    <w:pStyle w:val="BodyText"/>
                    <w:rPr>
                      <w:rFonts w:ascii="Times New Roman"/>
                      <w:sz w:val="20"/>
                    </w:rPr>
                  </w:pPr>
                </w:p>
                <w:p>
                  <w:pPr>
                    <w:pStyle w:val="BodyText"/>
                    <w:spacing w:before="1"/>
                    <w:rPr>
                      <w:rFonts w:ascii="Times New Roman"/>
                      <w:sz w:val="18"/>
                    </w:rPr>
                  </w:pPr>
                </w:p>
                <w:p>
                  <w:pPr>
                    <w:spacing w:before="0"/>
                    <w:ind w:left="1873" w:right="1722" w:firstLine="0"/>
                    <w:jc w:val="center"/>
                    <w:rPr>
                      <w:sz w:val="17"/>
                    </w:rPr>
                  </w:pPr>
                  <w:r>
                    <w:rPr>
                      <w:sz w:val="17"/>
                    </w:rPr>
                    <w:t>6/8</w:t>
                  </w:r>
                </w:p>
              </w:txbxContent>
            </v:textbox>
            <w10:wrap type="none"/>
          </v:shape>
        </w:pict>
      </w:r>
      <w:r>
        <w:rPr>
          <w:rFonts w:ascii="Times New Roman"/>
          <w:sz w:val="20"/>
        </w:rPr>
        <w:drawing>
          <wp:inline distT="0" distB="0" distL="0" distR="0">
            <wp:extent cx="7557590" cy="10689336"/>
            <wp:effectExtent l="0" t="0" r="0" b="0"/>
            <wp:docPr id="9" name="image6.jpeg" descr="ţ˙"/>
            <wp:cNvGraphicFramePr>
              <a:graphicFrameLocks noChangeAspect="1"/>
            </wp:cNvGraphicFramePr>
            <a:graphic>
              <a:graphicData uri="http://schemas.openxmlformats.org/drawingml/2006/picture">
                <pic:pic>
                  <pic:nvPicPr>
                    <pic:cNvPr id="10" name="image6.jpeg"/>
                    <pic:cNvPicPr/>
                  </pic:nvPicPr>
                  <pic:blipFill>
                    <a:blip r:embed="rId10" cstate="print"/>
                    <a:stretch>
                      <a:fillRect/>
                    </a:stretch>
                  </pic:blipFill>
                  <pic:spPr>
                    <a:xfrm>
                      <a:off x="0" y="0"/>
                      <a:ext cx="7557590" cy="10689336"/>
                    </a:xfrm>
                    <a:prstGeom prst="rect">
                      <a:avLst/>
                    </a:prstGeom>
                  </pic:spPr>
                </pic:pic>
              </a:graphicData>
            </a:graphic>
          </wp:inline>
        </w:drawing>
      </w:r>
      <w:r>
        <w:rPr>
          <w:rFonts w:ascii="Times New Roman"/>
          <w:sz w:val="20"/>
        </w:rPr>
      </w:r>
    </w:p>
    <w:p>
      <w:pPr>
        <w:spacing w:after="0"/>
        <w:rPr>
          <w:rFonts w:ascii="Times New Roman"/>
          <w:sz w:val="20"/>
        </w:rPr>
        <w:sectPr>
          <w:pgSz w:w="11920" w:h="16850"/>
          <w:pgMar w:top="0" w:bottom="0" w:left="0" w:right="0"/>
        </w:sectPr>
      </w:pPr>
    </w:p>
    <w:p>
      <w:pPr>
        <w:pStyle w:val="BodyText"/>
        <w:ind w:right="-31"/>
        <w:rPr>
          <w:rFonts w:ascii="Times New Roman"/>
          <w:sz w:val="20"/>
        </w:rPr>
      </w:pPr>
      <w:r>
        <w:rPr/>
        <w:pict>
          <v:shape style="position:absolute;margin-left:0pt;margin-top:.0pt;width:595.1pt;height:841.7pt;mso-position-horizontal-relative:page;mso-position-vertical-relative:page;z-index:-17152" type="#_x0000_t202" filled="false" stroked="false">
            <v:textbox inset="0,0,0,0">
              <w:txbxContent>
                <w:p>
                  <w:pPr>
                    <w:pStyle w:val="BodyText"/>
                    <w:rPr>
                      <w:rFonts w:ascii="Times New Roman"/>
                      <w:sz w:val="24"/>
                    </w:rPr>
                  </w:pPr>
                </w:p>
                <w:p>
                  <w:pPr>
                    <w:pStyle w:val="BodyText"/>
                    <w:spacing w:before="2"/>
                    <w:rPr>
                      <w:rFonts w:ascii="Times New Roman"/>
                      <w:sz w:val="30"/>
                    </w:rPr>
                  </w:pPr>
                </w:p>
                <w:p>
                  <w:pPr>
                    <w:spacing w:before="1"/>
                    <w:ind w:left="1476" w:right="0" w:firstLine="0"/>
                    <w:jc w:val="left"/>
                    <w:rPr>
                      <w:sz w:val="21"/>
                    </w:rPr>
                  </w:pPr>
                  <w:r>
                    <w:rPr>
                      <w:sz w:val="21"/>
                    </w:rPr>
                    <w:t>č.  SMLR 75-4/2024</w:t>
                  </w:r>
                </w:p>
                <w:p>
                  <w:pPr>
                    <w:pStyle w:val="BodyText"/>
                    <w:rPr>
                      <w:rFonts w:ascii="Times New Roman"/>
                      <w:sz w:val="24"/>
                    </w:rPr>
                  </w:pPr>
                </w:p>
                <w:p>
                  <w:pPr>
                    <w:pStyle w:val="BodyText"/>
                    <w:spacing w:line="249" w:lineRule="auto" w:before="192"/>
                    <w:ind w:left="1828" w:right="1525"/>
                  </w:pPr>
                  <w:r>
                    <w:rPr>
                      <w:w w:val="105"/>
                    </w:rPr>
                    <w:t>vozidlo poškodí následkem nedbalé práce nebo použitím vadného dílu, je za takovou škodu plně odpovědný.</w:t>
                  </w:r>
                </w:p>
                <w:p>
                  <w:pPr>
                    <w:pStyle w:val="BodyText"/>
                    <w:rPr>
                      <w:rFonts w:ascii="Times New Roman"/>
                      <w:sz w:val="20"/>
                    </w:rPr>
                  </w:pPr>
                </w:p>
                <w:p>
                  <w:pPr>
                    <w:pStyle w:val="BodyText"/>
                    <w:spacing w:before="10"/>
                    <w:rPr>
                      <w:rFonts w:ascii="Times New Roman"/>
                    </w:rPr>
                  </w:pPr>
                </w:p>
                <w:p>
                  <w:pPr>
                    <w:spacing w:before="1"/>
                    <w:ind w:left="5052" w:right="0" w:firstLine="0"/>
                    <w:jc w:val="left"/>
                    <w:rPr>
                      <w:b/>
                      <w:sz w:val="22"/>
                    </w:rPr>
                  </w:pPr>
                  <w:r>
                    <w:rPr>
                      <w:b/>
                      <w:sz w:val="22"/>
                    </w:rPr>
                    <w:t>X. Ostatní ujednání</w:t>
                  </w:r>
                </w:p>
                <w:p>
                  <w:pPr>
                    <w:pStyle w:val="BodyText"/>
                    <w:spacing w:before="3"/>
                    <w:rPr>
                      <w:rFonts w:ascii="Times New Roman"/>
                      <w:sz w:val="20"/>
                    </w:rPr>
                  </w:pPr>
                </w:p>
                <w:p>
                  <w:pPr>
                    <w:pStyle w:val="BodyText"/>
                    <w:tabs>
                      <w:tab w:pos="1883" w:val="left" w:leader="none"/>
                    </w:tabs>
                    <w:ind w:left="1476"/>
                  </w:pPr>
                  <w:r>
                    <w:rPr/>
                    <w:t>1.</w:t>
                    <w:tab/>
                    <w:t>Zhotovitel je  povinen  při plnění této</w:t>
                  </w:r>
                  <w:r>
                    <w:rPr>
                      <w:spacing w:val="34"/>
                    </w:rPr>
                    <w:t> </w:t>
                  </w:r>
                  <w:r>
                    <w:rPr/>
                    <w:t>dohody:</w:t>
                  </w:r>
                </w:p>
                <w:p>
                  <w:pPr>
                    <w:pStyle w:val="BodyText"/>
                    <w:spacing w:line="252" w:lineRule="auto" w:before="133"/>
                    <w:ind w:left="2303" w:right="1275" w:hanging="274"/>
                    <w:jc w:val="both"/>
                  </w:pPr>
                  <w:r>
                    <w:rPr/>
                    <w:t>a) zajistit dodržování veškerých právních předpisů České republiky s důrazem na legální zaměstnávání, spravedlivé odměňování a dodržování bezpečnosti a ochrany zdraví při práci, přičemž  uvedené se zavazuje zajistit i u svých  poddodavatelů;</w:t>
                  </w:r>
                </w:p>
                <w:p>
                  <w:pPr>
                    <w:pStyle w:val="BodyText"/>
                    <w:spacing w:before="58"/>
                    <w:ind w:left="2030"/>
                  </w:pPr>
                  <w:r>
                    <w:rPr>
                      <w:w w:val="105"/>
                    </w:rPr>
                    <w:t>b) ve smlouvách se svými poddodavateli zajistil srovnatelné podmínky s podmínkami sjednanými</w:t>
                  </w:r>
                </w:p>
                <w:p>
                  <w:pPr>
                    <w:pStyle w:val="BodyText"/>
                    <w:spacing w:before="11"/>
                    <w:ind w:left="2304"/>
                  </w:pPr>
                  <w:r>
                    <w:rPr>
                      <w:w w:val="105"/>
                    </w:rPr>
                    <w:t>v této dohodě;</w:t>
                  </w:r>
                </w:p>
                <w:p>
                  <w:pPr>
                    <w:pStyle w:val="BodyText"/>
                    <w:spacing w:before="73"/>
                    <w:ind w:left="2023"/>
                  </w:pPr>
                  <w:r>
                    <w:rPr>
                      <w:w w:val="105"/>
                    </w:rPr>
                    <w:t>c) zajistit řádné a včasné plnění svých finančních závazků vůči svým poddodavatelům;</w:t>
                  </w:r>
                </w:p>
                <w:p>
                  <w:pPr>
                    <w:pStyle w:val="BodyText"/>
                    <w:spacing w:before="69"/>
                    <w:ind w:left="2023"/>
                  </w:pPr>
                  <w:r>
                    <w:rPr>
                      <w:w w:val="105"/>
                    </w:rPr>
                    <w:t>d)  používat  při  výkonu  administrativních  činností  souvisejících  s  plněním  předmětu dohody,</w:t>
                  </w:r>
                </w:p>
                <w:p>
                  <w:pPr>
                    <w:pStyle w:val="BodyText"/>
                    <w:spacing w:before="12"/>
                    <w:ind w:left="2147" w:right="1580"/>
                    <w:jc w:val="center"/>
                  </w:pPr>
                  <w:r>
                    <w:rPr>
                      <w:w w:val="105"/>
                    </w:rPr>
                    <w:t>bude-li to objektivně možné, recyklované nebo recyklovatelné materiály, výrobky a obaly.</w:t>
                  </w:r>
                </w:p>
                <w:p>
                  <w:pPr>
                    <w:pStyle w:val="BodyText"/>
                    <w:tabs>
                      <w:tab w:pos="1876" w:val="left" w:leader="none"/>
                    </w:tabs>
                    <w:spacing w:before="127"/>
                    <w:ind w:left="1454"/>
                  </w:pPr>
                  <w:r>
                    <w:rPr/>
                    <w:t>2.</w:t>
                    <w:tab/>
                    <w:t>Zhotovitel  tímto  prohlašuje,</w:t>
                  </w:r>
                  <w:r>
                    <w:rPr>
                      <w:spacing w:val="-18"/>
                    </w:rPr>
                    <w:t> </w:t>
                  </w:r>
                  <w:r>
                    <w:rPr/>
                    <w:t>že:</w:t>
                  </w:r>
                </w:p>
                <w:p>
                  <w:pPr>
                    <w:pStyle w:val="BodyText"/>
                    <w:tabs>
                      <w:tab w:pos="2167" w:val="left" w:leader="none"/>
                    </w:tabs>
                    <w:spacing w:before="131"/>
                    <w:ind w:left="1735"/>
                  </w:pPr>
                  <w:r>
                    <w:rPr/>
                    <w:t>a)</w:t>
                    <w:tab/>
                    <w:t>není osobou,  subjektem  ani orgánem</w:t>
                  </w:r>
                  <w:r>
                    <w:rPr>
                      <w:spacing w:val="46"/>
                    </w:rPr>
                    <w:t> </w:t>
                  </w:r>
                  <w:r>
                    <w:rPr/>
                    <w:t>uvedeným</w:t>
                  </w:r>
                </w:p>
                <w:p>
                  <w:pPr>
                    <w:pStyle w:val="BodyText"/>
                    <w:spacing w:line="249" w:lineRule="auto" w:before="148"/>
                    <w:ind w:left="2728" w:right="1288" w:hanging="281"/>
                    <w:jc w:val="both"/>
                  </w:pPr>
                  <w:r>
                    <w:rPr/>
                    <w:t>• v příloze I nařízení Rady (ES) č. 765/2006 ze dne  18.  května  2006,  o  omezujících  opatřeních vzhledem k situaci v Bělorusku a k zapojení Běloruska do ruské agrese proti Ukrajině,  ve znění pozdějších  předpisů</w:t>
                  </w:r>
                  <w:r>
                    <w:rPr>
                      <w:spacing w:val="22"/>
                    </w:rPr>
                    <w:t> </w:t>
                  </w:r>
                  <w:r>
                    <w:rPr/>
                    <w:t>ani</w:t>
                  </w:r>
                </w:p>
                <w:p>
                  <w:pPr>
                    <w:pStyle w:val="BodyText"/>
                    <w:spacing w:line="249" w:lineRule="auto" w:before="22"/>
                    <w:ind w:left="2728" w:right="1291" w:hanging="289"/>
                    <w:jc w:val="both"/>
                  </w:pPr>
                  <w:r>
                    <w:rPr>
                      <w:w w:val="105"/>
                    </w:rPr>
                    <w:t>• v příloze I nařízení Rady (EU) č. 208/2014 ze dne 5. března 2014  o</w:t>
                  </w:r>
                  <w:r>
                    <w:rPr>
                      <w:spacing w:val="55"/>
                      <w:w w:val="105"/>
                    </w:rPr>
                    <w:t> </w:t>
                  </w:r>
                  <w:r>
                    <w:rPr>
                      <w:w w:val="105"/>
                    </w:rPr>
                    <w:t>omezujících opatřeních vůči některým osobám, subjektům a orgánům vzhledem k situaci na Ukrajině, ve znění pozdějších předpisů ani</w:t>
                  </w:r>
                </w:p>
                <w:p>
                  <w:pPr>
                    <w:pStyle w:val="BodyText"/>
                    <w:spacing w:line="254" w:lineRule="auto" w:before="15"/>
                    <w:ind w:left="2728" w:right="1289" w:hanging="288"/>
                    <w:jc w:val="both"/>
                  </w:pPr>
                  <w:r>
                    <w:rPr/>
                    <w:t>• v příloze I nařízení Rady (EU) č. 269/2014 ze dne  17.  března  2014  o  omezujících  opatřeních vzhledem k činnostem narušujícím nebo ohrožujícím územní celistvost, svrchovanost  a nezávislost  Ukrajiny,  ve znění  pozdějších</w:t>
                  </w:r>
                  <w:r>
                    <w:rPr>
                      <w:spacing w:val="-4"/>
                    </w:rPr>
                    <w:t> </w:t>
                  </w:r>
                  <w:r>
                    <w:rPr/>
                    <w:t>předpisů</w:t>
                  </w:r>
                </w:p>
                <w:p>
                  <w:pPr>
                    <w:pStyle w:val="BodyText"/>
                    <w:spacing w:line="244" w:lineRule="auto" w:before="119"/>
                    <w:ind w:left="2152" w:right="1525"/>
                  </w:pPr>
                  <w:r>
                    <w:rPr/>
                    <w:t>ani není osobou, subjektem nebo orgánem s takovou osobou, subjektem nebo orgánem spojeným;</w:t>
                  </w:r>
                </w:p>
                <w:p>
                  <w:pPr>
                    <w:pStyle w:val="BodyText"/>
                    <w:spacing w:line="252" w:lineRule="auto" w:before="132"/>
                    <w:ind w:left="2145" w:right="1299" w:hanging="411"/>
                    <w:jc w:val="both"/>
                  </w:pPr>
                  <w:r>
                    <w:rPr>
                      <w:w w:val="105"/>
                    </w:rPr>
                    <w:t>b) nezpřístupní osobě, subjektu ani orgánu uvedenému výše pod písm.</w:t>
                  </w:r>
                  <w:r>
                    <w:rPr>
                      <w:spacing w:val="55"/>
                      <w:w w:val="105"/>
                    </w:rPr>
                    <w:t> </w:t>
                  </w:r>
                  <w:r>
                    <w:rPr>
                      <w:w w:val="105"/>
                    </w:rPr>
                    <w:t>a) či v jeho</w:t>
                  </w:r>
                  <w:r>
                    <w:rPr>
                      <w:spacing w:val="55"/>
                      <w:w w:val="105"/>
                    </w:rPr>
                    <w:t> </w:t>
                  </w:r>
                  <w:r>
                    <w:rPr>
                      <w:w w:val="105"/>
                    </w:rPr>
                    <w:t>prospěch</w:t>
                  </w:r>
                  <w:r>
                    <w:rPr>
                      <w:spacing w:val="55"/>
                      <w:w w:val="105"/>
                    </w:rPr>
                    <w:t> </w:t>
                  </w:r>
                  <w:r>
                    <w:rPr>
                      <w:w w:val="105"/>
                    </w:rPr>
                    <w:t>žádné finanční prostředky ani hospodářské zdroje, a to nejen v souvislosti s případným plněním této</w:t>
                  </w:r>
                  <w:r>
                    <w:rPr>
                      <w:spacing w:val="-10"/>
                      <w:w w:val="105"/>
                    </w:rPr>
                    <w:t> </w:t>
                  </w:r>
                  <w:r>
                    <w:rPr>
                      <w:w w:val="105"/>
                    </w:rPr>
                    <w:t>dohody;</w:t>
                  </w:r>
                </w:p>
                <w:p>
                  <w:pPr>
                    <w:pStyle w:val="BodyText"/>
                    <w:spacing w:before="121"/>
                    <w:ind w:left="1720"/>
                  </w:pPr>
                  <w:r>
                    <w:rPr>
                      <w:w w:val="105"/>
                    </w:rPr>
                    <w:t>c)  není ruským státním příslušníkem, fyzickou či právnickou osobou   nebo subjektem či    orgánem</w:t>
                  </w:r>
                </w:p>
                <w:p>
                  <w:pPr>
                    <w:pStyle w:val="BodyText"/>
                    <w:spacing w:before="7"/>
                    <w:ind w:left="2152"/>
                  </w:pPr>
                  <w:r>
                    <w:rPr>
                      <w:w w:val="105"/>
                    </w:rPr>
                    <w:t>se sídlem v Rusku;</w:t>
                  </w:r>
                </w:p>
                <w:p>
                  <w:pPr>
                    <w:pStyle w:val="BodyText"/>
                    <w:spacing w:line="252" w:lineRule="auto" w:before="134"/>
                    <w:ind w:left="2145" w:right="1292" w:hanging="425"/>
                    <w:jc w:val="both"/>
                  </w:pPr>
                  <w:r>
                    <w:rPr>
                      <w:w w:val="105"/>
                    </w:rPr>
                    <w:t>d) není právnickou osobou, subjektem nebo orgánem, který je zvíce než 50 % přímo či nepřímo vlastněn ruským státním příslušníkem, fyzickou či právnickou osobou nebo subjektem či orgánem se sídlem v Rusku;</w:t>
                  </w:r>
                </w:p>
                <w:p>
                  <w:pPr>
                    <w:pStyle w:val="BodyText"/>
                    <w:spacing w:line="252" w:lineRule="auto" w:before="114"/>
                    <w:ind w:left="2145" w:right="1295" w:hanging="425"/>
                    <w:jc w:val="both"/>
                  </w:pPr>
                  <w:r>
                    <w:rPr>
                      <w:w w:val="105"/>
                    </w:rPr>
                    <w:t>e) není fyzickou nebo právnickou osobou, subjektem nebo orgánem, který jedná jménem nebo na pokyn ruského státního příslušníka anebo fyzické či právnické osoby nebo subjektu či orgánu</w:t>
                  </w:r>
                  <w:r>
                    <w:rPr>
                      <w:spacing w:val="55"/>
                      <w:w w:val="105"/>
                    </w:rPr>
                    <w:t> </w:t>
                  </w:r>
                  <w:r>
                    <w:rPr>
                      <w:w w:val="105"/>
                    </w:rPr>
                    <w:t>se sídlem v Rusku, nebo osoby, subjektu nebo orgánu, který je z více než 50 % přímo či nepřímo vlastněn ruským státním příslušníkem anebo fyzickou či právnickou osobou nebo subjektem</w:t>
                  </w:r>
                  <w:r>
                    <w:rPr>
                      <w:spacing w:val="-9"/>
                      <w:w w:val="105"/>
                    </w:rPr>
                    <w:t> </w:t>
                  </w:r>
                  <w:r>
                    <w:rPr>
                      <w:w w:val="105"/>
                    </w:rPr>
                    <w:t>či</w:t>
                  </w:r>
                  <w:r>
                    <w:rPr>
                      <w:spacing w:val="-12"/>
                      <w:w w:val="105"/>
                    </w:rPr>
                    <w:t> </w:t>
                  </w:r>
                  <w:r>
                    <w:rPr>
                      <w:w w:val="105"/>
                    </w:rPr>
                    <w:t>orgánem</w:t>
                  </w:r>
                  <w:r>
                    <w:rPr>
                      <w:spacing w:val="-3"/>
                      <w:w w:val="105"/>
                    </w:rPr>
                    <w:t> </w:t>
                  </w:r>
                  <w:r>
                    <w:rPr>
                      <w:w w:val="105"/>
                    </w:rPr>
                    <w:t>se</w:t>
                  </w:r>
                  <w:r>
                    <w:rPr>
                      <w:spacing w:val="-12"/>
                      <w:w w:val="105"/>
                    </w:rPr>
                    <w:t> </w:t>
                  </w:r>
                  <w:r>
                    <w:rPr>
                      <w:w w:val="105"/>
                    </w:rPr>
                    <w:t>sídlem</w:t>
                  </w:r>
                  <w:r>
                    <w:rPr>
                      <w:spacing w:val="-13"/>
                      <w:w w:val="105"/>
                    </w:rPr>
                    <w:t> </w:t>
                  </w:r>
                  <w:r>
                    <w:rPr>
                      <w:w w:val="105"/>
                    </w:rPr>
                    <w:t>v</w:t>
                  </w:r>
                  <w:r>
                    <w:rPr>
                      <w:spacing w:val="-9"/>
                      <w:w w:val="105"/>
                    </w:rPr>
                    <w:t> </w:t>
                  </w:r>
                  <w:r>
                    <w:rPr>
                      <w:w w:val="105"/>
                    </w:rPr>
                    <w:t>Rusku,</w:t>
                  </w:r>
                  <w:r>
                    <w:rPr>
                      <w:spacing w:val="4"/>
                      <w:w w:val="105"/>
                    </w:rPr>
                    <w:t> </w:t>
                  </w:r>
                  <w:r>
                    <w:rPr>
                      <w:w w:val="105"/>
                    </w:rPr>
                    <w:t>nebo</w:t>
                  </w:r>
                  <w:r>
                    <w:rPr>
                      <w:spacing w:val="-12"/>
                      <w:w w:val="105"/>
                    </w:rPr>
                    <w:t> </w:t>
                  </w:r>
                  <w:r>
                    <w:rPr>
                      <w:w w:val="105"/>
                    </w:rPr>
                    <w:t>společně</w:t>
                  </w:r>
                  <w:r>
                    <w:rPr>
                      <w:spacing w:val="-16"/>
                      <w:w w:val="105"/>
                    </w:rPr>
                    <w:t> </w:t>
                  </w:r>
                  <w:r>
                    <w:rPr>
                      <w:w w:val="105"/>
                    </w:rPr>
                    <w:t>s</w:t>
                  </w:r>
                  <w:r>
                    <w:rPr>
                      <w:spacing w:val="-11"/>
                      <w:w w:val="105"/>
                    </w:rPr>
                    <w:t> </w:t>
                  </w:r>
                  <w:r>
                    <w:rPr>
                      <w:w w:val="105"/>
                    </w:rPr>
                    <w:t>nimi;</w:t>
                  </w:r>
                </w:p>
                <w:p>
                  <w:pPr>
                    <w:pStyle w:val="BodyText"/>
                    <w:spacing w:line="252" w:lineRule="auto" w:before="123"/>
                    <w:ind w:left="2138" w:right="1305" w:hanging="425"/>
                    <w:jc w:val="both"/>
                  </w:pPr>
                  <w:r>
                    <w:rPr/>
                    <w:t>f) jeho poddodavatel či jeho poddodavatelé, kteří se budou podílet na plnění  dohody  z  části  odpovídající více než 10% hodnoty uvedené v čl. IV odst.  1  této  dohody,  splňují  a  budou  splňovat podmínky ve smyslu čl. X odst.  2,  písm.  c),  d) a e) této dohody</w:t>
                  </w:r>
                  <w:r>
                    <w:rPr>
                      <w:spacing w:val="31"/>
                    </w:rPr>
                    <w:t> </w:t>
                  </w:r>
                  <w:r>
                    <w:rPr/>
                    <w:t>a</w:t>
                  </w:r>
                </w:p>
                <w:p>
                  <w:pPr>
                    <w:pStyle w:val="BodyText"/>
                    <w:spacing w:line="252" w:lineRule="auto" w:before="116"/>
                    <w:ind w:left="2131" w:right="1306" w:hanging="418"/>
                    <w:jc w:val="both"/>
                  </w:pPr>
                  <w:r>
                    <w:rPr>
                      <w:w w:val="105"/>
                    </w:rPr>
                    <w:t>g) na předmět plnění této dohody, který zhotovitel v rámci plnění dohody poskytne objednateli, se nevztahuje zákaz přímého nebo nepřímého nákupu, dovozu nebo převádění zboží do Evropské unie [viz zejména nařízení Rady (EU) č. 833/2014 ze dne 31. 7. 2014 ve znění pozdějších předpisů (zakazující mj. nákup, dovoz nebo převádění vyjmenovaného zboží, které se nachází  v Rusku, bylo vyvezeno z Ruska či z Ruska pochází) a nařízení (ES) č. 765/2006 ze dne 18. 5. 2006 ve znění pozdějších předpisů (zakazující mj. nákup, dovoz nebo převádění vyjmenovaného zboží, které se nachází v Bělorusku, bylo vyvezeno z Běloruska či z Běloruska pochází)].</w:t>
                  </w:r>
                </w:p>
                <w:p>
                  <w:pPr>
                    <w:pStyle w:val="BodyText"/>
                    <w:rPr>
                      <w:rFonts w:ascii="Times New Roman"/>
                      <w:sz w:val="20"/>
                    </w:rPr>
                  </w:pPr>
                </w:p>
                <w:p>
                  <w:pPr>
                    <w:pStyle w:val="BodyText"/>
                    <w:rPr>
                      <w:rFonts w:ascii="Times New Roman"/>
                      <w:sz w:val="20"/>
                    </w:rPr>
                  </w:pPr>
                </w:p>
                <w:p>
                  <w:pPr>
                    <w:pStyle w:val="BodyText"/>
                    <w:spacing w:before="7"/>
                    <w:rPr>
                      <w:rFonts w:ascii="Times New Roman"/>
                      <w:sz w:val="22"/>
                    </w:rPr>
                  </w:pPr>
                </w:p>
                <w:p>
                  <w:pPr>
                    <w:spacing w:before="0"/>
                    <w:ind w:left="1821" w:right="1722" w:firstLine="0"/>
                    <w:jc w:val="center"/>
                    <w:rPr>
                      <w:sz w:val="17"/>
                    </w:rPr>
                  </w:pPr>
                  <w:r>
                    <w:rPr>
                      <w:sz w:val="17"/>
                    </w:rPr>
                    <w:t>7/8</w:t>
                  </w:r>
                </w:p>
              </w:txbxContent>
            </v:textbox>
            <w10:wrap type="none"/>
          </v:shape>
        </w:pict>
      </w:r>
      <w:r>
        <w:rPr>
          <w:rFonts w:ascii="Times New Roman"/>
          <w:sz w:val="20"/>
        </w:rPr>
        <w:drawing>
          <wp:inline distT="0" distB="0" distL="0" distR="0">
            <wp:extent cx="7557590" cy="10689336"/>
            <wp:effectExtent l="0" t="0" r="0" b="0"/>
            <wp:docPr id="11" name="image7.jpeg" descr="ţ˙"/>
            <wp:cNvGraphicFramePr>
              <a:graphicFrameLocks noChangeAspect="1"/>
            </wp:cNvGraphicFramePr>
            <a:graphic>
              <a:graphicData uri="http://schemas.openxmlformats.org/drawingml/2006/picture">
                <pic:pic>
                  <pic:nvPicPr>
                    <pic:cNvPr id="12" name="image7.jpeg"/>
                    <pic:cNvPicPr/>
                  </pic:nvPicPr>
                  <pic:blipFill>
                    <a:blip r:embed="rId11" cstate="print"/>
                    <a:stretch>
                      <a:fillRect/>
                    </a:stretch>
                  </pic:blipFill>
                  <pic:spPr>
                    <a:xfrm>
                      <a:off x="0" y="0"/>
                      <a:ext cx="7557590" cy="10689336"/>
                    </a:xfrm>
                    <a:prstGeom prst="rect">
                      <a:avLst/>
                    </a:prstGeom>
                  </pic:spPr>
                </pic:pic>
              </a:graphicData>
            </a:graphic>
          </wp:inline>
        </w:drawing>
      </w:r>
      <w:r>
        <w:rPr>
          <w:rFonts w:ascii="Times New Roman"/>
          <w:sz w:val="20"/>
        </w:rPr>
      </w:r>
    </w:p>
    <w:p>
      <w:pPr>
        <w:spacing w:after="0"/>
        <w:rPr>
          <w:rFonts w:ascii="Times New Roman"/>
          <w:sz w:val="20"/>
        </w:rPr>
        <w:sectPr>
          <w:pgSz w:w="11920" w:h="16850"/>
          <w:pgMar w:top="0" w:bottom="0" w:left="0" w:right="0"/>
        </w:sectPr>
      </w:pPr>
    </w:p>
    <w:p>
      <w:pPr>
        <w:pStyle w:val="Heading2"/>
        <w:spacing w:before="66"/>
        <w:ind w:left="871"/>
      </w:pPr>
      <w:r>
        <w:rPr/>
        <w:pict>
          <v:group style="position:absolute;margin-left:0pt;margin-top:.000978pt;width:595pt;height:842pt;mso-position-horizontal-relative:page;mso-position-vertical-relative:page;z-index:-17128" coordorigin="0,0" coordsize="11900,16840">
            <v:shape style="position:absolute;left:0;top:0;width:11900;height:16840" type="#_x0000_t75" stroked="false">
              <v:imagedata r:id="rId12" o:title=""/>
            </v:shape>
            <v:shape style="position:absolute;left:8316;top:9958;width:1340;height:380" type="#_x0000_t75" stroked="false">
              <v:imagedata r:id="rId13" o:title=""/>
            </v:shape>
            <v:shape style="position:absolute;left:1332;top:10642;width:8300;height:3240" type="#_x0000_t75" stroked="false">
              <v:imagedata r:id="rId14" o:title=""/>
            </v:shape>
            <v:shape style="position:absolute;left:1037;top:10585;width:8536;height:3289" coordorigin="1037,10585" coordsize="8536,3289" path="m4337,12531l2473,12531,2473,13873,4337,13873,4337,12531m4350,10654l1037,10654,1037,12172,4350,12172,4350,10654m9572,10585l8029,10585,8029,12248,9572,12248,9572,10585e" filled="true" fillcolor="#000000" stroked="false">
              <v:path arrowok="t"/>
              <v:fill type="solid"/>
            </v:shape>
            <w10:wrap type="none"/>
          </v:group>
        </w:pict>
      </w:r>
      <w:r>
        <w:rPr/>
        <w:t>č. SMLR 75-4/2024</w:t>
      </w:r>
    </w:p>
    <w:p>
      <w:pPr>
        <w:pStyle w:val="BodyText"/>
        <w:rPr>
          <w:sz w:val="24"/>
        </w:rPr>
      </w:pPr>
    </w:p>
    <w:p>
      <w:pPr>
        <w:pStyle w:val="BodyText"/>
        <w:spacing w:line="254" w:lineRule="auto" w:before="190"/>
        <w:ind w:left="1289" w:right="110"/>
        <w:jc w:val="both"/>
      </w:pPr>
      <w:r>
        <w:rPr>
          <w:w w:val="105"/>
        </w:rPr>
        <w:t>Současně se zhotovitel zavazuje, že v případě jakékoliv změny s dopadem na platnost kteréhokoli prohlášení jím učiněného výše dle písm. a) až g) tohoto odstavce bude o každé takové změně neprodleně písemně informovat objednatele.</w:t>
      </w:r>
    </w:p>
    <w:p>
      <w:pPr>
        <w:pStyle w:val="BodyText"/>
        <w:rPr>
          <w:sz w:val="20"/>
        </w:rPr>
      </w:pPr>
    </w:p>
    <w:p>
      <w:pPr>
        <w:pStyle w:val="BodyText"/>
        <w:spacing w:before="7"/>
      </w:pPr>
    </w:p>
    <w:p>
      <w:pPr>
        <w:pStyle w:val="Heading1"/>
        <w:ind w:left="4232"/>
      </w:pPr>
      <w:r>
        <w:rPr/>
        <w:t>XI.  Závěrečná ujednání</w:t>
      </w:r>
    </w:p>
    <w:p>
      <w:pPr>
        <w:pStyle w:val="BodyText"/>
        <w:spacing w:before="3"/>
        <w:rPr>
          <w:b/>
          <w:sz w:val="20"/>
        </w:rPr>
      </w:pPr>
    </w:p>
    <w:p>
      <w:pPr>
        <w:pStyle w:val="ListParagraph"/>
        <w:numPr>
          <w:ilvl w:val="0"/>
          <w:numId w:val="1"/>
        </w:numPr>
        <w:tabs>
          <w:tab w:pos="1163" w:val="left" w:leader="none"/>
        </w:tabs>
        <w:spacing w:line="259" w:lineRule="auto" w:before="0" w:after="0"/>
        <w:ind w:left="1210" w:right="119" w:hanging="338"/>
        <w:jc w:val="both"/>
        <w:rPr>
          <w:sz w:val="19"/>
        </w:rPr>
      </w:pPr>
      <w:r>
        <w:rPr>
          <w:w w:val="105"/>
          <w:sz w:val="19"/>
        </w:rPr>
        <w:t>Tato rámcová dohoda a práva a povinnosti </w:t>
      </w:r>
      <w:r>
        <w:rPr>
          <w:spacing w:val="2"/>
          <w:w w:val="105"/>
          <w:sz w:val="19"/>
        </w:rPr>
        <w:t>zní </w:t>
      </w:r>
      <w:r>
        <w:rPr>
          <w:w w:val="105"/>
          <w:sz w:val="19"/>
        </w:rPr>
        <w:t>vyplývající se řídí příslušnými ustanoveními občanského</w:t>
      </w:r>
      <w:r>
        <w:rPr>
          <w:spacing w:val="-16"/>
          <w:w w:val="105"/>
          <w:sz w:val="19"/>
        </w:rPr>
        <w:t> </w:t>
      </w:r>
      <w:r>
        <w:rPr>
          <w:w w:val="105"/>
          <w:sz w:val="19"/>
        </w:rPr>
        <w:t>zákoníku.</w:t>
      </w:r>
    </w:p>
    <w:p>
      <w:pPr>
        <w:pStyle w:val="ListParagraph"/>
        <w:numPr>
          <w:ilvl w:val="0"/>
          <w:numId w:val="1"/>
        </w:numPr>
        <w:tabs>
          <w:tab w:pos="1086" w:val="left" w:leader="none"/>
        </w:tabs>
        <w:spacing w:line="252" w:lineRule="auto" w:before="112" w:after="0"/>
        <w:ind w:left="1210" w:right="114" w:hanging="353"/>
        <w:jc w:val="both"/>
        <w:rPr>
          <w:sz w:val="19"/>
        </w:rPr>
      </w:pPr>
      <w:r>
        <w:rPr>
          <w:w w:val="105"/>
          <w:sz w:val="19"/>
        </w:rPr>
        <w:t>Je-li nebo stane-li se některé ustanovení této rámcové dohody neplatné či neúčinné, nedotýká se </w:t>
      </w:r>
      <w:r>
        <w:rPr>
          <w:spacing w:val="2"/>
          <w:w w:val="105"/>
          <w:sz w:val="19"/>
        </w:rPr>
        <w:t>to </w:t>
      </w:r>
      <w:r>
        <w:rPr>
          <w:w w:val="105"/>
          <w:sz w:val="19"/>
        </w:rPr>
        <w:t>ostatních ustanovení této dohody, která zůstávají platná a účinná. Smluvní strany se v tomto případě zavazují dohodou nahradit ustanovení neplatné/neúčinné novým ustanovením platným/účinným, které nejlépe odpovídá původně zamýšlenému účelu ustanovení neplatného/neúčinného.</w:t>
      </w:r>
    </w:p>
    <w:p>
      <w:pPr>
        <w:pStyle w:val="ListParagraph"/>
        <w:numPr>
          <w:ilvl w:val="0"/>
          <w:numId w:val="1"/>
        </w:numPr>
        <w:tabs>
          <w:tab w:pos="1144" w:val="left" w:leader="none"/>
        </w:tabs>
        <w:spacing w:line="252" w:lineRule="auto" w:before="116" w:after="0"/>
        <w:ind w:left="1203" w:right="116" w:hanging="346"/>
        <w:jc w:val="both"/>
        <w:rPr>
          <w:sz w:val="19"/>
        </w:rPr>
      </w:pPr>
      <w:r>
        <w:rPr>
          <w:w w:val="105"/>
          <w:sz w:val="19"/>
        </w:rPr>
        <w:t>Tato rámcová dohoda nabývá platnosti podpisem obou smluvních stran a účinnosti</w:t>
      </w:r>
      <w:r>
        <w:rPr>
          <w:spacing w:val="55"/>
          <w:w w:val="105"/>
          <w:sz w:val="19"/>
        </w:rPr>
        <w:t> </w:t>
      </w:r>
      <w:r>
        <w:rPr>
          <w:w w:val="105"/>
          <w:sz w:val="19"/>
        </w:rPr>
        <w:t>dnem zveřejnění v registru smluv. Smluvní strany tímto souhlasí se zveřejněním rámcové dohody, a to včetně všech jejích změn a</w:t>
      </w:r>
      <w:r>
        <w:rPr>
          <w:spacing w:val="-21"/>
          <w:w w:val="105"/>
          <w:sz w:val="19"/>
        </w:rPr>
        <w:t> </w:t>
      </w:r>
      <w:r>
        <w:rPr>
          <w:w w:val="105"/>
          <w:sz w:val="19"/>
        </w:rPr>
        <w:t>dodatků.</w:t>
      </w:r>
    </w:p>
    <w:p>
      <w:pPr>
        <w:pStyle w:val="ListParagraph"/>
        <w:numPr>
          <w:ilvl w:val="0"/>
          <w:numId w:val="1"/>
        </w:numPr>
        <w:tabs>
          <w:tab w:pos="1081" w:val="left" w:leader="none"/>
        </w:tabs>
        <w:spacing w:line="252" w:lineRule="auto" w:before="116" w:after="0"/>
        <w:ind w:left="1210" w:right="129" w:hanging="360"/>
        <w:jc w:val="both"/>
        <w:rPr>
          <w:sz w:val="19"/>
        </w:rPr>
      </w:pPr>
      <w:r>
        <w:rPr>
          <w:w w:val="105"/>
          <w:sz w:val="19"/>
        </w:rPr>
        <w:t>Smluvní strany sjednávají, že měnit nebo doplňovat text dohody je možné pouze formou písemných dodatků podepsaných oběma smluvními</w:t>
      </w:r>
      <w:r>
        <w:rPr>
          <w:spacing w:val="-29"/>
          <w:w w:val="105"/>
          <w:sz w:val="19"/>
        </w:rPr>
        <w:t> </w:t>
      </w:r>
      <w:r>
        <w:rPr>
          <w:w w:val="105"/>
          <w:sz w:val="19"/>
        </w:rPr>
        <w:t>stranami.</w:t>
      </w:r>
    </w:p>
    <w:p>
      <w:pPr>
        <w:pStyle w:val="ListParagraph"/>
        <w:numPr>
          <w:ilvl w:val="0"/>
          <w:numId w:val="1"/>
        </w:numPr>
        <w:tabs>
          <w:tab w:pos="1100" w:val="left" w:leader="none"/>
        </w:tabs>
        <w:spacing w:line="252" w:lineRule="auto" w:before="123" w:after="0"/>
        <w:ind w:left="1210" w:right="123" w:hanging="353"/>
        <w:jc w:val="both"/>
        <w:rPr>
          <w:sz w:val="19"/>
        </w:rPr>
      </w:pPr>
      <w:r>
        <w:rPr>
          <w:w w:val="105"/>
          <w:sz w:val="19"/>
        </w:rPr>
        <w:t>Rámcová dohoda je vyhotovena ve dvou stejnopisech s platností originálu, z nichž každá smluvní strana obdrží jedno</w:t>
      </w:r>
      <w:r>
        <w:rPr>
          <w:spacing w:val="-23"/>
          <w:w w:val="105"/>
          <w:sz w:val="19"/>
        </w:rPr>
        <w:t> </w:t>
      </w:r>
      <w:r>
        <w:rPr>
          <w:w w:val="105"/>
          <w:sz w:val="19"/>
        </w:rPr>
        <w:t>vyhotovení.</w:t>
      </w:r>
    </w:p>
    <w:p>
      <w:pPr>
        <w:pStyle w:val="ListParagraph"/>
        <w:numPr>
          <w:ilvl w:val="0"/>
          <w:numId w:val="1"/>
        </w:numPr>
        <w:tabs>
          <w:tab w:pos="1084" w:val="left" w:leader="none"/>
        </w:tabs>
        <w:spacing w:line="252" w:lineRule="auto" w:before="113" w:after="0"/>
        <w:ind w:left="1210" w:right="118" w:hanging="360"/>
        <w:jc w:val="both"/>
        <w:rPr>
          <w:sz w:val="19"/>
        </w:rPr>
      </w:pPr>
      <w:r>
        <w:rPr>
          <w:w w:val="105"/>
          <w:sz w:val="19"/>
        </w:rPr>
        <w:t>Dopravce se zavazuje, že při plnění předmětu této dohody bude dodržovat veškeré právní předpisy České republiky s důrazem na legální zaměstnávání, spravedlivé odměňování a dodržování bezpečnosti a ochrany zdraví při</w:t>
      </w:r>
      <w:r>
        <w:rPr>
          <w:spacing w:val="-28"/>
          <w:w w:val="105"/>
          <w:sz w:val="19"/>
        </w:rPr>
        <w:t> </w:t>
      </w:r>
      <w:r>
        <w:rPr>
          <w:w w:val="105"/>
          <w:sz w:val="19"/>
        </w:rPr>
        <w:t>práci.</w:t>
      </w:r>
    </w:p>
    <w:p>
      <w:pPr>
        <w:pStyle w:val="ListParagraph"/>
        <w:numPr>
          <w:ilvl w:val="0"/>
          <w:numId w:val="1"/>
        </w:numPr>
        <w:tabs>
          <w:tab w:pos="1074" w:val="left" w:leader="none"/>
        </w:tabs>
        <w:spacing w:line="247" w:lineRule="auto" w:before="123" w:after="0"/>
        <w:ind w:left="1203" w:right="126" w:hanging="353"/>
        <w:jc w:val="both"/>
        <w:rPr>
          <w:sz w:val="19"/>
        </w:rPr>
      </w:pPr>
      <w:r>
        <w:rPr>
          <w:sz w:val="19"/>
        </w:rPr>
        <w:t>Smluvní strany prohlašují, že  tato  rámcová  dohoda  byla  uzavřena  na základě  vážné  a  svobodné  vůle obou smluvních stran, nikoliv v tísni či  za  nápadně  nevýhodných  podmínek,  že  rámcové  dohodě  porozuměly a chápou její význam,  což stvrzují  svými</w:t>
      </w:r>
      <w:r>
        <w:rPr>
          <w:spacing w:val="45"/>
          <w:sz w:val="19"/>
        </w:rPr>
        <w:t> </w:t>
      </w:r>
      <w:r>
        <w:rPr>
          <w:sz w:val="19"/>
        </w:rPr>
        <w:t>podpisy.</w:t>
      </w:r>
    </w:p>
    <w:p>
      <w:pPr>
        <w:pStyle w:val="BodyText"/>
        <w:rPr>
          <w:sz w:val="20"/>
        </w:rPr>
      </w:pPr>
    </w:p>
    <w:p>
      <w:pPr>
        <w:pStyle w:val="BodyText"/>
        <w:spacing w:before="2"/>
        <w:rPr>
          <w:sz w:val="21"/>
        </w:rPr>
      </w:pPr>
    </w:p>
    <w:p>
      <w:pPr>
        <w:pStyle w:val="BodyText"/>
        <w:ind w:left="850"/>
      </w:pPr>
      <w:r>
        <w:rPr>
          <w:w w:val="115"/>
        </w:rPr>
        <w:t>Příloha č. 1: Krycí list </w:t>
      </w:r>
      <w:r>
        <w:rPr>
          <w:w w:val="125"/>
        </w:rPr>
        <w:t>-</w:t>
      </w:r>
      <w:r>
        <w:rPr>
          <w:spacing w:val="-50"/>
          <w:w w:val="125"/>
        </w:rPr>
        <w:t> </w:t>
      </w:r>
      <w:r>
        <w:rPr>
          <w:w w:val="115"/>
        </w:rPr>
        <w:t>ceník služeb</w:t>
      </w:r>
    </w:p>
    <w:p>
      <w:pPr>
        <w:pStyle w:val="BodyText"/>
        <w:rPr>
          <w:sz w:val="20"/>
        </w:rPr>
      </w:pPr>
    </w:p>
    <w:p>
      <w:pPr>
        <w:pStyle w:val="BodyText"/>
        <w:rPr>
          <w:sz w:val="20"/>
        </w:rPr>
      </w:pPr>
    </w:p>
    <w:p>
      <w:pPr>
        <w:pStyle w:val="BodyText"/>
        <w:rPr>
          <w:sz w:val="20"/>
        </w:rPr>
      </w:pPr>
    </w:p>
    <w:p>
      <w:pPr>
        <w:pStyle w:val="BodyText"/>
        <w:spacing w:before="4"/>
        <w:rPr>
          <w:sz w:val="27"/>
        </w:rPr>
      </w:pPr>
    </w:p>
    <w:p>
      <w:pPr>
        <w:tabs>
          <w:tab w:pos="2539" w:val="left" w:leader="none"/>
          <w:tab w:pos="6127" w:val="left" w:leader="none"/>
        </w:tabs>
        <w:spacing w:before="0"/>
        <w:ind w:left="843" w:right="0" w:firstLine="0"/>
        <w:jc w:val="left"/>
        <w:rPr>
          <w:sz w:val="19"/>
        </w:rPr>
      </w:pPr>
      <w:r>
        <w:rPr>
          <w:w w:val="98"/>
          <w:position w:val="1"/>
          <w:sz w:val="19"/>
        </w:rPr>
        <w:t>Ve</w:t>
      </w:r>
      <w:r>
        <w:rPr>
          <w:spacing w:val="4"/>
          <w:position w:val="1"/>
          <w:sz w:val="19"/>
        </w:rPr>
        <w:t> </w:t>
      </w:r>
      <w:r>
        <w:rPr>
          <w:spacing w:val="-1"/>
          <w:w w:val="102"/>
          <w:position w:val="1"/>
          <w:sz w:val="19"/>
        </w:rPr>
        <w:t>Vr</w:t>
      </w:r>
      <w:r>
        <w:rPr>
          <w:w w:val="102"/>
          <w:position w:val="1"/>
          <w:sz w:val="19"/>
        </w:rPr>
        <w:t>c</w:t>
      </w:r>
      <w:r>
        <w:rPr>
          <w:spacing w:val="-3"/>
          <w:w w:val="102"/>
          <w:position w:val="1"/>
          <w:sz w:val="19"/>
        </w:rPr>
        <w:t>h</w:t>
      </w:r>
      <w:r>
        <w:rPr>
          <w:spacing w:val="2"/>
          <w:w w:val="102"/>
          <w:position w:val="1"/>
          <w:sz w:val="19"/>
        </w:rPr>
        <w:t>l</w:t>
      </w:r>
      <w:r>
        <w:rPr>
          <w:spacing w:val="-1"/>
          <w:w w:val="102"/>
          <w:position w:val="1"/>
          <w:sz w:val="19"/>
        </w:rPr>
        <w:t>ab</w:t>
      </w:r>
      <w:r>
        <w:rPr>
          <w:spacing w:val="1"/>
          <w:w w:val="102"/>
          <w:position w:val="1"/>
          <w:sz w:val="19"/>
        </w:rPr>
        <w:t>í</w:t>
      </w:r>
      <w:r>
        <w:rPr>
          <w:w w:val="102"/>
          <w:position w:val="1"/>
          <w:sz w:val="19"/>
        </w:rPr>
        <w:t>,</w:t>
      </w:r>
      <w:r>
        <w:rPr>
          <w:spacing w:val="17"/>
          <w:position w:val="1"/>
          <w:sz w:val="19"/>
        </w:rPr>
        <w:t> </w:t>
      </w:r>
      <w:r>
        <w:rPr>
          <w:spacing w:val="2"/>
          <w:w w:val="99"/>
          <w:position w:val="1"/>
          <w:sz w:val="19"/>
        </w:rPr>
        <w:t>dn</w:t>
      </w:r>
      <w:r>
        <w:rPr>
          <w:w w:val="99"/>
          <w:position w:val="1"/>
          <w:sz w:val="19"/>
        </w:rPr>
        <w:t>e</w:t>
      </w:r>
      <w:r>
        <w:rPr>
          <w:position w:val="1"/>
          <w:sz w:val="19"/>
        </w:rPr>
        <w:tab/>
      </w:r>
      <w:r>
        <w:rPr>
          <w:spacing w:val="-1"/>
          <w:w w:val="60"/>
          <w:position w:val="1"/>
          <w:sz w:val="28"/>
        </w:rPr>
        <w:t>8</w:t>
      </w:r>
      <w:r>
        <w:rPr>
          <w:b/>
          <w:w w:val="85"/>
          <w:position w:val="1"/>
          <w:sz w:val="12"/>
        </w:rPr>
        <w:t>.</w:t>
      </w:r>
      <w:r>
        <w:rPr>
          <w:b/>
          <w:position w:val="1"/>
          <w:sz w:val="12"/>
        </w:rPr>
        <w:t> </w:t>
      </w:r>
      <w:r>
        <w:rPr>
          <w:b/>
          <w:spacing w:val="5"/>
          <w:position w:val="1"/>
          <w:sz w:val="12"/>
        </w:rPr>
        <w:t> </w:t>
      </w:r>
      <w:r>
        <w:rPr>
          <w:spacing w:val="-2"/>
          <w:w w:val="62"/>
          <w:position w:val="1"/>
          <w:sz w:val="28"/>
        </w:rPr>
        <w:t>01</w:t>
      </w:r>
      <w:r>
        <w:rPr>
          <w:b/>
          <w:w w:val="108"/>
          <w:position w:val="1"/>
          <w:sz w:val="12"/>
        </w:rPr>
        <w:t>.</w:t>
      </w:r>
      <w:r>
        <w:rPr>
          <w:b/>
          <w:position w:val="1"/>
          <w:sz w:val="12"/>
        </w:rPr>
        <w:t>   </w:t>
      </w:r>
      <w:r>
        <w:rPr>
          <w:b/>
          <w:spacing w:val="-4"/>
          <w:position w:val="1"/>
          <w:sz w:val="12"/>
        </w:rPr>
        <w:t> </w:t>
      </w:r>
      <w:r>
        <w:rPr>
          <w:spacing w:val="-2"/>
          <w:w w:val="53"/>
          <w:position w:val="1"/>
          <w:sz w:val="28"/>
        </w:rPr>
        <w:t>20</w:t>
      </w:r>
      <w:r>
        <w:rPr>
          <w:spacing w:val="-4"/>
          <w:w w:val="53"/>
          <w:position w:val="1"/>
          <w:sz w:val="28"/>
        </w:rPr>
        <w:t>2</w:t>
      </w:r>
      <w:r>
        <w:rPr>
          <w:w w:val="53"/>
          <w:position w:val="1"/>
          <w:sz w:val="28"/>
        </w:rPr>
        <w:t>4</w:t>
      </w:r>
      <w:r>
        <w:rPr>
          <w:position w:val="1"/>
          <w:sz w:val="28"/>
        </w:rPr>
        <w:tab/>
      </w:r>
      <w:r>
        <w:rPr>
          <w:w w:val="102"/>
          <w:sz w:val="19"/>
        </w:rPr>
        <w:t>V</w:t>
      </w:r>
      <w:r>
        <w:rPr>
          <w:spacing w:val="9"/>
          <w:sz w:val="19"/>
        </w:rPr>
        <w:t> </w:t>
      </w:r>
      <w:r>
        <w:rPr>
          <w:w w:val="99"/>
          <w:sz w:val="19"/>
        </w:rPr>
        <w:t>Láno</w:t>
      </w:r>
      <w:r>
        <w:rPr>
          <w:spacing w:val="-2"/>
          <w:w w:val="99"/>
          <w:sz w:val="19"/>
        </w:rPr>
        <w:t>v</w:t>
      </w:r>
      <w:r>
        <w:rPr>
          <w:w w:val="99"/>
          <w:sz w:val="19"/>
        </w:rPr>
        <w:t>ě,</w:t>
      </w:r>
      <w:r>
        <w:rPr>
          <w:spacing w:val="24"/>
          <w:sz w:val="19"/>
        </w:rPr>
        <w:t> </w:t>
      </w:r>
      <w:r>
        <w:rPr>
          <w:spacing w:val="-1"/>
          <w:w w:val="98"/>
          <w:sz w:val="19"/>
        </w:rPr>
        <w:t>dne</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25"/>
        </w:rPr>
      </w:pPr>
    </w:p>
    <w:p>
      <w:pPr>
        <w:spacing w:before="96"/>
        <w:ind w:left="115" w:right="0" w:firstLine="0"/>
        <w:jc w:val="left"/>
        <w:rPr>
          <w:sz w:val="16"/>
        </w:rPr>
      </w:pPr>
      <w:r>
        <w:rPr>
          <w:w w:val="105"/>
          <w:sz w:val="16"/>
        </w:rPr>
        <w:t>Za sprá</w:t>
      </w:r>
    </w:p>
    <w:p>
      <w:pPr>
        <w:pStyle w:val="BodyText"/>
        <w:rPr>
          <w:sz w:val="18"/>
        </w:rPr>
      </w:pPr>
    </w:p>
    <w:p>
      <w:pPr>
        <w:spacing w:before="115"/>
        <w:ind w:left="123" w:right="0" w:firstLine="0"/>
        <w:jc w:val="left"/>
        <w:rPr>
          <w:sz w:val="17"/>
        </w:rPr>
      </w:pPr>
      <w:r>
        <w:rPr>
          <w:sz w:val="17"/>
        </w:rPr>
        <w:t>č. 01</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1"/>
        <w:rPr>
          <w:sz w:val="21"/>
        </w:rPr>
      </w:pPr>
    </w:p>
    <w:p>
      <w:pPr>
        <w:spacing w:before="0"/>
        <w:ind w:left="5262" w:right="4581" w:firstLine="0"/>
        <w:jc w:val="center"/>
        <w:rPr>
          <w:sz w:val="17"/>
        </w:rPr>
      </w:pPr>
      <w:r>
        <w:rPr>
          <w:sz w:val="17"/>
        </w:rPr>
        <w:t>8/8</w:t>
      </w:r>
    </w:p>
    <w:p>
      <w:pPr>
        <w:spacing w:after="0"/>
        <w:jc w:val="center"/>
        <w:rPr>
          <w:sz w:val="17"/>
        </w:rPr>
        <w:sectPr>
          <w:pgSz w:w="11920" w:h="16850"/>
          <w:pgMar w:top="600" w:bottom="280" w:left="640" w:right="1160"/>
        </w:sectPr>
      </w:pPr>
    </w:p>
    <w:p>
      <w:pPr>
        <w:tabs>
          <w:tab w:pos="3591" w:val="left" w:leader="none"/>
        </w:tabs>
        <w:spacing w:before="69"/>
        <w:ind w:left="138" w:right="0" w:firstLine="0"/>
        <w:jc w:val="left"/>
        <w:rPr>
          <w:sz w:val="16"/>
        </w:rPr>
      </w:pPr>
      <w:r>
        <w:rPr>
          <w:w w:val="125"/>
          <w:sz w:val="16"/>
        </w:rPr>
        <w:t>Příloha</w:t>
      </w:r>
      <w:r>
        <w:rPr>
          <w:spacing w:val="-27"/>
          <w:w w:val="125"/>
          <w:sz w:val="16"/>
        </w:rPr>
        <w:t> </w:t>
      </w:r>
      <w:r>
        <w:rPr>
          <w:w w:val="125"/>
          <w:sz w:val="16"/>
        </w:rPr>
        <w:t>Rámcové</w:t>
      </w:r>
      <w:r>
        <w:rPr>
          <w:spacing w:val="-27"/>
          <w:w w:val="125"/>
          <w:sz w:val="16"/>
        </w:rPr>
        <w:t> </w:t>
      </w:r>
      <w:r>
        <w:rPr>
          <w:w w:val="125"/>
          <w:sz w:val="16"/>
        </w:rPr>
        <w:t>dohody</w:t>
      </w:r>
      <w:r>
        <w:rPr>
          <w:spacing w:val="-43"/>
          <w:w w:val="125"/>
          <w:sz w:val="16"/>
        </w:rPr>
        <w:t> </w:t>
      </w:r>
      <w:r>
        <w:rPr>
          <w:w w:val="125"/>
          <w:sz w:val="16"/>
        </w:rPr>
        <w:t>č.</w:t>
      </w:r>
      <w:r>
        <w:rPr>
          <w:spacing w:val="-31"/>
          <w:w w:val="125"/>
          <w:sz w:val="16"/>
        </w:rPr>
        <w:t> </w:t>
      </w:r>
      <w:r>
        <w:rPr>
          <w:w w:val="125"/>
          <w:sz w:val="16"/>
        </w:rPr>
        <w:t>SMLR</w:t>
        <w:tab/>
        <w:t>T^^./Škoda,    </w:t>
      </w:r>
      <w:r>
        <w:rPr>
          <w:spacing w:val="18"/>
          <w:w w:val="125"/>
          <w:sz w:val="16"/>
        </w:rPr>
        <w:t> </w:t>
      </w:r>
      <w:r>
        <w:rPr>
          <w:w w:val="125"/>
          <w:sz w:val="16"/>
        </w:rPr>
        <w:t>VW</w:t>
      </w:r>
    </w:p>
    <w:p>
      <w:pPr>
        <w:pStyle w:val="BodyText"/>
        <w:rPr>
          <w:sz w:val="18"/>
        </w:rPr>
      </w:pPr>
    </w:p>
    <w:p>
      <w:pPr>
        <w:pStyle w:val="BodyText"/>
        <w:spacing w:before="10"/>
        <w:rPr>
          <w:sz w:val="16"/>
        </w:rPr>
      </w:pPr>
    </w:p>
    <w:p>
      <w:pPr>
        <w:spacing w:before="0"/>
        <w:ind w:left="131" w:right="0" w:firstLine="0"/>
        <w:jc w:val="left"/>
        <w:rPr>
          <w:sz w:val="17"/>
        </w:rPr>
      </w:pPr>
      <w:r>
        <w:rPr>
          <w:w w:val="120"/>
          <w:sz w:val="17"/>
        </w:rPr>
        <w:t>VZ 87/2023 "Uzavření  rámcové dohody na opravy vozidel Správy KRNAP'</w:t>
      </w:r>
    </w:p>
    <w:p>
      <w:pPr>
        <w:pStyle w:val="BodyText"/>
        <w:spacing w:before="1"/>
        <w:rPr>
          <w:sz w:val="26"/>
        </w:rPr>
      </w:pPr>
    </w:p>
    <w:p>
      <w:pPr>
        <w:spacing w:after="0"/>
        <w:rPr>
          <w:sz w:val="26"/>
        </w:rPr>
        <w:sectPr>
          <w:pgSz w:w="16850" w:h="11920" w:orient="landscape"/>
          <w:pgMar w:top="720" w:bottom="280" w:left="740" w:right="2140"/>
        </w:sectPr>
      </w:pPr>
    </w:p>
    <w:p>
      <w:pPr>
        <w:spacing w:before="96"/>
        <w:ind w:left="145" w:right="0" w:firstLine="0"/>
        <w:jc w:val="left"/>
        <w:rPr>
          <w:sz w:val="16"/>
        </w:rPr>
      </w:pPr>
      <w:r>
        <w:rPr>
          <w:sz w:val="16"/>
        </w:rPr>
        <w:t>Krycí list pro Skoda, VW</w:t>
      </w:r>
    </w:p>
    <w:p>
      <w:pPr>
        <w:spacing w:before="46"/>
        <w:ind w:left="145" w:right="0" w:firstLine="0"/>
        <w:jc w:val="left"/>
        <w:rPr>
          <w:sz w:val="16"/>
        </w:rPr>
      </w:pPr>
      <w:r>
        <w:rPr>
          <w:sz w:val="16"/>
        </w:rPr>
        <w:t>Pro Škoda Fabia, rok výroby 2008, VIN TMBFC25J593109869</w:t>
      </w:r>
    </w:p>
    <w:p>
      <w:pPr>
        <w:pStyle w:val="BodyText"/>
        <w:spacing w:before="5"/>
        <w:rPr>
          <w:sz w:val="15"/>
        </w:rPr>
      </w:pPr>
    </w:p>
    <w:p>
      <w:pPr>
        <w:tabs>
          <w:tab w:pos="8079" w:val="left" w:leader="none"/>
          <w:tab w:pos="8756" w:val="left" w:leader="none"/>
          <w:tab w:pos="9411" w:val="left" w:leader="none"/>
        </w:tabs>
        <w:spacing w:before="1"/>
        <w:ind w:left="3428" w:right="0" w:firstLine="0"/>
        <w:jc w:val="left"/>
        <w:rPr>
          <w:sz w:val="17"/>
        </w:rPr>
      </w:pPr>
      <w:r>
        <w:rPr/>
        <w:pict>
          <v:shape style="position:absolute;margin-left:480.23999pt;margin-top:7.757417pt;width:82.55pt;height:9.550pt;mso-position-horizontal-relative:page;mso-position-vertical-relative:paragraph;z-index:-17080" type="#_x0000_t202" filled="false" stroked="false">
            <v:textbox inset="0,0,0,0">
              <w:txbxContent>
                <w:p>
                  <w:pPr>
                    <w:tabs>
                      <w:tab w:pos="702" w:val="left" w:leader="none"/>
                    </w:tabs>
                    <w:spacing w:line="190" w:lineRule="exact" w:before="0"/>
                    <w:ind w:left="0" w:right="0" w:firstLine="0"/>
                    <w:jc w:val="left"/>
                    <w:rPr>
                      <w:sz w:val="17"/>
                    </w:rPr>
                  </w:pPr>
                  <w:r>
                    <w:rPr>
                      <w:sz w:val="17"/>
                    </w:rPr>
                    <w:t>MJ</w:t>
                    <w:tab/>
                    <w:t>Kč bez</w:t>
                  </w:r>
                  <w:r>
                    <w:rPr>
                      <w:spacing w:val="18"/>
                      <w:sz w:val="17"/>
                    </w:rPr>
                    <w:t> </w:t>
                  </w:r>
                  <w:r>
                    <w:rPr>
                      <w:sz w:val="17"/>
                    </w:rPr>
                    <w:t>DPH</w:t>
                  </w:r>
                </w:p>
              </w:txbxContent>
            </v:textbox>
            <w10:wrap type="none"/>
          </v:shape>
        </w:pict>
      </w:r>
      <w:r>
        <w:rPr>
          <w:position w:val="-8"/>
          <w:sz w:val="17"/>
        </w:rPr>
        <w:t>Název</w:t>
      </w:r>
      <w:r>
        <w:rPr>
          <w:spacing w:val="14"/>
          <w:position w:val="-8"/>
          <w:sz w:val="17"/>
        </w:rPr>
        <w:t> </w:t>
      </w:r>
      <w:r>
        <w:rPr>
          <w:position w:val="-8"/>
          <w:sz w:val="17"/>
        </w:rPr>
        <w:t>práce</w:t>
        <w:tab/>
      </w:r>
      <w:r>
        <w:rPr>
          <w:position w:val="-9"/>
          <w:sz w:val="17"/>
        </w:rPr>
        <w:t>MJ</w:t>
        <w:tab/>
      </w:r>
      <w:r>
        <w:rPr>
          <w:sz w:val="17"/>
        </w:rPr>
        <w:t>Počet</w:t>
        <w:tab/>
        <w:t>*) Cena za  MJ</w:t>
      </w:r>
      <w:r>
        <w:rPr>
          <w:spacing w:val="-9"/>
          <w:sz w:val="17"/>
        </w:rPr>
        <w:t> </w:t>
      </w:r>
      <w:r>
        <w:rPr>
          <w:sz w:val="17"/>
        </w:rPr>
        <w:t>v</w:t>
      </w:r>
    </w:p>
    <w:p>
      <w:pPr>
        <w:pStyle w:val="BodyText"/>
        <w:rPr>
          <w:sz w:val="18"/>
        </w:rPr>
      </w:pPr>
      <w:r>
        <w:rPr/>
        <w:br w:type="column"/>
      </w:r>
      <w:r>
        <w:rPr>
          <w:sz w:val="18"/>
        </w:rPr>
      </w:r>
    </w:p>
    <w:p>
      <w:pPr>
        <w:pStyle w:val="BodyText"/>
        <w:rPr>
          <w:sz w:val="18"/>
        </w:rPr>
      </w:pPr>
    </w:p>
    <w:p>
      <w:pPr>
        <w:pStyle w:val="BodyText"/>
        <w:rPr>
          <w:sz w:val="18"/>
        </w:rPr>
      </w:pPr>
    </w:p>
    <w:p>
      <w:pPr>
        <w:spacing w:before="107"/>
        <w:ind w:left="145" w:right="0" w:firstLine="0"/>
        <w:jc w:val="left"/>
        <w:rPr>
          <w:sz w:val="17"/>
        </w:rPr>
      </w:pPr>
      <w:r>
        <w:rPr>
          <w:sz w:val="17"/>
        </w:rPr>
        <w:t>*) DPH (21 %)  v Kč</w:t>
      </w:r>
    </w:p>
    <w:p>
      <w:pPr>
        <w:pStyle w:val="BodyText"/>
        <w:rPr>
          <w:sz w:val="18"/>
        </w:rPr>
      </w:pPr>
      <w:r>
        <w:rPr/>
        <w:br w:type="column"/>
      </w:r>
      <w:r>
        <w:rPr>
          <w:sz w:val="18"/>
        </w:rPr>
      </w:r>
    </w:p>
    <w:p>
      <w:pPr>
        <w:pStyle w:val="BodyText"/>
        <w:rPr>
          <w:sz w:val="18"/>
        </w:rPr>
      </w:pPr>
    </w:p>
    <w:p>
      <w:pPr>
        <w:pStyle w:val="BodyText"/>
        <w:spacing w:before="8"/>
        <w:rPr>
          <w:sz w:val="24"/>
        </w:rPr>
      </w:pPr>
    </w:p>
    <w:p>
      <w:pPr>
        <w:spacing w:line="172" w:lineRule="exact" w:before="1"/>
        <w:ind w:left="137" w:right="0" w:firstLine="0"/>
        <w:jc w:val="left"/>
        <w:rPr>
          <w:sz w:val="17"/>
        </w:rPr>
      </w:pPr>
      <w:r>
        <w:rPr>
          <w:sz w:val="17"/>
        </w:rPr>
        <w:t>*) Cena za  MJ v</w:t>
      </w:r>
    </w:p>
    <w:p>
      <w:pPr>
        <w:spacing w:line="172" w:lineRule="exact" w:before="0"/>
        <w:ind w:left="173" w:right="0" w:firstLine="0"/>
        <w:jc w:val="left"/>
        <w:rPr>
          <w:sz w:val="17"/>
        </w:rPr>
      </w:pPr>
      <w:r>
        <w:rPr>
          <w:sz w:val="17"/>
        </w:rPr>
        <w:t>Kč včetně DPH</w:t>
      </w:r>
    </w:p>
    <w:p>
      <w:pPr>
        <w:spacing w:after="0" w:line="172" w:lineRule="exact"/>
        <w:jc w:val="left"/>
        <w:rPr>
          <w:sz w:val="17"/>
        </w:rPr>
        <w:sectPr>
          <w:type w:val="continuous"/>
          <w:pgSz w:w="16850" w:h="11920" w:orient="landscape"/>
          <w:pgMar w:top="1600" w:bottom="280" w:left="740" w:right="2140"/>
          <w:cols w:num="3" w:equalWidth="0">
            <w:col w:w="10667" w:space="62"/>
            <w:col w:w="1675" w:space="40"/>
            <w:col w:w="1526"/>
          </w:cols>
        </w:sectPr>
      </w:pPr>
    </w:p>
    <w:p>
      <w:pPr>
        <w:pStyle w:val="BodyText"/>
        <w:spacing w:before="10"/>
        <w:rPr>
          <w:sz w:val="18"/>
        </w:rPr>
      </w:pPr>
      <w:r>
        <w:rPr/>
        <w:pict>
          <v:group style="position:absolute;margin-left:0pt;margin-top:.000998pt;width:841.7pt;height:595pt;mso-position-horizontal-relative:page;mso-position-vertical-relative:page;z-index:-17104" coordorigin="0,0" coordsize="16834,11900">
            <v:shape style="position:absolute;left:0;top:0;width:16834;height:11899" type="#_x0000_t75" stroked="false">
              <v:imagedata r:id="rId15" o:title=""/>
            </v:shape>
            <v:rect style="position:absolute;left:4766;top:8219;width:3073;height:1309" filled="true" fillcolor="#000000" stroked="false">
              <v:fill type="solid"/>
            </v:rect>
            <w10:wrap type="none"/>
          </v:group>
        </w:pict>
      </w:r>
    </w:p>
    <w:tbl>
      <w:tblPr>
        <w:tblW w:w="0" w:type="auto"/>
        <w:jc w:val="left"/>
        <w:tblInd w:w="109"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988"/>
        <w:gridCol w:w="1926"/>
        <w:gridCol w:w="1765"/>
        <w:gridCol w:w="527"/>
        <w:gridCol w:w="1681"/>
        <w:gridCol w:w="1380"/>
        <w:gridCol w:w="1451"/>
      </w:tblGrid>
      <w:tr>
        <w:trPr>
          <w:trHeight w:val="471" w:hRule="exact"/>
        </w:trPr>
        <w:tc>
          <w:tcPr>
            <w:tcW w:w="4988" w:type="dxa"/>
          </w:tcPr>
          <w:p>
            <w:pPr>
              <w:pStyle w:val="TableParagraph"/>
              <w:spacing w:line="190" w:lineRule="exact" w:before="0"/>
              <w:ind w:left="50"/>
              <w:rPr>
                <w:sz w:val="17"/>
              </w:rPr>
            </w:pPr>
            <w:r>
              <w:rPr>
                <w:sz w:val="17"/>
              </w:rPr>
              <w:t>mechanické  práce - hodinová sazba</w:t>
            </w:r>
          </w:p>
        </w:tc>
        <w:tc>
          <w:tcPr>
            <w:tcW w:w="1926" w:type="dxa"/>
          </w:tcPr>
          <w:p>
            <w:pPr/>
          </w:p>
        </w:tc>
        <w:tc>
          <w:tcPr>
            <w:tcW w:w="1765" w:type="dxa"/>
          </w:tcPr>
          <w:p>
            <w:pPr>
              <w:pStyle w:val="TableParagraph"/>
              <w:spacing w:line="99" w:lineRule="exact" w:before="0"/>
              <w:ind w:left="702" w:right="158"/>
              <w:jc w:val="center"/>
              <w:rPr>
                <w:sz w:val="17"/>
              </w:rPr>
            </w:pPr>
            <w:r>
              <w:rPr>
                <w:sz w:val="17"/>
              </w:rPr>
              <w:t>1 hod</w:t>
            </w:r>
          </w:p>
        </w:tc>
        <w:tc>
          <w:tcPr>
            <w:tcW w:w="527" w:type="dxa"/>
          </w:tcPr>
          <w:p>
            <w:pPr>
              <w:pStyle w:val="TableParagraph"/>
              <w:spacing w:before="26"/>
              <w:ind w:left="167"/>
              <w:rPr>
                <w:sz w:val="17"/>
              </w:rPr>
            </w:pPr>
            <w:r>
              <w:rPr>
                <w:w w:val="85"/>
                <w:sz w:val="17"/>
              </w:rPr>
              <w:t>1</w:t>
            </w:r>
          </w:p>
        </w:tc>
        <w:tc>
          <w:tcPr>
            <w:tcW w:w="1681" w:type="dxa"/>
          </w:tcPr>
          <w:p>
            <w:pPr>
              <w:pStyle w:val="TableParagraph"/>
              <w:spacing w:before="26"/>
              <w:ind w:left="341"/>
              <w:rPr>
                <w:sz w:val="17"/>
              </w:rPr>
            </w:pPr>
            <w:r>
              <w:rPr>
                <w:sz w:val="17"/>
              </w:rPr>
              <w:t>500,00 Kč</w:t>
            </w:r>
          </w:p>
        </w:tc>
        <w:tc>
          <w:tcPr>
            <w:tcW w:w="1380" w:type="dxa"/>
          </w:tcPr>
          <w:p>
            <w:pPr>
              <w:pStyle w:val="TableParagraph"/>
              <w:spacing w:before="35"/>
              <w:ind w:left="260" w:right="325"/>
              <w:jc w:val="center"/>
              <w:rPr>
                <w:sz w:val="17"/>
              </w:rPr>
            </w:pPr>
            <w:r>
              <w:rPr>
                <w:sz w:val="17"/>
              </w:rPr>
              <w:t>105</w:t>
            </w:r>
          </w:p>
        </w:tc>
        <w:tc>
          <w:tcPr>
            <w:tcW w:w="1451" w:type="dxa"/>
          </w:tcPr>
          <w:p>
            <w:pPr>
              <w:pStyle w:val="TableParagraph"/>
              <w:spacing w:before="35"/>
              <w:ind w:left="441"/>
              <w:rPr>
                <w:sz w:val="17"/>
              </w:rPr>
            </w:pPr>
            <w:r>
              <w:rPr>
                <w:sz w:val="17"/>
              </w:rPr>
              <w:t>605,00 Kč</w:t>
            </w:r>
          </w:p>
        </w:tc>
      </w:tr>
      <w:tr>
        <w:trPr>
          <w:trHeight w:val="448" w:hRule="exact"/>
        </w:trPr>
        <w:tc>
          <w:tcPr>
            <w:tcW w:w="4988" w:type="dxa"/>
          </w:tcPr>
          <w:p>
            <w:pPr/>
          </w:p>
        </w:tc>
        <w:tc>
          <w:tcPr>
            <w:tcW w:w="1926" w:type="dxa"/>
          </w:tcPr>
          <w:p>
            <w:pPr/>
          </w:p>
        </w:tc>
        <w:tc>
          <w:tcPr>
            <w:tcW w:w="1765" w:type="dxa"/>
          </w:tcPr>
          <w:p>
            <w:pPr>
              <w:pStyle w:val="TableParagraph"/>
              <w:spacing w:before="4"/>
              <w:rPr>
                <w:sz w:val="20"/>
              </w:rPr>
            </w:pPr>
          </w:p>
          <w:p>
            <w:pPr>
              <w:pStyle w:val="TableParagraph"/>
              <w:spacing w:before="0"/>
              <w:ind w:left="723" w:right="158"/>
              <w:jc w:val="center"/>
              <w:rPr>
                <w:sz w:val="17"/>
              </w:rPr>
            </w:pPr>
            <w:r>
              <w:rPr>
                <w:w w:val="105"/>
                <w:sz w:val="17"/>
              </w:rPr>
              <w:t>provedené</w:t>
            </w:r>
          </w:p>
        </w:tc>
        <w:tc>
          <w:tcPr>
            <w:tcW w:w="527" w:type="dxa"/>
          </w:tcPr>
          <w:p>
            <w:pPr/>
          </w:p>
        </w:tc>
        <w:tc>
          <w:tcPr>
            <w:tcW w:w="1681" w:type="dxa"/>
          </w:tcPr>
          <w:p>
            <w:pPr/>
          </w:p>
        </w:tc>
        <w:tc>
          <w:tcPr>
            <w:tcW w:w="1380" w:type="dxa"/>
          </w:tcPr>
          <w:p>
            <w:pPr/>
          </w:p>
        </w:tc>
        <w:tc>
          <w:tcPr>
            <w:tcW w:w="1451" w:type="dxa"/>
          </w:tcPr>
          <w:p>
            <w:pPr/>
          </w:p>
        </w:tc>
      </w:tr>
      <w:tr>
        <w:trPr>
          <w:trHeight w:val="436" w:hRule="exact"/>
        </w:trPr>
        <w:tc>
          <w:tcPr>
            <w:tcW w:w="4988" w:type="dxa"/>
          </w:tcPr>
          <w:p>
            <w:pPr>
              <w:pStyle w:val="TableParagraph"/>
              <w:spacing w:before="12"/>
              <w:ind w:left="64"/>
              <w:rPr>
                <w:sz w:val="17"/>
              </w:rPr>
            </w:pPr>
            <w:r>
              <w:rPr>
                <w:sz w:val="17"/>
              </w:rPr>
              <w:t>1. Výměna  předních  brzdových  kotoučů a destiček  (2x kotouč,</w:t>
            </w:r>
          </w:p>
        </w:tc>
        <w:tc>
          <w:tcPr>
            <w:tcW w:w="1926" w:type="dxa"/>
          </w:tcPr>
          <w:p>
            <w:pPr>
              <w:pStyle w:val="TableParagraph"/>
              <w:spacing w:before="12"/>
              <w:ind w:left="56"/>
              <w:rPr>
                <w:sz w:val="17"/>
              </w:rPr>
            </w:pPr>
            <w:r>
              <w:rPr>
                <w:sz w:val="17"/>
              </w:rPr>
              <w:t>sada destiček)</w:t>
            </w:r>
          </w:p>
        </w:tc>
        <w:tc>
          <w:tcPr>
            <w:tcW w:w="1765" w:type="dxa"/>
          </w:tcPr>
          <w:p>
            <w:pPr>
              <w:pStyle w:val="TableParagraph"/>
              <w:spacing w:line="192" w:lineRule="exact" w:before="49"/>
              <w:ind w:left="749" w:firstLine="204"/>
              <w:rPr>
                <w:sz w:val="17"/>
              </w:rPr>
            </w:pPr>
            <w:r>
              <w:rPr>
                <w:sz w:val="17"/>
              </w:rPr>
              <w:t>práce provedené</w:t>
            </w:r>
          </w:p>
        </w:tc>
        <w:tc>
          <w:tcPr>
            <w:tcW w:w="527" w:type="dxa"/>
          </w:tcPr>
          <w:p>
            <w:pPr>
              <w:pStyle w:val="TableParagraph"/>
              <w:spacing w:before="53"/>
              <w:ind w:left="176"/>
              <w:rPr>
                <w:sz w:val="16"/>
              </w:rPr>
            </w:pPr>
            <w:r>
              <w:rPr>
                <w:w w:val="90"/>
                <w:sz w:val="16"/>
              </w:rPr>
              <w:t>1</w:t>
            </w:r>
          </w:p>
        </w:tc>
        <w:tc>
          <w:tcPr>
            <w:tcW w:w="1681" w:type="dxa"/>
          </w:tcPr>
          <w:p>
            <w:pPr>
              <w:pStyle w:val="TableParagraph"/>
              <w:spacing w:before="43"/>
              <w:ind w:left="276"/>
              <w:rPr>
                <w:sz w:val="17"/>
              </w:rPr>
            </w:pPr>
            <w:r>
              <w:rPr>
                <w:sz w:val="17"/>
              </w:rPr>
              <w:t>3 449,00 Kč</w:t>
            </w:r>
          </w:p>
        </w:tc>
        <w:tc>
          <w:tcPr>
            <w:tcW w:w="1380" w:type="dxa"/>
          </w:tcPr>
          <w:p>
            <w:pPr>
              <w:pStyle w:val="TableParagraph"/>
              <w:spacing w:before="43"/>
              <w:ind w:left="244" w:right="325"/>
              <w:jc w:val="center"/>
              <w:rPr>
                <w:sz w:val="17"/>
              </w:rPr>
            </w:pPr>
            <w:r>
              <w:rPr>
                <w:sz w:val="17"/>
              </w:rPr>
              <w:t>724,29</w:t>
            </w:r>
          </w:p>
        </w:tc>
        <w:tc>
          <w:tcPr>
            <w:tcW w:w="1451" w:type="dxa"/>
          </w:tcPr>
          <w:p>
            <w:pPr>
              <w:pStyle w:val="TableParagraph"/>
              <w:spacing w:before="53"/>
              <w:ind w:right="114"/>
              <w:jc w:val="right"/>
              <w:rPr>
                <w:sz w:val="17"/>
              </w:rPr>
            </w:pPr>
            <w:r>
              <w:rPr>
                <w:sz w:val="17"/>
              </w:rPr>
              <w:t>4  173,29 Kč</w:t>
            </w:r>
          </w:p>
        </w:tc>
      </w:tr>
      <w:tr>
        <w:trPr>
          <w:trHeight w:val="246" w:hRule="exact"/>
        </w:trPr>
        <w:tc>
          <w:tcPr>
            <w:tcW w:w="4988" w:type="dxa"/>
          </w:tcPr>
          <w:p>
            <w:pPr>
              <w:pStyle w:val="TableParagraph"/>
              <w:spacing w:line="195" w:lineRule="exact" w:before="0"/>
              <w:ind w:left="50"/>
              <w:rPr>
                <w:sz w:val="17"/>
              </w:rPr>
            </w:pPr>
            <w:r>
              <w:rPr>
                <w:sz w:val="17"/>
              </w:rPr>
              <w:t>2.  Výměna  předních tlumičů (2x tlumič)</w:t>
            </w:r>
          </w:p>
        </w:tc>
        <w:tc>
          <w:tcPr>
            <w:tcW w:w="1926" w:type="dxa"/>
          </w:tcPr>
          <w:p>
            <w:pPr/>
          </w:p>
        </w:tc>
        <w:tc>
          <w:tcPr>
            <w:tcW w:w="1765" w:type="dxa"/>
          </w:tcPr>
          <w:p>
            <w:pPr>
              <w:pStyle w:val="TableParagraph"/>
              <w:spacing w:before="40"/>
              <w:ind w:left="723" w:right="142"/>
              <w:jc w:val="center"/>
              <w:rPr>
                <w:sz w:val="17"/>
              </w:rPr>
            </w:pPr>
            <w:r>
              <w:rPr>
                <w:sz w:val="17"/>
              </w:rPr>
              <w:t>práce</w:t>
            </w:r>
          </w:p>
        </w:tc>
        <w:tc>
          <w:tcPr>
            <w:tcW w:w="527" w:type="dxa"/>
          </w:tcPr>
          <w:p>
            <w:pPr>
              <w:pStyle w:val="TableParagraph"/>
              <w:spacing w:before="30"/>
              <w:ind w:left="176"/>
              <w:rPr>
                <w:sz w:val="17"/>
              </w:rPr>
            </w:pPr>
            <w:r>
              <w:rPr>
                <w:w w:val="95"/>
                <w:sz w:val="17"/>
              </w:rPr>
              <w:t>1</w:t>
            </w:r>
          </w:p>
        </w:tc>
        <w:tc>
          <w:tcPr>
            <w:tcW w:w="1681" w:type="dxa"/>
          </w:tcPr>
          <w:p>
            <w:pPr>
              <w:pStyle w:val="TableParagraph"/>
              <w:spacing w:before="30"/>
              <w:ind w:left="276"/>
              <w:rPr>
                <w:sz w:val="17"/>
              </w:rPr>
            </w:pPr>
            <w:r>
              <w:rPr>
                <w:sz w:val="17"/>
              </w:rPr>
              <w:t>4 366,00 Kč</w:t>
            </w:r>
          </w:p>
        </w:tc>
        <w:tc>
          <w:tcPr>
            <w:tcW w:w="1380" w:type="dxa"/>
          </w:tcPr>
          <w:p>
            <w:pPr>
              <w:pStyle w:val="TableParagraph"/>
              <w:spacing w:before="40"/>
              <w:ind w:left="244" w:right="325"/>
              <w:jc w:val="center"/>
              <w:rPr>
                <w:sz w:val="17"/>
              </w:rPr>
            </w:pPr>
            <w:r>
              <w:rPr>
                <w:sz w:val="17"/>
              </w:rPr>
              <w:t>916,86</w:t>
            </w:r>
          </w:p>
        </w:tc>
        <w:tc>
          <w:tcPr>
            <w:tcW w:w="1451" w:type="dxa"/>
          </w:tcPr>
          <w:p>
            <w:pPr>
              <w:pStyle w:val="TableParagraph"/>
              <w:spacing w:before="40"/>
              <w:ind w:right="119"/>
              <w:jc w:val="right"/>
              <w:rPr>
                <w:sz w:val="17"/>
              </w:rPr>
            </w:pPr>
            <w:r>
              <w:rPr>
                <w:sz w:val="17"/>
              </w:rPr>
              <w:t>5 282,86 Kč</w:t>
            </w:r>
          </w:p>
        </w:tc>
      </w:tr>
      <w:tr>
        <w:trPr>
          <w:trHeight w:val="221" w:hRule="exact"/>
        </w:trPr>
        <w:tc>
          <w:tcPr>
            <w:tcW w:w="4988" w:type="dxa"/>
          </w:tcPr>
          <w:p>
            <w:pPr/>
          </w:p>
        </w:tc>
        <w:tc>
          <w:tcPr>
            <w:tcW w:w="1926" w:type="dxa"/>
          </w:tcPr>
          <w:p>
            <w:pPr/>
          </w:p>
        </w:tc>
        <w:tc>
          <w:tcPr>
            <w:tcW w:w="1765" w:type="dxa"/>
          </w:tcPr>
          <w:p>
            <w:pPr>
              <w:pStyle w:val="TableParagraph"/>
              <w:spacing w:before="5"/>
              <w:ind w:left="717" w:right="158"/>
              <w:jc w:val="center"/>
              <w:rPr>
                <w:sz w:val="17"/>
              </w:rPr>
            </w:pPr>
            <w:r>
              <w:rPr>
                <w:sz w:val="17"/>
              </w:rPr>
              <w:t>provedené</w:t>
            </w:r>
          </w:p>
        </w:tc>
        <w:tc>
          <w:tcPr>
            <w:tcW w:w="527" w:type="dxa"/>
          </w:tcPr>
          <w:p>
            <w:pPr/>
          </w:p>
        </w:tc>
        <w:tc>
          <w:tcPr>
            <w:tcW w:w="1681" w:type="dxa"/>
          </w:tcPr>
          <w:p>
            <w:pPr/>
          </w:p>
        </w:tc>
        <w:tc>
          <w:tcPr>
            <w:tcW w:w="1380" w:type="dxa"/>
          </w:tcPr>
          <w:p>
            <w:pPr/>
          </w:p>
        </w:tc>
        <w:tc>
          <w:tcPr>
            <w:tcW w:w="1451" w:type="dxa"/>
          </w:tcPr>
          <w:p>
            <w:pPr/>
          </w:p>
        </w:tc>
      </w:tr>
      <w:tr>
        <w:trPr>
          <w:trHeight w:val="432" w:hRule="exact"/>
        </w:trPr>
        <w:tc>
          <w:tcPr>
            <w:tcW w:w="4988" w:type="dxa"/>
          </w:tcPr>
          <w:p>
            <w:pPr>
              <w:pStyle w:val="TableParagraph"/>
              <w:spacing w:before="15"/>
              <w:ind w:left="57"/>
              <w:rPr>
                <w:sz w:val="17"/>
              </w:rPr>
            </w:pPr>
            <w:r>
              <w:rPr>
                <w:sz w:val="17"/>
              </w:rPr>
              <w:t>3. Výměna  předních  pružin (2x pružina)</w:t>
            </w:r>
          </w:p>
        </w:tc>
        <w:tc>
          <w:tcPr>
            <w:tcW w:w="1926" w:type="dxa"/>
          </w:tcPr>
          <w:p>
            <w:pPr/>
          </w:p>
        </w:tc>
        <w:tc>
          <w:tcPr>
            <w:tcW w:w="1765" w:type="dxa"/>
          </w:tcPr>
          <w:p>
            <w:pPr>
              <w:pStyle w:val="TableParagraph"/>
              <w:spacing w:line="188" w:lineRule="exact" w:before="55"/>
              <w:ind w:left="756" w:firstLine="204"/>
              <w:rPr>
                <w:sz w:val="17"/>
              </w:rPr>
            </w:pPr>
            <w:r>
              <w:rPr>
                <w:sz w:val="17"/>
              </w:rPr>
              <w:t>práce provedené</w:t>
            </w:r>
          </w:p>
        </w:tc>
        <w:tc>
          <w:tcPr>
            <w:tcW w:w="527" w:type="dxa"/>
          </w:tcPr>
          <w:p>
            <w:pPr>
              <w:pStyle w:val="TableParagraph"/>
              <w:spacing w:before="34"/>
              <w:ind w:left="184"/>
              <w:rPr>
                <w:sz w:val="17"/>
              </w:rPr>
            </w:pPr>
            <w:r>
              <w:rPr>
                <w:w w:val="95"/>
                <w:sz w:val="17"/>
              </w:rPr>
              <w:t>1</w:t>
            </w:r>
          </w:p>
        </w:tc>
        <w:tc>
          <w:tcPr>
            <w:tcW w:w="1681" w:type="dxa"/>
          </w:tcPr>
          <w:p>
            <w:pPr>
              <w:pStyle w:val="TableParagraph"/>
              <w:ind w:left="281"/>
              <w:rPr>
                <w:sz w:val="17"/>
              </w:rPr>
            </w:pPr>
            <w:r>
              <w:rPr>
                <w:sz w:val="17"/>
              </w:rPr>
              <w:t>3 596,00 Kč</w:t>
            </w:r>
          </w:p>
        </w:tc>
        <w:tc>
          <w:tcPr>
            <w:tcW w:w="1380" w:type="dxa"/>
          </w:tcPr>
          <w:p>
            <w:pPr>
              <w:pStyle w:val="TableParagraph"/>
              <w:ind w:left="258" w:right="325"/>
              <w:jc w:val="center"/>
              <w:rPr>
                <w:sz w:val="17"/>
              </w:rPr>
            </w:pPr>
            <w:r>
              <w:rPr>
                <w:sz w:val="17"/>
              </w:rPr>
              <w:t>755,16</w:t>
            </w:r>
          </w:p>
        </w:tc>
        <w:tc>
          <w:tcPr>
            <w:tcW w:w="1451" w:type="dxa"/>
          </w:tcPr>
          <w:p>
            <w:pPr>
              <w:pStyle w:val="TableParagraph"/>
              <w:spacing w:before="55"/>
              <w:ind w:right="112"/>
              <w:jc w:val="right"/>
              <w:rPr>
                <w:sz w:val="17"/>
              </w:rPr>
            </w:pPr>
            <w:r>
              <w:rPr>
                <w:sz w:val="17"/>
              </w:rPr>
              <w:t>4 351,16 Kč</w:t>
            </w:r>
          </w:p>
        </w:tc>
      </w:tr>
      <w:tr>
        <w:trPr>
          <w:trHeight w:val="242" w:hRule="exact"/>
        </w:trPr>
        <w:tc>
          <w:tcPr>
            <w:tcW w:w="4988" w:type="dxa"/>
          </w:tcPr>
          <w:p>
            <w:pPr>
              <w:pStyle w:val="TableParagraph"/>
              <w:spacing w:line="193" w:lineRule="exact" w:before="0"/>
              <w:ind w:left="50"/>
              <w:rPr>
                <w:sz w:val="17"/>
              </w:rPr>
            </w:pPr>
            <w:r>
              <w:rPr>
                <w:sz w:val="17"/>
              </w:rPr>
              <w:t>4.  Výměna zadních  tlumičů (2x tlumič)</w:t>
            </w:r>
          </w:p>
        </w:tc>
        <w:tc>
          <w:tcPr>
            <w:tcW w:w="1926" w:type="dxa"/>
          </w:tcPr>
          <w:p>
            <w:pPr/>
          </w:p>
        </w:tc>
        <w:tc>
          <w:tcPr>
            <w:tcW w:w="1765" w:type="dxa"/>
          </w:tcPr>
          <w:p>
            <w:pPr>
              <w:pStyle w:val="TableParagraph"/>
              <w:spacing w:before="29"/>
              <w:ind w:left="723" w:right="123"/>
              <w:jc w:val="center"/>
              <w:rPr>
                <w:sz w:val="17"/>
              </w:rPr>
            </w:pPr>
            <w:r>
              <w:rPr>
                <w:sz w:val="17"/>
              </w:rPr>
              <w:t>práce</w:t>
            </w:r>
          </w:p>
        </w:tc>
        <w:tc>
          <w:tcPr>
            <w:tcW w:w="527" w:type="dxa"/>
          </w:tcPr>
          <w:p>
            <w:pPr>
              <w:pStyle w:val="TableParagraph"/>
              <w:spacing w:before="17"/>
              <w:ind w:left="184"/>
              <w:rPr>
                <w:sz w:val="17"/>
              </w:rPr>
            </w:pPr>
            <w:r>
              <w:rPr>
                <w:w w:val="95"/>
                <w:sz w:val="17"/>
              </w:rPr>
              <w:t>1</w:t>
            </w:r>
          </w:p>
        </w:tc>
        <w:tc>
          <w:tcPr>
            <w:tcW w:w="1681" w:type="dxa"/>
          </w:tcPr>
          <w:p>
            <w:pPr>
              <w:pStyle w:val="TableParagraph"/>
              <w:spacing w:before="29"/>
              <w:ind w:left="288"/>
              <w:rPr>
                <w:sz w:val="17"/>
              </w:rPr>
            </w:pPr>
            <w:r>
              <w:rPr>
                <w:sz w:val="17"/>
              </w:rPr>
              <w:t>3 622,00 Kč</w:t>
            </w:r>
          </w:p>
        </w:tc>
        <w:tc>
          <w:tcPr>
            <w:tcW w:w="1380" w:type="dxa"/>
          </w:tcPr>
          <w:p>
            <w:pPr>
              <w:pStyle w:val="TableParagraph"/>
              <w:spacing w:before="29"/>
              <w:ind w:left="268" w:right="325"/>
              <w:jc w:val="center"/>
              <w:rPr>
                <w:sz w:val="17"/>
              </w:rPr>
            </w:pPr>
            <w:r>
              <w:rPr>
                <w:sz w:val="17"/>
              </w:rPr>
              <w:t>760,62</w:t>
            </w:r>
          </w:p>
        </w:tc>
        <w:tc>
          <w:tcPr>
            <w:tcW w:w="1451" w:type="dxa"/>
          </w:tcPr>
          <w:p>
            <w:pPr>
              <w:pStyle w:val="TableParagraph"/>
              <w:spacing w:before="29"/>
              <w:ind w:right="107"/>
              <w:jc w:val="right"/>
              <w:rPr>
                <w:sz w:val="17"/>
              </w:rPr>
            </w:pPr>
            <w:r>
              <w:rPr>
                <w:sz w:val="17"/>
              </w:rPr>
              <w:t>4 382,62 Kč</w:t>
            </w:r>
          </w:p>
        </w:tc>
      </w:tr>
      <w:tr>
        <w:trPr>
          <w:trHeight w:val="228" w:hRule="exact"/>
        </w:trPr>
        <w:tc>
          <w:tcPr>
            <w:tcW w:w="4988" w:type="dxa"/>
          </w:tcPr>
          <w:p>
            <w:pPr/>
          </w:p>
        </w:tc>
        <w:tc>
          <w:tcPr>
            <w:tcW w:w="1926" w:type="dxa"/>
          </w:tcPr>
          <w:p>
            <w:pPr/>
          </w:p>
        </w:tc>
        <w:tc>
          <w:tcPr>
            <w:tcW w:w="1765" w:type="dxa"/>
          </w:tcPr>
          <w:p>
            <w:pPr>
              <w:pStyle w:val="TableParagraph"/>
              <w:spacing w:before="12"/>
              <w:ind w:left="723" w:right="149"/>
              <w:jc w:val="center"/>
              <w:rPr>
                <w:sz w:val="17"/>
              </w:rPr>
            </w:pPr>
            <w:r>
              <w:rPr>
                <w:sz w:val="17"/>
              </w:rPr>
              <w:t>provedené</w:t>
            </w:r>
          </w:p>
        </w:tc>
        <w:tc>
          <w:tcPr>
            <w:tcW w:w="527" w:type="dxa"/>
          </w:tcPr>
          <w:p>
            <w:pPr/>
          </w:p>
        </w:tc>
        <w:tc>
          <w:tcPr>
            <w:tcW w:w="1681" w:type="dxa"/>
          </w:tcPr>
          <w:p>
            <w:pPr/>
          </w:p>
        </w:tc>
        <w:tc>
          <w:tcPr>
            <w:tcW w:w="1380" w:type="dxa"/>
          </w:tcPr>
          <w:p>
            <w:pPr/>
          </w:p>
        </w:tc>
        <w:tc>
          <w:tcPr>
            <w:tcW w:w="1451" w:type="dxa"/>
          </w:tcPr>
          <w:p>
            <w:pPr/>
          </w:p>
        </w:tc>
      </w:tr>
      <w:tr>
        <w:trPr>
          <w:trHeight w:val="345" w:hRule="exact"/>
        </w:trPr>
        <w:tc>
          <w:tcPr>
            <w:tcW w:w="4988" w:type="dxa"/>
          </w:tcPr>
          <w:p>
            <w:pPr>
              <w:pStyle w:val="TableParagraph"/>
              <w:spacing w:before="15"/>
              <w:ind w:left="57"/>
              <w:rPr>
                <w:sz w:val="17"/>
              </w:rPr>
            </w:pPr>
            <w:r>
              <w:rPr>
                <w:sz w:val="17"/>
              </w:rPr>
              <w:t>5.  Výměna zadních  pružin (2x pružina)</w:t>
            </w:r>
          </w:p>
        </w:tc>
        <w:tc>
          <w:tcPr>
            <w:tcW w:w="1926" w:type="dxa"/>
          </w:tcPr>
          <w:p>
            <w:pPr/>
          </w:p>
        </w:tc>
        <w:tc>
          <w:tcPr>
            <w:tcW w:w="1765" w:type="dxa"/>
          </w:tcPr>
          <w:p>
            <w:pPr>
              <w:pStyle w:val="TableParagraph"/>
              <w:ind w:left="723" w:right="123"/>
              <w:jc w:val="center"/>
              <w:rPr>
                <w:sz w:val="17"/>
              </w:rPr>
            </w:pPr>
            <w:r>
              <w:rPr>
                <w:sz w:val="17"/>
              </w:rPr>
              <w:t>práce</w:t>
            </w:r>
          </w:p>
        </w:tc>
        <w:tc>
          <w:tcPr>
            <w:tcW w:w="527" w:type="dxa"/>
          </w:tcPr>
          <w:p>
            <w:pPr>
              <w:pStyle w:val="TableParagraph"/>
              <w:ind w:left="191"/>
              <w:rPr>
                <w:sz w:val="17"/>
              </w:rPr>
            </w:pPr>
            <w:r>
              <w:rPr>
                <w:w w:val="85"/>
                <w:sz w:val="17"/>
              </w:rPr>
              <w:t>1</w:t>
            </w:r>
          </w:p>
        </w:tc>
        <w:tc>
          <w:tcPr>
            <w:tcW w:w="1681" w:type="dxa"/>
          </w:tcPr>
          <w:p>
            <w:pPr>
              <w:pStyle w:val="TableParagraph"/>
              <w:ind w:left="288"/>
              <w:rPr>
                <w:sz w:val="17"/>
              </w:rPr>
            </w:pPr>
            <w:r>
              <w:rPr>
                <w:sz w:val="17"/>
              </w:rPr>
              <w:t>2 758,00 Kč</w:t>
            </w:r>
          </w:p>
        </w:tc>
        <w:tc>
          <w:tcPr>
            <w:tcW w:w="1380" w:type="dxa"/>
          </w:tcPr>
          <w:p>
            <w:pPr>
              <w:pStyle w:val="TableParagraph"/>
              <w:ind w:left="283" w:right="325"/>
              <w:jc w:val="center"/>
              <w:rPr>
                <w:sz w:val="17"/>
              </w:rPr>
            </w:pPr>
            <w:r>
              <w:rPr>
                <w:sz w:val="17"/>
              </w:rPr>
              <w:t>579,18</w:t>
            </w:r>
          </w:p>
        </w:tc>
        <w:tc>
          <w:tcPr>
            <w:tcW w:w="1451" w:type="dxa"/>
          </w:tcPr>
          <w:p>
            <w:pPr>
              <w:pStyle w:val="TableParagraph"/>
              <w:spacing w:before="55"/>
              <w:ind w:right="102"/>
              <w:jc w:val="right"/>
              <w:rPr>
                <w:sz w:val="17"/>
              </w:rPr>
            </w:pPr>
            <w:r>
              <w:rPr>
                <w:sz w:val="17"/>
              </w:rPr>
              <w:t>3 337,18 Kč</w:t>
            </w:r>
          </w:p>
        </w:tc>
      </w:tr>
      <w:tr>
        <w:trPr>
          <w:trHeight w:val="316" w:hRule="exact"/>
        </w:trPr>
        <w:tc>
          <w:tcPr>
            <w:tcW w:w="4988" w:type="dxa"/>
          </w:tcPr>
          <w:p>
            <w:pPr>
              <w:pStyle w:val="TableParagraph"/>
              <w:spacing w:before="89"/>
              <w:ind w:left="64"/>
              <w:rPr>
                <w:sz w:val="16"/>
              </w:rPr>
            </w:pPr>
            <w:r>
              <w:rPr>
                <w:w w:val="110"/>
                <w:sz w:val="16"/>
              </w:rPr>
              <w:t>Cena  celkem  - součet  položek 1.-5.</w:t>
            </w:r>
          </w:p>
        </w:tc>
        <w:tc>
          <w:tcPr>
            <w:tcW w:w="1926" w:type="dxa"/>
          </w:tcPr>
          <w:p>
            <w:pPr/>
          </w:p>
        </w:tc>
        <w:tc>
          <w:tcPr>
            <w:tcW w:w="1765" w:type="dxa"/>
          </w:tcPr>
          <w:p>
            <w:pPr/>
          </w:p>
        </w:tc>
        <w:tc>
          <w:tcPr>
            <w:tcW w:w="527" w:type="dxa"/>
          </w:tcPr>
          <w:p>
            <w:pPr/>
          </w:p>
        </w:tc>
        <w:tc>
          <w:tcPr>
            <w:tcW w:w="1681" w:type="dxa"/>
          </w:tcPr>
          <w:p>
            <w:pPr>
              <w:pStyle w:val="TableParagraph"/>
              <w:spacing w:before="111"/>
              <w:ind w:left="252"/>
              <w:rPr>
                <w:sz w:val="17"/>
              </w:rPr>
            </w:pPr>
            <w:r>
              <w:rPr>
                <w:w w:val="110"/>
                <w:sz w:val="17"/>
              </w:rPr>
              <w:t>17 791.00 Kč</w:t>
            </w:r>
          </w:p>
        </w:tc>
        <w:tc>
          <w:tcPr>
            <w:tcW w:w="1380" w:type="dxa"/>
          </w:tcPr>
          <w:p>
            <w:pPr>
              <w:pStyle w:val="TableParagraph"/>
              <w:spacing w:before="121"/>
              <w:ind w:left="337" w:right="325"/>
              <w:jc w:val="center"/>
              <w:rPr>
                <w:sz w:val="17"/>
              </w:rPr>
            </w:pPr>
            <w:r>
              <w:rPr>
                <w:w w:val="110"/>
                <w:sz w:val="17"/>
              </w:rPr>
              <w:t>3736,11</w:t>
            </w:r>
          </w:p>
        </w:tc>
        <w:tc>
          <w:tcPr>
            <w:tcW w:w="1451" w:type="dxa"/>
          </w:tcPr>
          <w:p>
            <w:pPr>
              <w:pStyle w:val="TableParagraph"/>
              <w:spacing w:before="121"/>
              <w:ind w:right="48"/>
              <w:jc w:val="right"/>
              <w:rPr>
                <w:sz w:val="17"/>
              </w:rPr>
            </w:pPr>
            <w:r>
              <w:rPr>
                <w:w w:val="110"/>
                <w:sz w:val="17"/>
              </w:rPr>
              <w:t>21 527,11 Kč</w:t>
            </w:r>
          </w:p>
        </w:tc>
      </w:tr>
    </w:tbl>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pPr>
    </w:p>
    <w:p>
      <w:pPr>
        <w:pStyle w:val="BodyText"/>
        <w:ind w:left="181"/>
      </w:pPr>
      <w:r>
        <w:rPr>
          <w:i/>
          <w:w w:val="110"/>
          <w:sz w:val="11"/>
        </w:rPr>
        <w:t>*) </w:t>
      </w:r>
      <w:r>
        <w:rPr>
          <w:w w:val="110"/>
        </w:rPr>
        <w:t>titul, jméno a příjmení podepisujícího, pozice, název zhotovitele</w:t>
      </w:r>
    </w:p>
    <w:p>
      <w:pPr>
        <w:pStyle w:val="BodyText"/>
        <w:rPr>
          <w:sz w:val="20"/>
        </w:rPr>
      </w:pPr>
    </w:p>
    <w:p>
      <w:pPr>
        <w:pStyle w:val="BodyText"/>
        <w:spacing w:before="6"/>
        <w:rPr>
          <w:sz w:val="24"/>
        </w:rPr>
      </w:pPr>
    </w:p>
    <w:p>
      <w:pPr>
        <w:spacing w:before="0"/>
        <w:ind w:left="3474" w:right="9766" w:firstLine="0"/>
        <w:jc w:val="center"/>
        <w:rPr>
          <w:sz w:val="17"/>
        </w:rPr>
      </w:pPr>
      <w:r>
        <w:rPr>
          <w:w w:val="140"/>
          <w:sz w:val="17"/>
        </w:rPr>
        <w:t>Pá</w:t>
      </w:r>
    </w:p>
    <w:p>
      <w:pPr>
        <w:pStyle w:val="BodyText"/>
        <w:tabs>
          <w:tab w:pos="3464" w:val="left" w:leader="none"/>
        </w:tabs>
        <w:spacing w:before="21"/>
        <w:ind w:left="195"/>
        <w:rPr>
          <w:b/>
          <w:sz w:val="34"/>
        </w:rPr>
      </w:pPr>
      <w:r>
        <w:rPr/>
        <w:t>*) Povinně</w:t>
      </w:r>
      <w:r>
        <w:rPr>
          <w:spacing w:val="30"/>
        </w:rPr>
        <w:t> </w:t>
      </w:r>
      <w:r>
        <w:rPr/>
        <w:t>doplněné</w:t>
      </w:r>
      <w:r>
        <w:rPr>
          <w:spacing w:val="17"/>
        </w:rPr>
        <w:t> </w:t>
      </w:r>
      <w:r>
        <w:rPr/>
        <w:t>údaje</w:t>
        <w:tab/>
      </w:r>
      <w:r>
        <w:rPr>
          <w:b/>
          <w:position w:val="-10"/>
          <w:sz w:val="34"/>
        </w:rPr>
        <w:t>ÚDR</w:t>
      </w:r>
    </w:p>
    <w:p>
      <w:pPr>
        <w:spacing w:before="208"/>
        <w:ind w:left="3474" w:right="9941" w:firstLine="0"/>
        <w:jc w:val="center"/>
        <w:rPr>
          <w:sz w:val="17"/>
        </w:rPr>
      </w:pPr>
      <w:r>
        <w:rPr>
          <w:w w:val="152"/>
          <w:sz w:val="17"/>
        </w:rPr>
        <w:t>í.</w:t>
      </w:r>
      <w:r>
        <w:rPr>
          <w:spacing w:val="-1"/>
          <w:w w:val="66"/>
          <w:sz w:val="17"/>
        </w:rPr>
        <w:t>760990</w:t>
      </w:r>
    </w:p>
    <w:sectPr>
      <w:type w:val="continuous"/>
      <w:pgSz w:w="16850" w:h="11920" w:orient="landscape"/>
      <w:pgMar w:top="1600" w:bottom="280" w:left="740" w:right="214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EE"/>
    <w:family w:val="roman"/>
    <w:pitch w:val="variable"/>
  </w:font>
  <w:font w:name="Arial">
    <w:altName w:val="Arial"/>
    <w:charset w:val="EE"/>
    <w:family w:val="swiss"/>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multiLevelType w:val="hybridMultilevel"/>
    <w:lvl w:ilvl="0">
      <w:start w:val="1"/>
      <w:numFmt w:val="decimal"/>
      <w:lvlText w:val="%1."/>
      <w:lvlJc w:val="left"/>
      <w:pPr>
        <w:ind w:left="1210" w:hanging="291"/>
        <w:jc w:val="left"/>
      </w:pPr>
      <w:rPr>
        <w:rFonts w:hint="default" w:ascii="Arial" w:hAnsi="Arial" w:eastAsia="Arial" w:cs="Arial"/>
        <w:spacing w:val="-1"/>
        <w:w w:val="102"/>
        <w:sz w:val="19"/>
        <w:szCs w:val="19"/>
      </w:rPr>
    </w:lvl>
    <w:lvl w:ilvl="1">
      <w:start w:val="0"/>
      <w:numFmt w:val="bullet"/>
      <w:lvlText w:val="•"/>
      <w:lvlJc w:val="left"/>
      <w:pPr>
        <w:ind w:left="2109" w:hanging="291"/>
      </w:pPr>
      <w:rPr>
        <w:rFonts w:hint="default"/>
      </w:rPr>
    </w:lvl>
    <w:lvl w:ilvl="2">
      <w:start w:val="0"/>
      <w:numFmt w:val="bullet"/>
      <w:lvlText w:val="•"/>
      <w:lvlJc w:val="left"/>
      <w:pPr>
        <w:ind w:left="2998" w:hanging="291"/>
      </w:pPr>
      <w:rPr>
        <w:rFonts w:hint="default"/>
      </w:rPr>
    </w:lvl>
    <w:lvl w:ilvl="3">
      <w:start w:val="0"/>
      <w:numFmt w:val="bullet"/>
      <w:lvlText w:val="•"/>
      <w:lvlJc w:val="left"/>
      <w:pPr>
        <w:ind w:left="3887" w:hanging="291"/>
      </w:pPr>
      <w:rPr>
        <w:rFonts w:hint="default"/>
      </w:rPr>
    </w:lvl>
    <w:lvl w:ilvl="4">
      <w:start w:val="0"/>
      <w:numFmt w:val="bullet"/>
      <w:lvlText w:val="•"/>
      <w:lvlJc w:val="left"/>
      <w:pPr>
        <w:ind w:left="4776" w:hanging="291"/>
      </w:pPr>
      <w:rPr>
        <w:rFonts w:hint="default"/>
      </w:rPr>
    </w:lvl>
    <w:lvl w:ilvl="5">
      <w:start w:val="0"/>
      <w:numFmt w:val="bullet"/>
      <w:lvlText w:val="•"/>
      <w:lvlJc w:val="left"/>
      <w:pPr>
        <w:ind w:left="5665" w:hanging="291"/>
      </w:pPr>
      <w:rPr>
        <w:rFonts w:hint="default"/>
      </w:rPr>
    </w:lvl>
    <w:lvl w:ilvl="6">
      <w:start w:val="0"/>
      <w:numFmt w:val="bullet"/>
      <w:lvlText w:val="•"/>
      <w:lvlJc w:val="left"/>
      <w:pPr>
        <w:ind w:left="6554" w:hanging="291"/>
      </w:pPr>
      <w:rPr>
        <w:rFonts w:hint="default"/>
      </w:rPr>
    </w:lvl>
    <w:lvl w:ilvl="7">
      <w:start w:val="0"/>
      <w:numFmt w:val="bullet"/>
      <w:lvlText w:val="•"/>
      <w:lvlJc w:val="left"/>
      <w:pPr>
        <w:ind w:left="7443" w:hanging="291"/>
      </w:pPr>
      <w:rPr>
        <w:rFonts w:hint="default"/>
      </w:rPr>
    </w:lvl>
    <w:lvl w:ilvl="8">
      <w:start w:val="0"/>
      <w:numFmt w:val="bullet"/>
      <w:lvlText w:val="•"/>
      <w:lvlJc w:val="left"/>
      <w:pPr>
        <w:ind w:left="8332" w:hanging="291"/>
      </w:pPr>
      <w:rPr>
        <w:rFont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rPr>
  </w:style>
  <w:style w:styleId="BodyText" w:type="paragraph">
    <w:name w:val="Body Text"/>
    <w:basedOn w:val="Normal"/>
    <w:uiPriority w:val="1"/>
    <w:qFormat/>
    <w:pPr/>
    <w:rPr>
      <w:rFonts w:ascii="Arial" w:hAnsi="Arial" w:eastAsia="Arial" w:cs="Arial"/>
      <w:sz w:val="19"/>
      <w:szCs w:val="19"/>
    </w:rPr>
  </w:style>
  <w:style w:styleId="Heading1" w:type="paragraph">
    <w:name w:val="Heading 1"/>
    <w:basedOn w:val="Normal"/>
    <w:uiPriority w:val="1"/>
    <w:qFormat/>
    <w:pPr>
      <w:ind w:left="5052"/>
      <w:outlineLvl w:val="1"/>
    </w:pPr>
    <w:rPr>
      <w:rFonts w:ascii="Arial" w:hAnsi="Arial" w:eastAsia="Arial" w:cs="Arial"/>
      <w:b/>
      <w:bCs/>
      <w:sz w:val="22"/>
      <w:szCs w:val="22"/>
    </w:rPr>
  </w:style>
  <w:style w:styleId="Heading2" w:type="paragraph">
    <w:name w:val="Heading 2"/>
    <w:basedOn w:val="Normal"/>
    <w:uiPriority w:val="1"/>
    <w:qFormat/>
    <w:pPr>
      <w:ind w:left="1476"/>
      <w:outlineLvl w:val="2"/>
    </w:pPr>
    <w:rPr>
      <w:rFonts w:ascii="Arial" w:hAnsi="Arial" w:eastAsia="Arial" w:cs="Arial"/>
      <w:sz w:val="21"/>
      <w:szCs w:val="21"/>
    </w:rPr>
  </w:style>
  <w:style w:styleId="ListParagraph" w:type="paragraph">
    <w:name w:val="List Paragraph"/>
    <w:basedOn w:val="Normal"/>
    <w:uiPriority w:val="1"/>
    <w:qFormat/>
    <w:pPr>
      <w:spacing w:before="116"/>
      <w:ind w:left="1210" w:right="114" w:hanging="353"/>
      <w:jc w:val="both"/>
    </w:pPr>
    <w:rPr>
      <w:rFonts w:ascii="Arial" w:hAnsi="Arial" w:eastAsia="Arial" w:cs="Arial"/>
    </w:rPr>
  </w:style>
  <w:style w:styleId="TableParagraph" w:type="paragraph">
    <w:name w:val="Table Paragraph"/>
    <w:basedOn w:val="Normal"/>
    <w:uiPriority w:val="1"/>
    <w:qFormat/>
    <w:pPr>
      <w:spacing w:before="46"/>
    </w:pPr>
    <w:rPr>
      <w:rFonts w:ascii="Arial" w:hAnsi="Arial" w:eastAsia="Arial" w:cs="Arial"/>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jpeg"/><Relationship Id="rId9" Type="http://schemas.openxmlformats.org/officeDocument/2006/relationships/image" Target="media/image5.jpeg"/><Relationship Id="rId10" Type="http://schemas.openxmlformats.org/officeDocument/2006/relationships/image" Target="media/image6.jpeg"/><Relationship Id="rId11" Type="http://schemas.openxmlformats.org/officeDocument/2006/relationships/image" Target="media/image7.jpeg"/><Relationship Id="rId12" Type="http://schemas.openxmlformats.org/officeDocument/2006/relationships/image" Target="media/image8.png"/><Relationship Id="rId13" Type="http://schemas.openxmlformats.org/officeDocument/2006/relationships/image" Target="media/image9.jpeg"/><Relationship Id="rId14" Type="http://schemas.openxmlformats.org/officeDocument/2006/relationships/image" Target="media/image10.jpeg"/><Relationship Id="rId15" Type="http://schemas.openxmlformats.org/officeDocument/2006/relationships/image" Target="media/image11.png"/><Relationship Id="rId16"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2024-01-09T11:25:48Z</dcterms:created>
  <dcterms:modified xsi:type="dcterms:W3CDTF">2024-01-09T11:25:48Z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2024-01-09T00:00:00Z</vt:filetime>
  </property>
  <property fmtid="{D5CDD505-2E9C-101B-9397-08002B2CF9AE}" pid="3" name="Creator">
    <vt:lpwstr>Acrobat PDFMaker 15 pro Word</vt:lpwstr>
  </property>
  <property fmtid="{D5CDD505-2E9C-101B-9397-08002B2CF9AE}" pid="4" name="LastSaved">
    <vt:filetime>2024-01-09T00:00:00Z</vt:filetime>
  </property>
</Properties>
</file>