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5211200174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/>
        <w:t>Staré</w:t>
      </w:r>
      <w:r>
        <w:rPr>
          <w:spacing w:val="-7"/>
        </w:rPr>
        <w:t> </w:t>
      </w:r>
      <w:r>
        <w:rPr>
          <w:spacing w:val="-2"/>
        </w:rPr>
        <w:t>Heřminovy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58"/>
        <w:jc w:val="left"/>
      </w:pPr>
      <w:r>
        <w:rPr/>
        <w:t>kontaktní adresa:</w:t>
        <w:tab/>
        <w:t>OÚ</w:t>
      </w:r>
      <w:r>
        <w:rPr>
          <w:spacing w:val="-5"/>
        </w:rPr>
        <w:t> </w:t>
      </w:r>
      <w:r>
        <w:rPr/>
        <w:t>Staré</w:t>
      </w:r>
      <w:r>
        <w:rPr>
          <w:spacing w:val="-6"/>
        </w:rPr>
        <w:t> </w:t>
      </w:r>
      <w:r>
        <w:rPr/>
        <w:t>Heřminovy,</w:t>
      </w:r>
      <w:r>
        <w:rPr>
          <w:spacing w:val="-4"/>
        </w:rPr>
        <w:t> </w:t>
      </w:r>
      <w:r>
        <w:rPr/>
        <w:t>Staré</w:t>
      </w:r>
      <w:r>
        <w:rPr>
          <w:spacing w:val="-5"/>
        </w:rPr>
        <w:t> </w:t>
      </w:r>
      <w:r>
        <w:rPr/>
        <w:t>Heřminovy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129,</w:t>
      </w:r>
      <w:r>
        <w:rPr>
          <w:spacing w:val="-5"/>
        </w:rPr>
        <w:t> </w:t>
      </w:r>
      <w:r>
        <w:rPr/>
        <w:t>793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Horní</w:t>
      </w:r>
      <w:r>
        <w:rPr>
          <w:spacing w:val="-4"/>
        </w:rPr>
        <w:t> </w:t>
      </w:r>
      <w:r>
        <w:rPr/>
        <w:t>Benešov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00576077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Danielou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859"/>
        <w:jc w:val="left"/>
      </w:pPr>
      <w:r>
        <w:rPr/>
        <w:t>číslo účtu:</w:t>
        <w:tab/>
      </w:r>
      <w:r>
        <w:rPr>
          <w:spacing w:val="-2"/>
        </w:rPr>
        <w:t>2006-5211771/0710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9"/>
      </w:pPr>
      <w:r>
        <w:rPr/>
        <w:t>„Smlouva“) se uzavírá na základě Rozhodnutí ministra životního prostředí č. 5211200174 o poskytnutí 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3"/>
        </w:rPr>
        <w:t> </w:t>
      </w:r>
      <w:r>
        <w:rPr/>
        <w:t>fondu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4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-13"/>
        </w:rPr>
        <w:t> </w:t>
      </w:r>
      <w:r>
        <w:rPr/>
        <w:t>16.</w:t>
      </w:r>
      <w:r>
        <w:rPr>
          <w:spacing w:val="-14"/>
        </w:rPr>
        <w:t> </w:t>
      </w:r>
      <w:r>
        <w:rPr/>
        <w:t>9.</w:t>
      </w:r>
      <w:r>
        <w:rPr>
          <w:spacing w:val="-7"/>
        </w:rPr>
        <w:t> </w:t>
      </w:r>
      <w:r>
        <w:rPr/>
        <w:t>2022,</w:t>
      </w:r>
      <w:r>
        <w:rPr>
          <w:spacing w:val="-13"/>
        </w:rPr>
        <w:t> </w:t>
      </w:r>
      <w:r>
        <w:rPr/>
        <w:t>změny</w:t>
      </w:r>
      <w:r>
        <w:rPr>
          <w:spacing w:val="-14"/>
        </w:rPr>
        <w:t> </w:t>
      </w:r>
      <w:r>
        <w:rPr/>
        <w:t>č.</w:t>
      </w:r>
      <w:r>
        <w:rPr>
          <w:spacing w:val="-14"/>
        </w:rPr>
        <w:t> </w:t>
      </w:r>
      <w:r>
        <w:rPr/>
        <w:t>1</w:t>
      </w:r>
      <w:r>
        <w:rPr>
          <w:spacing w:val="-13"/>
        </w:rPr>
        <w:t> </w:t>
      </w:r>
      <w:r>
        <w:rPr/>
        <w:t>Rozhodnutí ministra životního prostředí č. 5211200174 o poskytnutí finančních prostředků ze Státního fondu životního prostředí ČR ze dne 2.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2023 a Směrnice Ministerstva životního prostředí č. 4/2015 o poskytování</w:t>
      </w:r>
      <w:r>
        <w:rPr>
          <w:spacing w:val="-14"/>
        </w:rPr>
        <w:t> </w:t>
      </w:r>
      <w:r>
        <w:rPr/>
        <w:t>finančních</w:t>
      </w:r>
      <w:r>
        <w:rPr>
          <w:spacing w:val="-14"/>
        </w:rPr>
        <w:t> </w:t>
      </w:r>
      <w:r>
        <w:rPr/>
        <w:t>prostředků</w:t>
      </w:r>
      <w:r>
        <w:rPr>
          <w:spacing w:val="-14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4"/>
        </w:rPr>
        <w:t> </w:t>
      </w:r>
      <w:r>
        <w:rPr/>
        <w:t>fondu</w:t>
      </w:r>
      <w:r>
        <w:rPr>
          <w:spacing w:val="-14"/>
        </w:rPr>
        <w:t> </w:t>
      </w:r>
      <w:r>
        <w:rPr/>
        <w:t>životního</w:t>
      </w:r>
      <w:r>
        <w:rPr>
          <w:spacing w:val="-13"/>
        </w:rPr>
        <w:t> </w:t>
      </w:r>
      <w:r>
        <w:rPr/>
        <w:t>prostředí</w:t>
      </w:r>
      <w:r>
        <w:rPr>
          <w:spacing w:val="-14"/>
        </w:rPr>
        <w:t> </w:t>
      </w:r>
      <w:r>
        <w:rPr/>
        <w:t>České</w:t>
      </w:r>
      <w:r>
        <w:rPr>
          <w:spacing w:val="-14"/>
        </w:rPr>
        <w:t> </w:t>
      </w:r>
      <w:r>
        <w:rPr/>
        <w:t>republiky</w:t>
      </w:r>
      <w:r>
        <w:rPr>
          <w:spacing w:val="-13"/>
        </w:rPr>
        <w:t> </w:t>
      </w:r>
      <w:r>
        <w:rPr/>
        <w:t>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172"/>
        <w:jc w:val="left"/>
      </w:pPr>
      <w:r>
        <w:rPr/>
        <w:t>„Energetické</w:t>
      </w:r>
      <w:r>
        <w:rPr>
          <w:spacing w:val="-8"/>
        </w:rPr>
        <w:t> </w:t>
      </w:r>
      <w:r>
        <w:rPr/>
        <w:t>úspory</w:t>
      </w:r>
      <w:r>
        <w:rPr>
          <w:spacing w:val="-4"/>
        </w:rPr>
        <w:t> </w:t>
      </w:r>
      <w:r>
        <w:rPr/>
        <w:t>na</w:t>
      </w:r>
      <w:r>
        <w:rPr>
          <w:spacing w:val="-8"/>
        </w:rPr>
        <w:t> </w:t>
      </w:r>
      <w:r>
        <w:rPr/>
        <w:t>objektu</w:t>
      </w:r>
      <w:r>
        <w:rPr>
          <w:spacing w:val="-5"/>
        </w:rPr>
        <w:t> </w:t>
      </w:r>
      <w:r>
        <w:rPr/>
        <w:t>bývalé</w:t>
      </w:r>
      <w:r>
        <w:rPr>
          <w:spacing w:val="-8"/>
        </w:rPr>
        <w:t> </w:t>
      </w:r>
      <w:r>
        <w:rPr/>
        <w:t>základní</w:t>
      </w:r>
      <w:r>
        <w:rPr>
          <w:spacing w:val="-6"/>
        </w:rPr>
        <w:t> </w:t>
      </w:r>
      <w:r>
        <w:rPr/>
        <w:t>školy</w:t>
      </w:r>
      <w:r>
        <w:rPr>
          <w:spacing w:val="-6"/>
        </w:rPr>
        <w:t> </w:t>
      </w:r>
      <w:r>
        <w:rPr/>
        <w:t>č.</w:t>
      </w:r>
      <w:r>
        <w:rPr>
          <w:spacing w:val="-2"/>
        </w:rPr>
        <w:t> </w:t>
      </w:r>
      <w:r>
        <w:rPr/>
        <w:t>p.</w:t>
      </w:r>
      <w:r>
        <w:rPr>
          <w:spacing w:val="-8"/>
        </w:rPr>
        <w:t> </w:t>
      </w:r>
      <w:r>
        <w:rPr>
          <w:spacing w:val="-5"/>
        </w:rPr>
        <w:t>85“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228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520,75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tři miliony dvě stě dvacet osm tisíc pět set dvacet korun českých a sedmdesát pět 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4 966 955,00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61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6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4895"/>
      </w:tblGrid>
      <w:tr>
        <w:trPr>
          <w:trHeight w:val="506" w:hRule="atLeast"/>
        </w:trPr>
        <w:tc>
          <w:tcPr>
            <w:tcW w:w="4503" w:type="dxa"/>
          </w:tcPr>
          <w:p>
            <w:pPr>
              <w:pStyle w:val="TableParagraph"/>
              <w:spacing w:before="120"/>
              <w:ind w:left="1982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95" w:type="dxa"/>
          </w:tcPr>
          <w:p>
            <w:pPr>
              <w:pStyle w:val="TableParagraph"/>
              <w:spacing w:before="120"/>
              <w:ind w:left="1867" w:right="186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03" w:type="dxa"/>
          </w:tcPr>
          <w:p>
            <w:pPr>
              <w:pStyle w:val="TableParagraph"/>
              <w:spacing w:before="120"/>
              <w:ind w:left="203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95" w:type="dxa"/>
          </w:tcPr>
          <w:p>
            <w:pPr>
              <w:pStyle w:val="TableParagraph"/>
              <w:spacing w:before="120"/>
              <w:ind w:left="1869" w:right="18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173,53</w:t>
            </w:r>
          </w:p>
        </w:tc>
      </w:tr>
      <w:tr>
        <w:trPr>
          <w:trHeight w:val="506" w:hRule="atLeast"/>
        </w:trPr>
        <w:tc>
          <w:tcPr>
            <w:tcW w:w="4503" w:type="dxa"/>
          </w:tcPr>
          <w:p>
            <w:pPr>
              <w:pStyle w:val="TableParagraph"/>
              <w:spacing w:before="120"/>
              <w:ind w:left="203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95" w:type="dxa"/>
          </w:tcPr>
          <w:p>
            <w:pPr>
              <w:pStyle w:val="TableParagraph"/>
              <w:spacing w:before="120"/>
              <w:ind w:left="1869" w:right="18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173,53</w:t>
            </w:r>
          </w:p>
        </w:tc>
      </w:tr>
      <w:tr>
        <w:trPr>
          <w:trHeight w:val="506" w:hRule="atLeast"/>
        </w:trPr>
        <w:tc>
          <w:tcPr>
            <w:tcW w:w="4503" w:type="dxa"/>
          </w:tcPr>
          <w:p>
            <w:pPr>
              <w:pStyle w:val="TableParagraph"/>
              <w:spacing w:before="120"/>
              <w:ind w:left="2032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95" w:type="dxa"/>
          </w:tcPr>
          <w:p>
            <w:pPr>
              <w:pStyle w:val="TableParagraph"/>
              <w:spacing w:before="120"/>
              <w:ind w:left="1869" w:right="18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173,69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20"/>
          <w:sz w:val="20"/>
        </w:rPr>
        <w:t> </w:t>
      </w:r>
      <w:r>
        <w:rPr>
          <w:sz w:val="20"/>
        </w:rPr>
        <w:t>informačního</w:t>
      </w:r>
      <w:r>
        <w:rPr>
          <w:spacing w:val="20"/>
          <w:sz w:val="20"/>
        </w:rPr>
        <w:t> </w:t>
      </w:r>
      <w:r>
        <w:rPr>
          <w:sz w:val="20"/>
        </w:rPr>
        <w:t>systému</w:t>
      </w:r>
      <w:r>
        <w:rPr>
          <w:spacing w:val="19"/>
          <w:sz w:val="20"/>
        </w:rPr>
        <w:t> </w:t>
      </w:r>
      <w:r>
        <w:rPr>
          <w:sz w:val="20"/>
        </w:rPr>
        <w:t>Státního</w:t>
      </w:r>
      <w:r>
        <w:rPr>
          <w:spacing w:val="19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životního</w:t>
      </w:r>
      <w:r>
        <w:rPr>
          <w:spacing w:val="19"/>
          <w:sz w:val="20"/>
        </w:rPr>
        <w:t> </w:t>
      </w:r>
      <w:r>
        <w:rPr>
          <w:sz w:val="20"/>
        </w:rPr>
        <w:t>prostředí</w:t>
      </w:r>
      <w:r>
        <w:rPr>
          <w:spacing w:val="19"/>
          <w:sz w:val="20"/>
        </w:rPr>
        <w:t> </w:t>
      </w:r>
      <w:r>
        <w:rPr>
          <w:sz w:val="20"/>
        </w:rPr>
        <w:t>České</w:t>
      </w:r>
      <w:r>
        <w:rPr>
          <w:spacing w:val="18"/>
          <w:sz w:val="20"/>
        </w:rPr>
        <w:t> </w:t>
      </w:r>
      <w:r>
        <w:rPr>
          <w:sz w:val="20"/>
        </w:rPr>
        <w:t>republiky</w:t>
      </w:r>
      <w:r>
        <w:rPr>
          <w:spacing w:val="18"/>
          <w:sz w:val="20"/>
        </w:rPr>
        <w:t> </w:t>
      </w:r>
      <w:r>
        <w:rPr>
          <w:sz w:val="20"/>
        </w:rPr>
        <w:t>(dále</w:t>
      </w:r>
      <w:r>
        <w:rPr>
          <w:spacing w:val="18"/>
          <w:sz w:val="20"/>
        </w:rPr>
        <w:t> </w:t>
      </w:r>
      <w:r>
        <w:rPr>
          <w:sz w:val="20"/>
        </w:rPr>
        <w:t>jen</w:t>
      </w:r>
      <w:r>
        <w:rPr>
          <w:spacing w:val="19"/>
          <w:sz w:val="20"/>
        </w:rPr>
        <w:t> </w:t>
      </w:r>
      <w:r>
        <w:rPr>
          <w:sz w:val="20"/>
        </w:rPr>
        <w:t>„AIS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  <w:ind w:right="116"/>
      </w:pPr>
      <w:r>
        <w:rPr/>
        <w:t>SFŽP ČR“) s</w:t>
      </w:r>
      <w:r>
        <w:rPr>
          <w:spacing w:val="-3"/>
        </w:rPr>
        <w:t> </w:t>
      </w:r>
      <w:r>
        <w:rPr/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25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2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7" w:hanging="281"/>
        <w:jc w:val="both"/>
        <w:rPr>
          <w:sz w:val="20"/>
        </w:rPr>
      </w:pPr>
      <w:r>
        <w:rPr>
          <w:sz w:val="20"/>
        </w:rPr>
        <w:t>dojde ke snížení energetické náročnosti budovy kulturního domu v obci Staré Heřminovy, kde budou realizována opatření tj. zateplení obálky budovy, výměna zdroje pro vytápění, výměna osvětlení, instalace prvků zabraňujících přehřívání objektu z jižní a západní strany, zavedení energetického managementu,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4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 jen „ZVA“) budou realizací projektu splněny tyto indikátory:</w:t>
      </w:r>
    </w:p>
    <w:p>
      <w:pPr>
        <w:pStyle w:val="BodyText"/>
        <w:spacing w:before="12"/>
        <w:ind w:left="0"/>
        <w:jc w:val="left"/>
        <w:rPr>
          <w:sz w:val="8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1678"/>
        <w:gridCol w:w="1880"/>
        <w:gridCol w:w="1750"/>
      </w:tblGrid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spacing w:line="266" w:lineRule="exact"/>
              <w:ind w:left="388" w:right="3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</w:t>
            </w:r>
            <w:r>
              <w:rPr>
                <w:spacing w:val="-4"/>
                <w:sz w:val="20"/>
              </w:rPr>
              <w:t>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0.014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187.16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106.31</w:t>
            </w:r>
          </w:p>
        </w:tc>
      </w:tr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1887.13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378.33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1995.68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983.66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371.16</w:t>
            </w:r>
          </w:p>
        </w:tc>
      </w:tr>
    </w:tbl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0" w:after="0"/>
        <w:ind w:left="106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0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3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termín dokončení akce do konce 12/2025 a o dodržení tohoto termínu Fond bez zbytečného odkladu</w:t>
      </w:r>
      <w:r>
        <w:rPr>
          <w:spacing w:val="-13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územním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4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03/2026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1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4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5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7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7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7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7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6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 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spacing w:before="73"/>
        <w:ind w:left="3419"/>
      </w:pPr>
      <w:r>
        <w:rPr>
          <w:spacing w:val="-4"/>
        </w:rPr>
        <w:t>VII.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25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25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25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25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90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2024-01-08T09:01:57Z</dcterms:created>
  <dcterms:modified xsi:type="dcterms:W3CDTF">2024-01-08T09:01:57Z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