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SMLOUVA O PROVEDENÍ AUDITU - č. 2324105</w:t>
      </w:r>
    </w:p>
    <w:p>
      <w:pPr>
        <w:pStyle w:val="Style6"/>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v souladu se zákonem č. 89/2012 Sb., občanský zákoník, zákonem č. 563/1991 Sb., o účetnictví</w:t>
        <w:br/>
        <w:t>a zákonem č. 93/2009 Sb., o auditorech.</w:t>
      </w:r>
    </w:p>
    <w:tbl>
      <w:tblPr>
        <w:tblOverlap w:val="never"/>
        <w:jc w:val="center"/>
        <w:tblLayout w:type="fixed"/>
      </w:tblPr>
      <w:tblGrid>
        <w:gridCol w:w="2246"/>
        <w:gridCol w:w="6480"/>
      </w:tblGrid>
      <w:tr>
        <w:trPr>
          <w:trHeight w:val="3806" w:hRule="exact"/>
        </w:trPr>
        <w:tc>
          <w:tcPr>
            <w:tcBorders/>
            <w:shd w:val="clear" w:color="auto" w:fill="auto"/>
            <w:vAlign w:val="top"/>
          </w:tcPr>
          <w:p>
            <w:pPr>
              <w:pStyle w:val="Style8"/>
              <w:keepNext w:val="0"/>
              <w:keepLines w:val="0"/>
              <w:widowControl w:val="0"/>
              <w:shd w:val="clear" w:color="auto" w:fill="auto"/>
              <w:bidi w:val="0"/>
              <w:spacing w:before="460" w:after="0" w:line="240" w:lineRule="auto"/>
              <w:ind w:left="0" w:right="0" w:firstLine="0"/>
              <w:jc w:val="left"/>
            </w:pPr>
            <w:r>
              <w:rPr>
                <w:b/>
                <w:bCs/>
                <w:color w:val="000000"/>
                <w:spacing w:val="0"/>
                <w:w w:val="100"/>
                <w:position w:val="0"/>
                <w:shd w:val="clear" w:color="auto" w:fill="auto"/>
                <w:lang w:val="cs-CZ" w:eastAsia="cs-CZ" w:bidi="cs-CZ"/>
              </w:rPr>
              <w:t>Účetní jednotka:</w:t>
            </w:r>
          </w:p>
        </w:tc>
        <w:tc>
          <w:tcPr>
            <w:tcBorders/>
            <w:shd w:val="clear" w:color="auto" w:fill="auto"/>
            <w:vAlign w:val="top"/>
          </w:tcPr>
          <w:p>
            <w:pPr>
              <w:pStyle w:val="Style8"/>
              <w:keepNext w:val="0"/>
              <w:keepLines w:val="0"/>
              <w:widowControl w:val="0"/>
              <w:shd w:val="clear" w:color="auto" w:fill="auto"/>
              <w:bidi w:val="0"/>
              <w:spacing w:before="0" w:line="240" w:lineRule="auto"/>
              <w:ind w:left="1160" w:right="0" w:firstLine="0"/>
              <w:jc w:val="left"/>
              <w:rPr>
                <w:sz w:val="24"/>
                <w:szCs w:val="24"/>
              </w:rPr>
            </w:pPr>
            <w:r>
              <w:rPr>
                <w:b/>
                <w:bCs/>
                <w:color w:val="000000"/>
                <w:spacing w:val="0"/>
                <w:w w:val="100"/>
                <w:position w:val="0"/>
                <w:sz w:val="24"/>
                <w:szCs w:val="24"/>
                <w:shd w:val="clear" w:color="auto" w:fill="auto"/>
                <w:lang w:val="cs-CZ" w:eastAsia="cs-CZ" w:bidi="cs-CZ"/>
              </w:rPr>
              <w:t>I. Smluvní strany</w:t>
            </w:r>
          </w:p>
          <w:p>
            <w:pPr>
              <w:pStyle w:val="Style8"/>
              <w:keepNext w:val="0"/>
              <w:keepLines w:val="0"/>
              <w:widowControl w:val="0"/>
              <w:shd w:val="clear" w:color="auto" w:fill="auto"/>
              <w:bidi w:val="0"/>
              <w:spacing w:before="0" w:after="0" w:line="240" w:lineRule="auto"/>
              <w:ind w:left="0" w:right="0" w:firstLine="600"/>
              <w:jc w:val="left"/>
            </w:pPr>
            <w:r>
              <w:rPr>
                <w:b/>
                <w:bCs/>
                <w:color w:val="000000"/>
                <w:spacing w:val="0"/>
                <w:w w:val="100"/>
                <w:position w:val="0"/>
                <w:shd w:val="clear" w:color="auto" w:fill="auto"/>
                <w:lang w:val="cs-CZ" w:eastAsia="cs-CZ" w:bidi="cs-CZ"/>
              </w:rPr>
              <w:t>Mělnické kulturní centrum, z.ú.</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spisová značka U 1069 vedená u MS v Praze</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se sídlem Mělník, U Sadů 323, PSČ 276 01</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IČ 242 10 137</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kterou zastupuje Ing. Radka Kareisová - ředitelka</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e-mail: xxxxxxxxxxxxx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telefonní kontakt: 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odpovědná osoba: 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e-mail: xxxxxxxxxxxxxx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telefonní kontakt: 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(dále jen „klient“ či „účetní jednotka“</w:t>
            </w:r>
            <w:r>
              <w:rPr>
                <w:b/>
                <w:bCs/>
                <w:color w:val="000000"/>
                <w:spacing w:val="0"/>
                <w:w w:val="100"/>
                <w:position w:val="0"/>
                <w:shd w:val="clear" w:color="auto" w:fill="auto"/>
                <w:lang w:val="cs-CZ" w:eastAsia="cs-CZ" w:bidi="cs-CZ"/>
              </w:rPr>
              <w:t>)</w:t>
            </w:r>
          </w:p>
        </w:tc>
      </w:tr>
      <w:tr>
        <w:trPr>
          <w:trHeight w:val="4056" w:hRule="exact"/>
        </w:trPr>
        <w:tc>
          <w:tcPr>
            <w:tcBorders/>
            <w:shd w:val="clear" w:color="auto" w:fill="auto"/>
            <w:vAlign w:val="top"/>
          </w:tcPr>
          <w:p>
            <w:pPr>
              <w:pStyle w:val="Style8"/>
              <w:keepNext w:val="0"/>
              <w:keepLines w:val="0"/>
              <w:widowControl w:val="0"/>
              <w:shd w:val="clear" w:color="auto" w:fill="auto"/>
              <w:bidi w:val="0"/>
              <w:spacing w:before="440" w:after="0" w:line="240" w:lineRule="auto"/>
              <w:ind w:left="0" w:right="0" w:firstLine="0"/>
              <w:jc w:val="left"/>
            </w:pPr>
            <w:r>
              <w:rPr>
                <w:b/>
                <w:bCs/>
                <w:color w:val="000000"/>
                <w:spacing w:val="0"/>
                <w:w w:val="100"/>
                <w:position w:val="0"/>
                <w:shd w:val="clear" w:color="auto" w:fill="auto"/>
                <w:lang w:val="cs-CZ" w:eastAsia="cs-CZ" w:bidi="cs-CZ"/>
              </w:rPr>
              <w:t>Auditorská společnost:</w:t>
            </w:r>
          </w:p>
        </w:tc>
        <w:tc>
          <w:tcPr>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600"/>
              <w:jc w:val="left"/>
            </w:pPr>
            <w:r>
              <w:rPr>
                <w:b/>
                <w:bCs/>
                <w:color w:val="000000"/>
                <w:spacing w:val="0"/>
                <w:w w:val="100"/>
                <w:position w:val="0"/>
                <w:shd w:val="clear" w:color="auto" w:fill="auto"/>
                <w:lang w:val="cs-CZ" w:eastAsia="cs-CZ" w:bidi="cs-CZ"/>
              </w:rPr>
              <w:t>ADAMEC AUDIT s.r.o.</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spisová značka C 16467 vedená u KS v Ústí nad Labem</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se sídlem v Liberci, Sáňkařská 556, PSČ 460 08</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IČ 258 26 158</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oprávněná provádět auditorskou činnost a</w:t>
            </w:r>
          </w:p>
          <w:p>
            <w:pPr>
              <w:pStyle w:val="Style8"/>
              <w:keepNext w:val="0"/>
              <w:keepLines w:val="0"/>
              <w:widowControl w:val="0"/>
              <w:shd w:val="clear" w:color="auto" w:fill="auto"/>
              <w:bidi w:val="0"/>
              <w:spacing w:before="0" w:after="0" w:line="240" w:lineRule="auto"/>
              <w:ind w:left="600" w:right="0" w:firstLine="0"/>
              <w:jc w:val="left"/>
            </w:pPr>
            <w:r>
              <w:rPr>
                <w:color w:val="000000"/>
                <w:spacing w:val="0"/>
                <w:w w:val="100"/>
                <w:position w:val="0"/>
                <w:shd w:val="clear" w:color="auto" w:fill="auto"/>
                <w:lang w:val="cs-CZ" w:eastAsia="cs-CZ" w:bidi="cs-CZ"/>
              </w:rPr>
              <w:t xml:space="preserve">zapsaná do seznamu auditorských společností pod č. 342, kterou zastupuje </w:t>
            </w:r>
            <w:r>
              <w:rPr>
                <w:color w:val="000000"/>
                <w:spacing w:val="0"/>
                <w:w w:val="100"/>
                <w:position w:val="0"/>
                <w:shd w:val="clear" w:color="auto" w:fill="auto"/>
                <w:lang w:val="en-US" w:eastAsia="en-US" w:bidi="en-US"/>
              </w:rPr>
              <w:t xml:space="preserve">Ing. </w:t>
            </w:r>
            <w:r>
              <w:rPr>
                <w:color w:val="000000"/>
                <w:spacing w:val="0"/>
                <w:w w:val="100"/>
                <w:position w:val="0"/>
                <w:shd w:val="clear" w:color="auto" w:fill="auto"/>
                <w:lang w:val="cs-CZ" w:eastAsia="cs-CZ" w:bidi="cs-CZ"/>
              </w:rPr>
              <w:t>Jaromír Adamec - jednatel</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-mail: xxxxxxxxxxxxxxxxxxx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telefonní kontakt: xxxxxxxxxxxxxxxxxxx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klíčový auditorský partner: xxxxxxxxxxxxxxxxx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e-mail: xxxxxxxxxxxx</w:t>
            </w:r>
          </w:p>
          <w:p>
            <w:pPr>
              <w:pStyle w:val="Style8"/>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cs-CZ" w:eastAsia="cs-CZ" w:bidi="cs-CZ"/>
              </w:rPr>
              <w:t>telefonní kontakt: xxxxxxxxxxxxxxx</w:t>
            </w:r>
          </w:p>
          <w:p>
            <w:pPr>
              <w:pStyle w:val="Style8"/>
              <w:keepNext w:val="0"/>
              <w:keepLines w:val="0"/>
              <w:widowControl w:val="0"/>
              <w:shd w:val="clear" w:color="auto" w:fill="auto"/>
              <w:bidi w:val="0"/>
              <w:spacing w:before="0" w:after="0" w:line="240" w:lineRule="auto"/>
              <w:ind w:left="600" w:right="0" w:firstLine="0"/>
              <w:jc w:val="left"/>
            </w:pPr>
            <w:r>
              <w:rPr>
                <w:color w:val="000000"/>
                <w:spacing w:val="0"/>
                <w:w w:val="100"/>
                <w:position w:val="0"/>
                <w:shd w:val="clear" w:color="auto" w:fill="auto"/>
                <w:lang w:val="cs-CZ" w:eastAsia="cs-CZ" w:bidi="cs-CZ"/>
              </w:rPr>
              <w:t>bankovní spojení: KB Liberec, č. účtu xxxxxxxxxxxxxxxxxx (dále jen „auditor“)</w:t>
            </w:r>
          </w:p>
        </w:tc>
      </w:tr>
    </w:tbl>
    <w:p>
      <w:pPr>
        <w:widowControl w:val="0"/>
        <w:spacing w:after="439" w:line="1" w:lineRule="exact"/>
      </w:pPr>
    </w:p>
    <w:p>
      <w:pPr>
        <w:pStyle w:val="Style2"/>
        <w:keepNext w:val="0"/>
        <w:keepLines w:val="0"/>
        <w:widowControl w:val="0"/>
        <w:shd w:val="clear" w:color="auto" w:fill="auto"/>
        <w:bidi w:val="0"/>
        <w:spacing w:before="0" w:after="520" w:line="240" w:lineRule="auto"/>
        <w:ind w:left="0" w:right="0" w:firstLine="720"/>
        <w:jc w:val="both"/>
      </w:pPr>
      <w:r>
        <w:rPr>
          <w:color w:val="000000"/>
          <w:spacing w:val="0"/>
          <w:w w:val="100"/>
          <w:position w:val="0"/>
          <w:shd w:val="clear" w:color="auto" w:fill="auto"/>
          <w:lang w:val="cs-CZ" w:eastAsia="cs-CZ" w:bidi="cs-CZ"/>
        </w:rPr>
        <w:t>Výše uvedené smluvní strany uzavírají tímto následující smlouvu o provedení auditu, přičemž určení auditora dle ustanovení § 17 zákona 93/2009 Sb., o auditorech bylo provedeno dne 29. prosince 2023.</w:t>
      </w:r>
    </w:p>
    <w:tbl>
      <w:tblPr>
        <w:tblOverlap w:val="never"/>
        <w:jc w:val="center"/>
        <w:tblLayout w:type="fixed"/>
      </w:tblPr>
      <w:tblGrid>
        <w:gridCol w:w="2246"/>
        <w:gridCol w:w="6480"/>
      </w:tblGrid>
      <w:tr>
        <w:trPr>
          <w:trHeight w:val="259" w:hRule="exact"/>
        </w:trPr>
        <w:tc>
          <w:tcPr>
            <w:tcBorders/>
            <w:shd w:val="clear" w:color="auto" w:fill="auto"/>
            <w:vAlign w:val="top"/>
          </w:tcPr>
          <w:p>
            <w:pPr>
              <w:widowControl w:val="0"/>
              <w:rPr>
                <w:sz w:val="10"/>
                <w:szCs w:val="10"/>
              </w:rPr>
            </w:pPr>
          </w:p>
        </w:tc>
        <w:tc>
          <w:tcPr>
            <w:tcBorders/>
            <w:shd w:val="clear" w:color="auto" w:fill="auto"/>
            <w:vAlign w:val="top"/>
          </w:tcPr>
          <w:p>
            <w:pPr>
              <w:pStyle w:val="Style8"/>
              <w:keepNext w:val="0"/>
              <w:keepLines w:val="0"/>
              <w:widowControl w:val="0"/>
              <w:shd w:val="clear" w:color="auto" w:fill="auto"/>
              <w:bidi w:val="0"/>
              <w:spacing w:before="0" w:after="0" w:line="240" w:lineRule="auto"/>
              <w:ind w:left="1160" w:right="0" w:firstLine="0"/>
              <w:jc w:val="left"/>
            </w:pPr>
            <w:r>
              <w:rPr>
                <w:b/>
                <w:bCs/>
                <w:color w:val="000000"/>
                <w:spacing w:val="0"/>
                <w:w w:val="100"/>
                <w:position w:val="0"/>
                <w:shd w:val="clear" w:color="auto" w:fill="auto"/>
                <w:lang w:val="cs-CZ" w:eastAsia="cs-CZ" w:bidi="cs-CZ"/>
              </w:rPr>
              <w:t>II. Předmět smlouvy</w:t>
            </w:r>
          </w:p>
        </w:tc>
      </w:tr>
    </w:tbl>
    <w:p>
      <w:pPr>
        <w:widowControl w:val="0"/>
        <w:spacing w:after="179" w:line="1" w:lineRule="exact"/>
      </w:pP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Touto smlouvou se auditor zavazuje provést</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 </w:t>
      </w:r>
      <w:r>
        <w:rPr>
          <w:b/>
          <w:bCs/>
          <w:color w:val="000000"/>
          <w:spacing w:val="0"/>
          <w:w w:val="100"/>
          <w:position w:val="0"/>
          <w:shd w:val="clear" w:color="auto" w:fill="auto"/>
          <w:lang w:val="cs-CZ" w:eastAsia="cs-CZ" w:bidi="cs-CZ"/>
        </w:rPr>
        <w:t>ověření řádné účetní závěrky klienta k 31.12.2023,</w:t>
      </w:r>
    </w:p>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 </w:t>
      </w:r>
      <w:r>
        <w:rPr>
          <w:b/>
          <w:bCs/>
          <w:color w:val="000000"/>
          <w:spacing w:val="0"/>
          <w:w w:val="100"/>
          <w:position w:val="0"/>
          <w:shd w:val="clear" w:color="auto" w:fill="auto"/>
          <w:lang w:val="cs-CZ" w:eastAsia="cs-CZ" w:bidi="cs-CZ"/>
        </w:rPr>
        <w:t>ověření výroční zprávy klienta k 31.12.2023,</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(dále jen „audit“).</w:t>
      </w:r>
    </w:p>
    <w:p>
      <w:pPr>
        <w:pStyle w:val="Style14"/>
        <w:keepNext/>
        <w:keepLines/>
        <w:widowControl w:val="0"/>
        <w:numPr>
          <w:ilvl w:val="0"/>
          <w:numId w:val="1"/>
        </w:numPr>
        <w:shd w:val="clear" w:color="auto" w:fill="auto"/>
        <w:tabs>
          <w:tab w:pos="463" w:val="left"/>
        </w:tabs>
        <w:bidi w:val="0"/>
        <w:spacing w:before="0" w:line="240" w:lineRule="auto"/>
        <w:ind w:left="0" w:right="0" w:firstLine="0"/>
        <w:jc w:val="center"/>
      </w:pPr>
      <w:bookmarkStart w:id="2" w:name="bookmark2"/>
      <w:r>
        <w:rPr>
          <w:color w:val="000000"/>
          <w:spacing w:val="0"/>
          <w:w w:val="100"/>
          <w:position w:val="0"/>
          <w:shd w:val="clear" w:color="auto" w:fill="auto"/>
          <w:lang w:val="cs-CZ" w:eastAsia="cs-CZ" w:bidi="cs-CZ"/>
        </w:rPr>
        <w:t>Způsob provedení auditu</w:t>
      </w:r>
      <w:bookmarkEnd w:id="2"/>
    </w:p>
    <w:p>
      <w:pPr>
        <w:pStyle w:val="Style2"/>
        <w:keepNext w:val="0"/>
        <w:keepLines w:val="0"/>
        <w:widowControl w:val="0"/>
        <w:numPr>
          <w:ilvl w:val="0"/>
          <w:numId w:val="3"/>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Audit bude proveden dle zákona č. 93/2009 Sb., o auditorech, v souladu s Mezinárodními auditorskými standardy a souvisejícími aplikačními doložkami Komory auditorů České republiky. Tyto standardy vyžadují, aby auditor naplánoval a provedl audit tak, aby získal přiměřenou jistotu, že účetní závěrka a výroční zpráva neobsahují významné nesprávnosti.</w:t>
      </w:r>
    </w:p>
    <w:p>
      <w:pPr>
        <w:pStyle w:val="Style2"/>
        <w:keepNext w:val="0"/>
        <w:keepLines w:val="0"/>
        <w:widowControl w:val="0"/>
        <w:numPr>
          <w:ilvl w:val="0"/>
          <w:numId w:val="3"/>
        </w:numPr>
        <w:shd w:val="clear" w:color="auto" w:fill="auto"/>
        <w:tabs>
          <w:tab w:pos="346" w:val="left"/>
        </w:tabs>
        <w:bidi w:val="0"/>
        <w:spacing w:before="0" w:after="0" w:line="240" w:lineRule="auto"/>
        <w:ind w:left="0" w:right="0" w:firstLine="0"/>
        <w:jc w:val="both"/>
      </w:pPr>
      <w:r>
        <w:rPr>
          <w:color w:val="000000"/>
          <w:spacing w:val="0"/>
          <w:w w:val="100"/>
          <w:position w:val="0"/>
          <w:shd w:val="clear" w:color="auto" w:fill="auto"/>
          <w:lang w:val="cs-CZ" w:eastAsia="cs-CZ" w:bidi="cs-CZ"/>
        </w:rPr>
        <w:t>Hlavní náplní auditu je:</w:t>
      </w:r>
    </w:p>
    <w:p>
      <w:pPr>
        <w:pStyle w:val="Style2"/>
        <w:keepNext w:val="0"/>
        <w:keepLines w:val="0"/>
        <w:widowControl w:val="0"/>
        <w:numPr>
          <w:ilvl w:val="0"/>
          <w:numId w:val="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ověřit, zda účetní závěrka podává věrný a poctivý obraz předmětu účetnictví v souladu s právními předpisy a příslušným rámcem účetního výkaznictví, tj. zejména s vyhláškou č. 504/2002 Sb.,</w:t>
      </w:r>
    </w:p>
    <w:p>
      <w:pPr>
        <w:pStyle w:val="Style2"/>
        <w:keepNext w:val="0"/>
        <w:keepLines w:val="0"/>
        <w:widowControl w:val="0"/>
        <w:numPr>
          <w:ilvl w:val="0"/>
          <w:numId w:val="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ověřit, zda údaje obsažené ve výroční zprávě sestavené dle § 416 zákona 89/2012 Sb., občanský zákoník, které popisují skutečnosti, jež jsou též předmětem zobrazení v účetní závěrce, jsou ve všech významných ohledech v souladu s touto účetní závěrkou,</w:t>
      </w:r>
    </w:p>
    <w:p>
      <w:pPr>
        <w:pStyle w:val="Style2"/>
        <w:keepNext w:val="0"/>
        <w:keepLines w:val="0"/>
        <w:widowControl w:val="0"/>
        <w:numPr>
          <w:ilvl w:val="0"/>
          <w:numId w:val="5"/>
        </w:numPr>
        <w:shd w:val="clear" w:color="auto" w:fill="auto"/>
        <w:tabs>
          <w:tab w:pos="346" w:val="left"/>
        </w:tabs>
        <w:bidi w:val="0"/>
        <w:spacing w:before="0" w:after="0" w:line="240" w:lineRule="auto"/>
        <w:ind w:left="380" w:right="0" w:hanging="380"/>
        <w:jc w:val="both"/>
      </w:pPr>
      <w:r>
        <w:rPr>
          <w:color w:val="000000"/>
          <w:spacing w:val="0"/>
          <w:w w:val="100"/>
          <w:position w:val="0"/>
          <w:shd w:val="clear" w:color="auto" w:fill="auto"/>
          <w:lang w:val="cs-CZ" w:eastAsia="cs-CZ" w:bidi="cs-CZ"/>
        </w:rPr>
        <w:t>ověřit, zda výroční zpráva byla vypracována v souladu s právními předpisy a zda na základě poznatků a povědomí o účetní jednotce, k nimž dospěl auditor při provádění auditu, výroční zpráva neobsahuje významné nesprávnosti,</w:t>
      </w:r>
    </w:p>
    <w:p>
      <w:pPr>
        <w:pStyle w:val="Style2"/>
        <w:keepNext w:val="0"/>
        <w:keepLines w:val="0"/>
        <w:widowControl w:val="0"/>
        <w:numPr>
          <w:ilvl w:val="0"/>
          <w:numId w:val="5"/>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ověřit, zda účetnictví za ověřované účetní období je vedeno správně, úplně, průkazně, srozumitelně, přehledně a způsobem zaručujícím trvalost účetních záznamů.</w:t>
      </w:r>
    </w:p>
    <w:p>
      <w:pPr>
        <w:pStyle w:val="Style2"/>
        <w:keepNext w:val="0"/>
        <w:keepLines w:val="0"/>
        <w:widowControl w:val="0"/>
        <w:numPr>
          <w:ilvl w:val="0"/>
          <w:numId w:val="3"/>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Audit zahrnuje výběrovým způsobem provedené ověření úplnosti a průkaznosti částek a informací uvedených v účetní závěrce a výroční zprávě. Audit též zahrnuje posouzení použitých účetních metod a významných odhadů provedených vedením a dále zhodnocení vypovídací schopnosti účetní závěrky.</w:t>
      </w:r>
    </w:p>
    <w:p>
      <w:pPr>
        <w:pStyle w:val="Style2"/>
        <w:keepNext w:val="0"/>
        <w:keepLines w:val="0"/>
        <w:widowControl w:val="0"/>
        <w:numPr>
          <w:ilvl w:val="0"/>
          <w:numId w:val="3"/>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Vzhledem k výběrovému způsobu provedení auditu a jiným přirozeným omezením auditu, spolu s přirozenými omezeními vnitřní kontroly, existuje riziko, že i některé významné nesprávnosti mohou zůstat neodhaleny.</w:t>
      </w:r>
    </w:p>
    <w:p>
      <w:pPr>
        <w:pStyle w:val="Style2"/>
        <w:keepNext w:val="0"/>
        <w:keepLines w:val="0"/>
        <w:widowControl w:val="0"/>
        <w:numPr>
          <w:ilvl w:val="0"/>
          <w:numId w:val="3"/>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Cílem auditu, zpracovaného dle závazné metodiky, je umožnit auditorovi vyjádřit názor na účetní závěrku a výroční zprávu. Výrok auditora napomáhá důvěryhodnosti účetní závěrky. Zpráva auditora však není potvrzením budoucí životaschopnosti účetní jednotky.</w:t>
      </w:r>
    </w:p>
    <w:p>
      <w:pPr>
        <w:pStyle w:val="Style2"/>
        <w:keepNext w:val="0"/>
        <w:keepLines w:val="0"/>
        <w:widowControl w:val="0"/>
        <w:numPr>
          <w:ilvl w:val="0"/>
          <w:numId w:val="3"/>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Práce u klienta ze strany auditora bude provádět Ing. Jaromír Adamec, statutární auditor (oprávnění KA ČR č. 1719) jako klíčový auditorský partner a případní další, jím pověření členové auditorského týmu.</w:t>
      </w:r>
    </w:p>
    <w:p>
      <w:pPr>
        <w:pStyle w:val="Style14"/>
        <w:keepNext/>
        <w:keepLines/>
        <w:widowControl w:val="0"/>
        <w:numPr>
          <w:ilvl w:val="0"/>
          <w:numId w:val="1"/>
        </w:numPr>
        <w:shd w:val="clear" w:color="auto" w:fill="auto"/>
        <w:tabs>
          <w:tab w:pos="449" w:val="left"/>
        </w:tabs>
        <w:bidi w:val="0"/>
        <w:spacing w:before="0" w:line="240" w:lineRule="auto"/>
        <w:ind w:left="0" w:right="0" w:firstLine="0"/>
        <w:jc w:val="center"/>
      </w:pPr>
      <w:bookmarkStart w:id="4" w:name="bookmark4"/>
      <w:r>
        <w:rPr>
          <w:color w:val="000000"/>
          <w:spacing w:val="0"/>
          <w:w w:val="100"/>
          <w:position w:val="0"/>
          <w:shd w:val="clear" w:color="auto" w:fill="auto"/>
          <w:lang w:val="cs-CZ" w:eastAsia="cs-CZ" w:bidi="cs-CZ"/>
        </w:rPr>
        <w:t>Povinnosti a odpovědnost auditora</w:t>
      </w:r>
      <w:bookmarkEnd w:id="4"/>
    </w:p>
    <w:p>
      <w:pPr>
        <w:pStyle w:val="Style2"/>
        <w:keepNext w:val="0"/>
        <w:keepLines w:val="0"/>
        <w:widowControl w:val="0"/>
        <w:numPr>
          <w:ilvl w:val="0"/>
          <w:numId w:val="7"/>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Povinností auditora je na základě provedených testů vyjádřit názor na účetní závěrku a výroční zprávu. Vydání zprávy nezbavuje vedení účetní jednotky odpovědnosti za důsledky kontrol provedených kompetentními kontrolními orgány.</w:t>
      </w:r>
    </w:p>
    <w:p>
      <w:pPr>
        <w:pStyle w:val="Style2"/>
        <w:keepNext w:val="0"/>
        <w:keepLines w:val="0"/>
        <w:widowControl w:val="0"/>
        <w:numPr>
          <w:ilvl w:val="0"/>
          <w:numId w:val="7"/>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Je povinností auditora navrhnout a provést testy tak, aby v rozumné míře zaručovaly zjištění případných nesrovnalostí vzniklých nesprávně uvedenými údaji v účetní závěrce a výroční zprávě. Ověření se provádí výběrovým způsobem a podle zásady významnosti vykazovaných skutečností a nezavazuje auditora provést detailní testy všech operací tak, aby byly zajištěny všechny nesrovnalosti, které mohou existovat.</w:t>
      </w:r>
    </w:p>
    <w:p>
      <w:pPr>
        <w:pStyle w:val="Style2"/>
        <w:keepNext w:val="0"/>
        <w:keepLines w:val="0"/>
        <w:widowControl w:val="0"/>
        <w:numPr>
          <w:ilvl w:val="0"/>
          <w:numId w:val="7"/>
        </w:numPr>
        <w:shd w:val="clear" w:color="auto" w:fill="auto"/>
        <w:tabs>
          <w:tab w:pos="346" w:val="left"/>
        </w:tabs>
        <w:bidi w:val="0"/>
        <w:spacing w:before="0" w:line="240" w:lineRule="auto"/>
        <w:ind w:left="380" w:right="0" w:hanging="380"/>
        <w:jc w:val="both"/>
      </w:pPr>
      <w:r>
        <w:rPr>
          <w:color w:val="000000"/>
          <w:spacing w:val="0"/>
          <w:w w:val="100"/>
          <w:position w:val="0"/>
          <w:shd w:val="clear" w:color="auto" w:fill="auto"/>
          <w:lang w:val="cs-CZ" w:eastAsia="cs-CZ" w:bidi="cs-CZ"/>
        </w:rPr>
        <w:t>V případě, že auditor zjistí v průběhu auditu závažnější nedostatky ve vedení účetnictví nebo při zpracování účetní závěrky či výroční zprávy, bude o takových nálezech neprodleně informovat vedení účetní jednotky. Ostatní návrhy a doporučení včetně komentáře k použitým postupům v průběhu auditu budou uvedeny v Dopise vedení účetní jednotky.</w:t>
      </w:r>
    </w:p>
    <w:p>
      <w:pPr>
        <w:pStyle w:val="Style2"/>
        <w:keepNext w:val="0"/>
        <w:keepLines w:val="0"/>
        <w:widowControl w:val="0"/>
        <w:numPr>
          <w:ilvl w:val="0"/>
          <w:numId w:val="7"/>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Auditor posoudí také významné odhady a rozhodnutí vedení účetní jednotky, která se promítají do účetní závěrky a výroční zprávy za ověřované účetní období. Povinností auditora je postupovat v souladu s auditorskými směrnicemi tak, aby získal všechny informace, které jsou podle jeho nejlepšího vědomí nezbytné pro ověření účetní závěrky a výroční zprávy a poskytují přiměřenou záruku, že účetní závěrka a výroční zpráva za ověřované účetní období neobsahují významné nesprávnosti, ať již byly způsobeny omylem, podvodem nebo jinou příčinou.</w:t>
      </w:r>
    </w:p>
    <w:p>
      <w:pPr>
        <w:pStyle w:val="Style2"/>
        <w:keepNext w:val="0"/>
        <w:keepLines w:val="0"/>
        <w:widowControl w:val="0"/>
        <w:numPr>
          <w:ilvl w:val="0"/>
          <w:numId w:val="7"/>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Auditor provede takové postupy, aby získal dostatečné a vhodné důkazní informace, že byly zjištěny všechny události do okamžiku vydání Zprávy auditora, které by mohly vyžadovat úpravy ověřované účetní závěrky nebo výroční zprávy nebo jejich uvedení v ověřované účetní závěrce nebo výroční zprávě. Auditor zohlední i případné vlivy na ověřovanou účetní závěrku a výroční zprávu po rozvahovém dni, které vznikly do termínu vydání Zprávy auditora.</w:t>
      </w:r>
    </w:p>
    <w:p>
      <w:pPr>
        <w:pStyle w:val="Style2"/>
        <w:keepNext w:val="0"/>
        <w:keepLines w:val="0"/>
        <w:widowControl w:val="0"/>
        <w:numPr>
          <w:ilvl w:val="0"/>
          <w:numId w:val="7"/>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Zprávu auditora projedná auditor se statutárním orgánem účetní jednotky. Případné připomínky tohoto orgánu ke Zprávě auditora je auditor povinen písemně vypořádat.</w:t>
      </w:r>
    </w:p>
    <w:p>
      <w:pPr>
        <w:pStyle w:val="Style14"/>
        <w:keepNext/>
        <w:keepLines/>
        <w:widowControl w:val="0"/>
        <w:numPr>
          <w:ilvl w:val="0"/>
          <w:numId w:val="1"/>
        </w:numPr>
        <w:shd w:val="clear" w:color="auto" w:fill="auto"/>
        <w:tabs>
          <w:tab w:pos="346" w:val="left"/>
        </w:tabs>
        <w:bidi w:val="0"/>
        <w:spacing w:before="0" w:line="240" w:lineRule="auto"/>
        <w:ind w:left="0" w:right="0" w:firstLine="0"/>
        <w:jc w:val="center"/>
      </w:pPr>
      <w:bookmarkStart w:id="6" w:name="bookmark6"/>
      <w:r>
        <w:rPr>
          <w:color w:val="000000"/>
          <w:spacing w:val="0"/>
          <w:w w:val="100"/>
          <w:position w:val="0"/>
          <w:shd w:val="clear" w:color="auto" w:fill="auto"/>
          <w:lang w:val="cs-CZ" w:eastAsia="cs-CZ" w:bidi="cs-CZ"/>
        </w:rPr>
        <w:t>Povinnosti a odpovědnost klienta</w:t>
      </w:r>
      <w:bookmarkEnd w:id="6"/>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Za vedení účetnictví způsobem zaručujícím trvalost účetních záznamů, za jeho úplnost, průkaznost, správnost a přehlednost odpovídá statutární orgán účetní jednotky. Odpovědnosti za tuto povinnost se klient provedením auditu nezprošťuje.</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Statutární orgán účetní jednotky je odpovědný za sestavení účetní závěrky, která podává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Odpovědnost za předcházení nebo zjišťování podvodů je plně na straně účetní jednotky a provedením auditu není dotčena.</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Účetní jednotka se zavazuje poskytnout auditorovi potřebnou součinnost při identifikaci a kontrole klienta v souladu se zákonem č. 253/2008 Sb., o některých opatřeních proti legalizaci výnosů z trestné činnosti a financování terorismu a dále se zavazuje auditorovi oznámit případné změny v osobě skutečného majitele dle zákona č. 37/2021 Sb., o evidenci skutečných majitelů v průběhu auditu.</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Klient se zavazuje umožnit auditorovi v rámci testů spolehlivosti dotazovat se třetích osob a na základě požadavku auditora poskytne svým podpisem souhlas na auditorem zpracované korespondenci těmto třetím osobám (bankám, obchodním partnerům, státním institucím^) týkající se vyžádání písemné informace vztahující se ke klientovi a zároveň k předmětu auditu.</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Klient se zavazuje poskytnout auditorovi veškeré informace a účetní záznamy týkající se ověřovaného účetního období (zejména účetní doklady, účetní zápisy, účetní knihy, odpisový plán, inventurní soupisy, účtový rozvrh) a další ekonomické podklady a právní dokumenty ovlivňující údaje uvedené v ověřované účetní závěrce a výroční zprávě a jejich přílohách, včetně přiznání k dani z příjmu právnických osob, bude-li to požadováno tak i v elektronické podobě v odsouhlasené struktuře. Současně umožní přístup k informacím pro ověření časového rozlišení a úplnosti převáděných dat mezi bezprostředně předcházejícím a ověřovaným účetním obdobím. Další dokumenty poskytne podle požadavku auditora v průběhu auditu.</w:t>
      </w:r>
    </w:p>
    <w:p>
      <w:pPr>
        <w:pStyle w:val="Style2"/>
        <w:keepNext w:val="0"/>
        <w:keepLines w:val="0"/>
        <w:widowControl w:val="0"/>
        <w:numPr>
          <w:ilvl w:val="0"/>
          <w:numId w:val="9"/>
        </w:numPr>
        <w:shd w:val="clear" w:color="auto" w:fill="auto"/>
        <w:tabs>
          <w:tab w:pos="339" w:val="left"/>
        </w:tabs>
        <w:bidi w:val="0"/>
        <w:spacing w:before="0" w:line="240" w:lineRule="auto"/>
        <w:ind w:left="380" w:right="0" w:hanging="380"/>
        <w:jc w:val="both"/>
      </w:pPr>
      <w:r>
        <w:rPr>
          <w:color w:val="000000"/>
          <w:spacing w:val="0"/>
          <w:w w:val="100"/>
          <w:position w:val="0"/>
          <w:shd w:val="clear" w:color="auto" w:fill="auto"/>
          <w:lang w:val="cs-CZ" w:eastAsia="cs-CZ" w:bidi="cs-CZ"/>
        </w:rPr>
        <w:t>Bude-li to auditor požadovat, je účetní jednotka povinna vyhotovit a předat písemně prohlášení, vysvětlení a materiály, jež by potvrdily informace, které účetní jednotka během auditu poskytla auditorovi.</w:t>
      </w:r>
    </w:p>
    <w:p>
      <w:pPr>
        <w:pStyle w:val="Style2"/>
        <w:keepNext w:val="0"/>
        <w:keepLines w:val="0"/>
        <w:widowControl w:val="0"/>
        <w:numPr>
          <w:ilvl w:val="0"/>
          <w:numId w:val="9"/>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Vedení účetní jednotky se zavazuje poskytnout auditorovi k datu vyhotovení Zprávy auditora písemné Prohlášení vedení, jehož obsah vychází z Mezinárodních auditorských standardů a jehož vzor je přílohou č. 1 této smlouvy. Prohlášení bude doplněno o seznam auditorem zjištěných nesprávností, které účetní jednotka neopravila, nebo skutečností, na jejichž účetním řešení se strany neshodly.</w:t>
      </w:r>
    </w:p>
    <w:p>
      <w:pPr>
        <w:pStyle w:val="Style2"/>
        <w:keepNext w:val="0"/>
        <w:keepLines w:val="0"/>
        <w:widowControl w:val="0"/>
        <w:numPr>
          <w:ilvl w:val="0"/>
          <w:numId w:val="9"/>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Klient se zavazuje k úzké spolupráci po celou dobu auditu. Za tím účelem jmenuje odpovědnou osobu (viz záhlaví smlouvy), která bude auditorovi k dispozici po dobu auditu a bude vybavena patřičnými právy a oprávněními zabezpečujícími naplnění předmětu smlouvy.</w:t>
      </w:r>
    </w:p>
    <w:p>
      <w:pPr>
        <w:pStyle w:val="Style2"/>
        <w:keepNext w:val="0"/>
        <w:keepLines w:val="0"/>
        <w:widowControl w:val="0"/>
        <w:numPr>
          <w:ilvl w:val="0"/>
          <w:numId w:val="9"/>
        </w:numPr>
        <w:shd w:val="clear" w:color="auto" w:fill="auto"/>
        <w:tabs>
          <w:tab w:pos="375" w:val="left"/>
        </w:tabs>
        <w:bidi w:val="0"/>
        <w:spacing w:before="0" w:line="240" w:lineRule="auto"/>
        <w:ind w:left="360" w:right="0" w:hanging="360"/>
        <w:jc w:val="both"/>
      </w:pPr>
      <w:r>
        <w:rPr>
          <w:color w:val="000000"/>
          <w:spacing w:val="0"/>
          <w:w w:val="100"/>
          <w:position w:val="0"/>
          <w:shd w:val="clear" w:color="auto" w:fill="auto"/>
          <w:lang w:val="cs-CZ" w:eastAsia="cs-CZ" w:bidi="cs-CZ"/>
        </w:rPr>
        <w:t>Od okamžiku vydání Zprávy auditora do okamžiku zveřejnění ověřené účetní závěrky a výroční zprávy nebo údajů z ověřené účetní závěrky a výroční zprávy leží již odpovědnost na vedení účetní jednotky.</w:t>
      </w:r>
    </w:p>
    <w:p>
      <w:pPr>
        <w:pStyle w:val="Style2"/>
        <w:keepNext w:val="0"/>
        <w:keepLines w:val="0"/>
        <w:widowControl w:val="0"/>
        <w:numPr>
          <w:ilvl w:val="0"/>
          <w:numId w:val="9"/>
        </w:numPr>
        <w:shd w:val="clear" w:color="auto" w:fill="auto"/>
        <w:tabs>
          <w:tab w:pos="375" w:val="left"/>
        </w:tabs>
        <w:bidi w:val="0"/>
        <w:spacing w:before="0" w:line="240" w:lineRule="auto"/>
        <w:ind w:left="360" w:right="0" w:hanging="360"/>
        <w:jc w:val="both"/>
      </w:pPr>
      <w:r>
        <w:rPr>
          <w:color w:val="000000"/>
          <w:spacing w:val="0"/>
          <w:w w:val="100"/>
          <w:position w:val="0"/>
          <w:shd w:val="clear" w:color="auto" w:fill="auto"/>
          <w:lang w:val="cs-CZ" w:eastAsia="cs-CZ" w:bidi="cs-CZ"/>
        </w:rPr>
        <w:t>Účetní jednotka se zavazuje, že nezveřejní informace, které předtím nebyly ověřeny auditorem, způsobem, který by mohl uživatele účetní závěrky nebo výroční zprávy uvést v omyl, že auditorem ověřeny byly. Jestliže účetní jednotka bude prezentovat vybrané údaje ze své účetní závěrky, je povinna uvést, že se jedná pouze o vybrané údaje z účetní závěrky doplněné o informaci o tom, kde je účetní závěrka uložena. K těmto vybraným údajům není účetní jednotka oprávněna přiložit zprávu auditora o ověření účetní závěrky, místo toho uvede druh výroku auditora k účetní závěrce a odkaz na skutečnosti, na něž auditor zvláštním způsobem upozornil.</w:t>
      </w:r>
    </w:p>
    <w:p>
      <w:pPr>
        <w:pStyle w:val="Style14"/>
        <w:keepNext/>
        <w:keepLines/>
        <w:widowControl w:val="0"/>
        <w:numPr>
          <w:ilvl w:val="0"/>
          <w:numId w:val="1"/>
        </w:numPr>
        <w:shd w:val="clear" w:color="auto" w:fill="auto"/>
        <w:tabs>
          <w:tab w:pos="433" w:val="left"/>
        </w:tabs>
        <w:bidi w:val="0"/>
        <w:spacing w:before="0" w:line="240" w:lineRule="auto"/>
        <w:ind w:left="0" w:right="0" w:firstLine="0"/>
        <w:jc w:val="center"/>
      </w:pPr>
      <w:bookmarkStart w:id="8" w:name="bookmark8"/>
      <w:r>
        <w:rPr>
          <w:color w:val="000000"/>
          <w:spacing w:val="0"/>
          <w:w w:val="100"/>
          <w:position w:val="0"/>
          <w:shd w:val="clear" w:color="auto" w:fill="auto"/>
          <w:lang w:val="cs-CZ" w:eastAsia="cs-CZ" w:bidi="cs-CZ"/>
        </w:rPr>
        <w:t>Zpráva auditora</w:t>
      </w:r>
      <w:bookmarkEnd w:id="8"/>
    </w:p>
    <w:p>
      <w:pPr>
        <w:pStyle w:val="Style2"/>
        <w:keepNext w:val="0"/>
        <w:keepLines w:val="0"/>
        <w:widowControl w:val="0"/>
        <w:numPr>
          <w:ilvl w:val="0"/>
          <w:numId w:val="11"/>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O provedeném auditu vyhotoví auditor písemnou Zprávu auditora. Auditor uvede ve Zprávě auditora výhrady, pokud na základě provedených testů identifikuje nesprávnosti, které mohou podstatným způsobem zkreslit údaje v účetní závěrce nebo ve výroční zprávě, pokud vnitřní kontrolní systém vykazuje významné slabiny nebo účetnictví není vedeno způsobem zaručujícím trvalost účetních záznamů, úplnost, průkaznost, správnost a přehlednost.</w:t>
      </w:r>
    </w:p>
    <w:p>
      <w:pPr>
        <w:pStyle w:val="Style2"/>
        <w:keepNext w:val="0"/>
        <w:keepLines w:val="0"/>
        <w:widowControl w:val="0"/>
        <w:numPr>
          <w:ilvl w:val="0"/>
          <w:numId w:val="11"/>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Auditor má právo uvést ve Zprávě auditora také omezení rozsahu ověření, pokud nebyl schopen z objektivních důvodů nebo z viny účetní jednotky ověřit některé podstatné údaje v účetní závěrce nebo ve výroční zprávě.</w:t>
      </w:r>
    </w:p>
    <w:p>
      <w:pPr>
        <w:pStyle w:val="Style2"/>
        <w:keepNext w:val="0"/>
        <w:keepLines w:val="0"/>
        <w:widowControl w:val="0"/>
        <w:numPr>
          <w:ilvl w:val="0"/>
          <w:numId w:val="11"/>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nebo ověřovaných údajů ve výroční zprávě, odmítne auditor vydat výrok. I v tomto případě vydá auditor Zprávu auditora popisující důvody odmítnutí výroku.</w:t>
      </w:r>
    </w:p>
    <w:p>
      <w:pPr>
        <w:pStyle w:val="Style2"/>
        <w:keepNext w:val="0"/>
        <w:keepLines w:val="0"/>
        <w:widowControl w:val="0"/>
        <w:numPr>
          <w:ilvl w:val="0"/>
          <w:numId w:val="11"/>
        </w:numPr>
        <w:shd w:val="clear" w:color="auto" w:fill="auto"/>
        <w:tabs>
          <w:tab w:pos="351" w:val="left"/>
        </w:tabs>
        <w:bidi w:val="0"/>
        <w:spacing w:before="0" w:line="240" w:lineRule="auto"/>
        <w:ind w:left="360" w:right="0" w:hanging="360"/>
        <w:jc w:val="both"/>
      </w:pPr>
      <w:r>
        <w:rPr>
          <w:color w:val="000000"/>
          <w:spacing w:val="0"/>
          <w:w w:val="100"/>
          <w:position w:val="0"/>
          <w:shd w:val="clear" w:color="auto" w:fill="auto"/>
          <w:lang w:val="cs-CZ" w:eastAsia="cs-CZ" w:bidi="cs-CZ"/>
        </w:rPr>
        <w:t>Kromě Zprávy auditora může auditor vydat také Dopis vedení účetní jednotky, který bude obsahovat poznatky o nedostatcích zjištěných v průběhu auditu a auditorská doporučení směřující ke zlepšení účetního a vnitřního kontrolního systému.</w:t>
      </w:r>
    </w:p>
    <w:p>
      <w:pPr>
        <w:pStyle w:val="Style14"/>
        <w:keepNext/>
        <w:keepLines/>
        <w:widowControl w:val="0"/>
        <w:numPr>
          <w:ilvl w:val="0"/>
          <w:numId w:val="1"/>
        </w:numPr>
        <w:shd w:val="clear" w:color="auto" w:fill="auto"/>
        <w:tabs>
          <w:tab w:pos="514" w:val="left"/>
        </w:tabs>
        <w:bidi w:val="0"/>
        <w:spacing w:before="0" w:line="240" w:lineRule="auto"/>
        <w:ind w:left="0" w:right="0" w:firstLine="0"/>
        <w:jc w:val="center"/>
      </w:pPr>
      <w:bookmarkStart w:id="10" w:name="bookmark10"/>
      <w:r>
        <w:rPr>
          <w:color w:val="000000"/>
          <w:spacing w:val="0"/>
          <w:w w:val="100"/>
          <w:position w:val="0"/>
          <w:shd w:val="clear" w:color="auto" w:fill="auto"/>
          <w:lang w:val="cs-CZ" w:eastAsia="cs-CZ" w:bidi="cs-CZ"/>
        </w:rPr>
        <w:t>Čas plnění smlouvy</w:t>
      </w:r>
      <w:bookmarkEnd w:id="10"/>
    </w:p>
    <w:p>
      <w:pPr>
        <w:pStyle w:val="Style2"/>
        <w:keepNext w:val="0"/>
        <w:keepLines w:val="0"/>
        <w:widowControl w:val="0"/>
        <w:numPr>
          <w:ilvl w:val="0"/>
          <w:numId w:val="13"/>
        </w:numPr>
        <w:shd w:val="clear" w:color="auto" w:fill="auto"/>
        <w:tabs>
          <w:tab w:pos="351" w:val="left"/>
        </w:tabs>
        <w:bidi w:val="0"/>
        <w:spacing w:before="0" w:after="0" w:line="240" w:lineRule="auto"/>
        <w:ind w:left="0" w:right="0" w:firstLine="0"/>
        <w:jc w:val="both"/>
      </w:pPr>
      <w:r>
        <w:rPr>
          <w:color w:val="000000"/>
          <w:spacing w:val="0"/>
          <w:w w:val="100"/>
          <w:position w:val="0"/>
          <w:shd w:val="clear" w:color="auto" w:fill="auto"/>
          <w:lang w:val="cs-CZ" w:eastAsia="cs-CZ" w:bidi="cs-CZ"/>
        </w:rPr>
        <w:t>Auditorské práce budou probíhat ve třech fázích, a to:</w:t>
      </w:r>
    </w:p>
    <w:p>
      <w:pPr>
        <w:pStyle w:val="Style2"/>
        <w:keepNext w:val="0"/>
        <w:keepLines w:val="0"/>
        <w:widowControl w:val="0"/>
        <w:numPr>
          <w:ilvl w:val="0"/>
          <w:numId w:val="15"/>
        </w:numPr>
        <w:shd w:val="clear" w:color="auto" w:fill="auto"/>
        <w:tabs>
          <w:tab w:pos="351" w:val="left"/>
        </w:tabs>
        <w:bidi w:val="0"/>
        <w:spacing w:before="0" w:after="0" w:line="240" w:lineRule="auto"/>
        <w:ind w:left="360" w:right="0" w:hanging="360"/>
        <w:jc w:val="both"/>
      </w:pPr>
      <w:r>
        <w:rPr>
          <w:color w:val="000000"/>
          <w:spacing w:val="0"/>
          <w:w w:val="100"/>
          <w:position w:val="0"/>
          <w:shd w:val="clear" w:color="auto" w:fill="auto"/>
          <w:lang w:val="cs-CZ" w:eastAsia="cs-CZ" w:bidi="cs-CZ"/>
        </w:rPr>
        <w:t>průběžný audit - bude zahájen po podpisu smlouvy a jeho předpokládané ukončení je do 30. dubna 2024 za předpokladu, že bude účetní jednotkou předložena a auditorem dokončena kontrola inventarizace majetku a závazků,</w:t>
      </w:r>
    </w:p>
    <w:p>
      <w:pPr>
        <w:pStyle w:val="Style2"/>
        <w:keepNext w:val="0"/>
        <w:keepLines w:val="0"/>
        <w:widowControl w:val="0"/>
        <w:numPr>
          <w:ilvl w:val="0"/>
          <w:numId w:val="15"/>
        </w:numPr>
        <w:shd w:val="clear" w:color="auto" w:fill="auto"/>
        <w:tabs>
          <w:tab w:pos="351" w:val="left"/>
        </w:tabs>
        <w:bidi w:val="0"/>
        <w:spacing w:before="0" w:after="0" w:line="240" w:lineRule="auto"/>
        <w:ind w:left="360" w:right="0" w:hanging="360"/>
        <w:jc w:val="both"/>
      </w:pPr>
      <w:r>
        <w:rPr>
          <w:color w:val="000000"/>
          <w:spacing w:val="0"/>
          <w:w w:val="100"/>
          <w:position w:val="0"/>
          <w:shd w:val="clear" w:color="auto" w:fill="auto"/>
          <w:lang w:val="cs-CZ" w:eastAsia="cs-CZ" w:bidi="cs-CZ"/>
        </w:rPr>
        <w:t xml:space="preserve">následný audit - proběhne po předání zpracované účetní závěrky a výroční zprávy auditorovi k ověření, auditor posoudí předloženou účetní závěrku a výroční zprávu do 10 dnů. V případě, že účetní jednotka bude chtít předloženou účetní závěrku nebo výroční zprávu z vlastní vůle či na základě doporučení auditora upravit, bude sjednána přiměřená lhůta pro nové posouzení. </w:t>
      </w:r>
      <w:r>
        <w:rPr>
          <w:color w:val="000000"/>
          <w:spacing w:val="0"/>
          <w:w w:val="100"/>
          <w:position w:val="0"/>
          <w:shd w:val="clear" w:color="auto" w:fill="auto"/>
          <w:lang w:val="cs-CZ" w:eastAsia="cs-CZ" w:bidi="cs-CZ"/>
        </w:rPr>
        <w:t>Tato fáze bude ukončena vzájemným odsouhlasením konečné podoby účetní závěrky a výroční zprávy v předpokládaném termínu do do 31. května 2024,</w:t>
      </w:r>
    </w:p>
    <w:p>
      <w:pPr>
        <w:pStyle w:val="Style2"/>
        <w:keepNext w:val="0"/>
        <w:keepLines w:val="0"/>
        <w:widowControl w:val="0"/>
        <w:numPr>
          <w:ilvl w:val="0"/>
          <w:numId w:val="15"/>
        </w:numPr>
        <w:shd w:val="clear" w:color="auto" w:fill="auto"/>
        <w:tabs>
          <w:tab w:pos="353"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vyhotovení Zprávy auditora - do 10 dnů po obdržení konečné podoby účetní závěrky a výroční zprávy bude vyhotovena Zpráva auditora.</w:t>
      </w:r>
    </w:p>
    <w:p>
      <w:pPr>
        <w:pStyle w:val="Style2"/>
        <w:keepNext w:val="0"/>
        <w:keepLines w:val="0"/>
        <w:widowControl w:val="0"/>
        <w:numPr>
          <w:ilvl w:val="0"/>
          <w:numId w:val="13"/>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cs-CZ" w:eastAsia="cs-CZ" w:bidi="cs-CZ"/>
        </w:rPr>
        <w:t>Klientovi budou předány:</w:t>
      </w:r>
    </w:p>
    <w:p>
      <w:pPr>
        <w:pStyle w:val="Style2"/>
        <w:keepNext w:val="0"/>
        <w:keepLines w:val="0"/>
        <w:widowControl w:val="0"/>
        <w:numPr>
          <w:ilvl w:val="0"/>
          <w:numId w:val="17"/>
        </w:numPr>
        <w:shd w:val="clear" w:color="auto" w:fill="auto"/>
        <w:tabs>
          <w:tab w:pos="353" w:val="left"/>
        </w:tabs>
        <w:bidi w:val="0"/>
        <w:spacing w:before="0" w:after="0" w:line="262" w:lineRule="auto"/>
        <w:ind w:left="0" w:right="0" w:firstLine="0"/>
        <w:jc w:val="both"/>
      </w:pPr>
      <w:r>
        <w:rPr>
          <w:color w:val="000000"/>
          <w:spacing w:val="0"/>
          <w:w w:val="100"/>
          <w:position w:val="0"/>
          <w:shd w:val="clear" w:color="auto" w:fill="auto"/>
          <w:lang w:val="cs-CZ" w:eastAsia="cs-CZ" w:bidi="cs-CZ"/>
        </w:rPr>
        <w:t>Zpráva auditora ve dvou výtiscích v českém jazyce při projednání Zprávy auditora,</w:t>
      </w:r>
    </w:p>
    <w:p>
      <w:pPr>
        <w:pStyle w:val="Style2"/>
        <w:keepNext w:val="0"/>
        <w:keepLines w:val="0"/>
        <w:widowControl w:val="0"/>
        <w:numPr>
          <w:ilvl w:val="0"/>
          <w:numId w:val="17"/>
        </w:numPr>
        <w:shd w:val="clear" w:color="auto" w:fill="auto"/>
        <w:tabs>
          <w:tab w:pos="353"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Dopis vedení účetní jednotky (viz bod VI.4) v jednom výtisku do šedesáti dnů od vydání Zprávy auditora.</w:t>
      </w:r>
    </w:p>
    <w:p>
      <w:pPr>
        <w:pStyle w:val="Style14"/>
        <w:keepNext/>
        <w:keepLines/>
        <w:widowControl w:val="0"/>
        <w:numPr>
          <w:ilvl w:val="0"/>
          <w:numId w:val="1"/>
        </w:numPr>
        <w:shd w:val="clear" w:color="auto" w:fill="auto"/>
        <w:tabs>
          <w:tab w:pos="666" w:val="left"/>
        </w:tabs>
        <w:bidi w:val="0"/>
        <w:spacing w:before="0" w:after="200" w:line="240" w:lineRule="auto"/>
        <w:ind w:left="0" w:right="0" w:firstLine="0"/>
        <w:jc w:val="center"/>
      </w:pPr>
      <w:bookmarkStart w:id="12" w:name="bookmark12"/>
      <w:r>
        <w:rPr>
          <w:color w:val="000000"/>
          <w:spacing w:val="0"/>
          <w:w w:val="100"/>
          <w:position w:val="0"/>
          <w:shd w:val="clear" w:color="auto" w:fill="auto"/>
          <w:lang w:val="cs-CZ" w:eastAsia="cs-CZ" w:bidi="cs-CZ"/>
        </w:rPr>
        <w:t>Odměna a způsob placení</w:t>
      </w:r>
      <w:bookmarkEnd w:id="12"/>
    </w:p>
    <w:p>
      <w:pPr>
        <w:pStyle w:val="Style2"/>
        <w:keepNext w:val="0"/>
        <w:keepLines w:val="0"/>
        <w:widowControl w:val="0"/>
        <w:numPr>
          <w:ilvl w:val="0"/>
          <w:numId w:val="19"/>
        </w:numPr>
        <w:shd w:val="clear" w:color="auto" w:fill="auto"/>
        <w:tabs>
          <w:tab w:pos="353"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Za poskytnuté služby náleží auditorovi odměna.</w:t>
      </w:r>
    </w:p>
    <w:p>
      <w:pPr>
        <w:pStyle w:val="Style2"/>
        <w:keepNext w:val="0"/>
        <w:keepLines w:val="0"/>
        <w:widowControl w:val="0"/>
        <w:numPr>
          <w:ilvl w:val="0"/>
          <w:numId w:val="19"/>
        </w:numPr>
        <w:shd w:val="clear" w:color="auto" w:fill="auto"/>
        <w:tabs>
          <w:tab w:pos="358" w:val="left"/>
        </w:tabs>
        <w:bidi w:val="0"/>
        <w:spacing w:before="0" w:after="200" w:line="240" w:lineRule="auto"/>
        <w:ind w:left="0" w:right="0" w:firstLine="0"/>
        <w:jc w:val="both"/>
      </w:pPr>
      <w:r>
        <w:rPr>
          <w:color w:val="000000"/>
          <w:spacing w:val="0"/>
          <w:w w:val="100"/>
          <w:position w:val="0"/>
          <w:shd w:val="clear" w:color="auto" w:fill="auto"/>
          <w:lang w:val="cs-CZ" w:eastAsia="cs-CZ" w:bidi="cs-CZ"/>
        </w:rPr>
        <w:t>Na základě dohody obou stran byla odměna sjednána ve výši 60.000,- Kč.</w:t>
      </w:r>
    </w:p>
    <w:p>
      <w:pPr>
        <w:pStyle w:val="Style2"/>
        <w:keepNext w:val="0"/>
        <w:keepLines w:val="0"/>
        <w:widowControl w:val="0"/>
        <w:numPr>
          <w:ilvl w:val="0"/>
          <w:numId w:val="19"/>
        </w:numPr>
        <w:shd w:val="clear" w:color="auto" w:fill="auto"/>
        <w:tabs>
          <w:tab w:pos="358"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Výše uvedená odměna nezahrnuje daň z přidané hodnoty, která bude k této odměně připočtena v souladu s platnou právní úpravou.</w:t>
      </w:r>
    </w:p>
    <w:p>
      <w:pPr>
        <w:pStyle w:val="Style2"/>
        <w:keepNext w:val="0"/>
        <w:keepLines w:val="0"/>
        <w:widowControl w:val="0"/>
        <w:numPr>
          <w:ilvl w:val="0"/>
          <w:numId w:val="19"/>
        </w:numPr>
        <w:shd w:val="clear" w:color="auto" w:fill="auto"/>
        <w:tabs>
          <w:tab w:pos="363"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Jestliže bude auditor muset vykonat práce nad předpokládaný rámec, avšak v souladu s právními předpisy upravujícími předmět smlouvy (viz bod III.1), oznámí to předem písemně klientovi. V oznámení bude specifikovat oblasti vyžadující další práce, které při podpisu smlouvy nebyly předpokládány, zdůvodní příčiny potřeby vykonání prací a navrhne klientovi odměnu za takovéto práce, přičemž bude vycházet především z časové sazby 2.500,- Kč/hod (bez DPH).</w:t>
      </w:r>
    </w:p>
    <w:p>
      <w:pPr>
        <w:pStyle w:val="Style2"/>
        <w:keepNext w:val="0"/>
        <w:keepLines w:val="0"/>
        <w:widowControl w:val="0"/>
        <w:numPr>
          <w:ilvl w:val="0"/>
          <w:numId w:val="19"/>
        </w:numPr>
        <w:shd w:val="clear" w:color="auto" w:fill="auto"/>
        <w:tabs>
          <w:tab w:pos="354"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Klient je povinen uhradit v souvislosti s prováděním auditu nutné vedlejší výdaje auditora, které budou s auditem souviset, pokud budou předem odsouhlaseny smluvními stranami.</w:t>
      </w:r>
    </w:p>
    <w:p>
      <w:pPr>
        <w:pStyle w:val="Style2"/>
        <w:keepNext w:val="0"/>
        <w:keepLines w:val="0"/>
        <w:widowControl w:val="0"/>
        <w:numPr>
          <w:ilvl w:val="0"/>
          <w:numId w:val="19"/>
        </w:numPr>
        <w:shd w:val="clear" w:color="auto" w:fill="auto"/>
        <w:tabs>
          <w:tab w:pos="358"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Jestliže bude klient požadovat vydání Zprávy auditora také v anglickém či jiném cizím jazyce, zavazuje se uhradit účelně vynaložené náklady auditora s tím spojené. Pro dodání cizojazyčné mutace Zprávy auditora si smluvní strany sjednají přiměřenou lhůtu.</w:t>
      </w:r>
    </w:p>
    <w:p>
      <w:pPr>
        <w:pStyle w:val="Style2"/>
        <w:keepNext w:val="0"/>
        <w:keepLines w:val="0"/>
        <w:widowControl w:val="0"/>
        <w:numPr>
          <w:ilvl w:val="0"/>
          <w:numId w:val="19"/>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cs-CZ" w:eastAsia="cs-CZ" w:bidi="cs-CZ"/>
        </w:rPr>
        <w:t>Auditor bude fakturovat v těchto termínech:</w:t>
      </w:r>
    </w:p>
    <w:p>
      <w:pPr>
        <w:pStyle w:val="Style2"/>
        <w:keepNext w:val="0"/>
        <w:keepLines w:val="0"/>
        <w:widowControl w:val="0"/>
        <w:numPr>
          <w:ilvl w:val="0"/>
          <w:numId w:val="21"/>
        </w:numPr>
        <w:shd w:val="clear" w:color="auto" w:fill="auto"/>
        <w:tabs>
          <w:tab w:pos="353" w:val="left"/>
        </w:tabs>
        <w:bidi w:val="0"/>
        <w:spacing w:before="0" w:after="0" w:line="264" w:lineRule="auto"/>
        <w:ind w:left="0" w:right="0" w:firstLine="0"/>
        <w:jc w:val="both"/>
      </w:pPr>
      <w:r>
        <w:rPr>
          <w:color w:val="000000"/>
          <w:spacing w:val="0"/>
          <w:w w:val="100"/>
          <w:position w:val="0"/>
          <w:shd w:val="clear" w:color="auto" w:fill="auto"/>
          <w:lang w:val="cs-CZ" w:eastAsia="cs-CZ" w:bidi="cs-CZ"/>
        </w:rPr>
        <w:t>zálohu na odměnu ve výši 30.000,- Kč + DPH při podpisu této smlouvy,</w:t>
      </w:r>
    </w:p>
    <w:p>
      <w:pPr>
        <w:pStyle w:val="Style2"/>
        <w:keepNext w:val="0"/>
        <w:keepLines w:val="0"/>
        <w:widowControl w:val="0"/>
        <w:numPr>
          <w:ilvl w:val="0"/>
          <w:numId w:val="21"/>
        </w:numPr>
        <w:shd w:val="clear" w:color="auto" w:fill="auto"/>
        <w:tabs>
          <w:tab w:pos="353" w:val="left"/>
        </w:tabs>
        <w:bidi w:val="0"/>
        <w:spacing w:before="0" w:after="200" w:line="264" w:lineRule="auto"/>
        <w:ind w:left="0" w:right="0" w:firstLine="0"/>
        <w:jc w:val="both"/>
      </w:pPr>
      <w:r>
        <w:rPr>
          <w:color w:val="000000"/>
          <w:spacing w:val="0"/>
          <w:w w:val="100"/>
          <w:position w:val="0"/>
          <w:shd w:val="clear" w:color="auto" w:fill="auto"/>
          <w:lang w:val="cs-CZ" w:eastAsia="cs-CZ" w:bidi="cs-CZ"/>
        </w:rPr>
        <w:t>vyúčtování sjednané odměny při vydání Zprávy auditora.</w:t>
      </w:r>
    </w:p>
    <w:p>
      <w:pPr>
        <w:pStyle w:val="Style2"/>
        <w:keepNext w:val="0"/>
        <w:keepLines w:val="0"/>
        <w:widowControl w:val="0"/>
        <w:numPr>
          <w:ilvl w:val="0"/>
          <w:numId w:val="19"/>
        </w:numPr>
        <w:shd w:val="clear" w:color="auto" w:fill="auto"/>
        <w:tabs>
          <w:tab w:pos="354"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Klient se zavazuje uhradit faktury auditora do 10 dnů ode dne jejich vystavení, přičemž dnem úhrady se rozumí připsání fakturované částky na účet auditora. Za pozdní platbu zálohy či vyúčtování si smluvní strany sjednávají úrok z prodlení ve výši 0,05 % za každý den prodlení.</w:t>
      </w:r>
    </w:p>
    <w:p>
      <w:pPr>
        <w:pStyle w:val="Style14"/>
        <w:keepNext/>
        <w:keepLines/>
        <w:widowControl w:val="0"/>
        <w:numPr>
          <w:ilvl w:val="0"/>
          <w:numId w:val="1"/>
        </w:numPr>
        <w:shd w:val="clear" w:color="auto" w:fill="auto"/>
        <w:tabs>
          <w:tab w:pos="488" w:val="left"/>
        </w:tabs>
        <w:bidi w:val="0"/>
        <w:spacing w:before="0" w:after="200" w:line="240" w:lineRule="auto"/>
        <w:ind w:left="0" w:right="0" w:firstLine="0"/>
        <w:jc w:val="center"/>
      </w:pPr>
      <w:bookmarkStart w:id="14" w:name="bookmark14"/>
      <w:r>
        <w:rPr>
          <w:color w:val="000000"/>
          <w:spacing w:val="0"/>
          <w:w w:val="100"/>
          <w:position w:val="0"/>
          <w:shd w:val="clear" w:color="auto" w:fill="auto"/>
          <w:lang w:val="cs-CZ" w:eastAsia="cs-CZ" w:bidi="cs-CZ"/>
        </w:rPr>
        <w:t>Závazek mlčenlivosti</w:t>
      </w:r>
      <w:bookmarkEnd w:id="14"/>
    </w:p>
    <w:p>
      <w:pPr>
        <w:pStyle w:val="Style2"/>
        <w:keepNext w:val="0"/>
        <w:keepLines w:val="0"/>
        <w:widowControl w:val="0"/>
        <w:numPr>
          <w:ilvl w:val="0"/>
          <w:numId w:val="23"/>
        </w:numPr>
        <w:shd w:val="clear" w:color="auto" w:fill="auto"/>
        <w:tabs>
          <w:tab w:pos="353"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Smluvní strany se zavazují, že budou zachovávat mlčenlivost o všech informacích týkajících se druhé smluvní strany, o nichž se dozvěděly v souvislosti s auditem.</w:t>
      </w:r>
    </w:p>
    <w:p>
      <w:pPr>
        <w:pStyle w:val="Style2"/>
        <w:keepNext w:val="0"/>
        <w:keepLines w:val="0"/>
        <w:widowControl w:val="0"/>
        <w:numPr>
          <w:ilvl w:val="0"/>
          <w:numId w:val="23"/>
        </w:numPr>
        <w:shd w:val="clear" w:color="auto" w:fill="auto"/>
        <w:tabs>
          <w:tab w:pos="363" w:val="left"/>
        </w:tabs>
        <w:bidi w:val="0"/>
        <w:spacing w:before="0" w:after="200" w:line="240" w:lineRule="auto"/>
        <w:ind w:left="380" w:right="0" w:hanging="380"/>
        <w:jc w:val="both"/>
      </w:pPr>
      <w:r>
        <w:rPr>
          <w:color w:val="000000"/>
          <w:spacing w:val="0"/>
          <w:w w:val="100"/>
          <w:position w:val="0"/>
          <w:shd w:val="clear" w:color="auto" w:fill="auto"/>
          <w:lang w:val="cs-CZ" w:eastAsia="cs-CZ" w:bidi="cs-CZ"/>
        </w:rPr>
        <w:t>Auditor je zproštěn mlčenlivosti v případě, že o to bude požádán klientem nebo v případech stanovených platnou právní úpravou.</w:t>
      </w:r>
    </w:p>
    <w:p>
      <w:pPr>
        <w:pStyle w:val="Style14"/>
        <w:keepNext/>
        <w:keepLines/>
        <w:widowControl w:val="0"/>
        <w:numPr>
          <w:ilvl w:val="0"/>
          <w:numId w:val="1"/>
        </w:numPr>
        <w:shd w:val="clear" w:color="auto" w:fill="auto"/>
        <w:tabs>
          <w:tab w:pos="402" w:val="left"/>
        </w:tabs>
        <w:bidi w:val="0"/>
        <w:spacing w:before="0" w:after="200" w:line="240" w:lineRule="auto"/>
        <w:ind w:left="0" w:right="0" w:firstLine="0"/>
        <w:jc w:val="center"/>
      </w:pPr>
      <w:bookmarkStart w:id="16" w:name="bookmark16"/>
      <w:r>
        <w:rPr>
          <w:color w:val="000000"/>
          <w:spacing w:val="0"/>
          <w:w w:val="100"/>
          <w:position w:val="0"/>
          <w:shd w:val="clear" w:color="auto" w:fill="auto"/>
          <w:lang w:val="cs-CZ" w:eastAsia="cs-CZ" w:bidi="cs-CZ"/>
        </w:rPr>
        <w:t>Doba trvání smlouvy</w:t>
      </w:r>
      <w:bookmarkEnd w:id="16"/>
    </w:p>
    <w:p>
      <w:pPr>
        <w:pStyle w:val="Style2"/>
        <w:keepNext w:val="0"/>
        <w:keepLines w:val="0"/>
        <w:widowControl w:val="0"/>
        <w:numPr>
          <w:ilvl w:val="0"/>
          <w:numId w:val="25"/>
        </w:numPr>
        <w:shd w:val="clear" w:color="auto" w:fill="auto"/>
        <w:tabs>
          <w:tab w:pos="353" w:val="left"/>
        </w:tabs>
        <w:bidi w:val="0"/>
        <w:spacing w:before="0" w:line="240" w:lineRule="auto"/>
        <w:ind w:left="380" w:right="0" w:hanging="380"/>
        <w:jc w:val="both"/>
      </w:pPr>
      <w:r>
        <w:rPr>
          <w:color w:val="000000"/>
          <w:spacing w:val="0"/>
          <w:w w:val="100"/>
          <w:position w:val="0"/>
          <w:shd w:val="clear" w:color="auto" w:fill="auto"/>
          <w:lang w:val="cs-CZ" w:eastAsia="cs-CZ" w:bidi="cs-CZ"/>
        </w:rPr>
        <w:t>Tato smlouva platí pro řádnou účetní závěrku a výroční zprávu k 31.12.2023. Smlouva nabývá platnosti a účinnosti dnem podpisu obou smluvních stran. V případě, že se na klienta vztahuje povinnost uveřejnění smlouvy dle zákona č. 340/2015 Sb., o registru smluv, nabývá smlouva</w:t>
        <w:br w:type="page"/>
      </w:r>
      <w:r>
        <w:rPr>
          <w:color w:val="000000"/>
          <w:spacing w:val="0"/>
          <w:w w:val="100"/>
          <w:position w:val="0"/>
          <w:shd w:val="clear" w:color="auto" w:fill="auto"/>
          <w:lang w:val="cs-CZ" w:eastAsia="cs-CZ" w:bidi="cs-CZ"/>
        </w:rPr>
        <w:t>účinnosti dnem jejího uveřejnění, které zajistí klient neprodleně po jejím podpisu. Účinnost smlouvy končí dnem splnění předmětu smlouvy.</w:t>
      </w:r>
    </w:p>
    <w:p>
      <w:pPr>
        <w:pStyle w:val="Style2"/>
        <w:keepNext w:val="0"/>
        <w:keepLines w:val="0"/>
        <w:widowControl w:val="0"/>
        <w:numPr>
          <w:ilvl w:val="0"/>
          <w:numId w:val="25"/>
        </w:numPr>
        <w:shd w:val="clear" w:color="auto" w:fill="auto"/>
        <w:tabs>
          <w:tab w:pos="358" w:val="left"/>
        </w:tabs>
        <w:bidi w:val="0"/>
        <w:spacing w:before="0" w:line="240" w:lineRule="auto"/>
        <w:ind w:left="380" w:right="0" w:hanging="380"/>
        <w:jc w:val="both"/>
      </w:pPr>
      <w:r>
        <w:rPr>
          <w:color w:val="000000"/>
          <w:spacing w:val="0"/>
          <w:w w:val="100"/>
          <w:position w:val="0"/>
          <w:shd w:val="clear" w:color="auto" w:fill="auto"/>
          <w:lang w:val="cs-CZ" w:eastAsia="cs-CZ" w:bidi="cs-CZ"/>
        </w:rPr>
        <w:t>Při závažném porušení některé z klientových povinností dle ustanovení této smlouvy (např. nezaplacení zálohy, nedodání požadovaných podkladů či prohlášení, neodsouhlasení rozsahu prací nad předpokládaný rámec...) může auditor smlouvu vypovědět. Výpověď musí mít písemnou formu a nabývá účinnosti doručením klientovi.</w:t>
      </w:r>
    </w:p>
    <w:p>
      <w:pPr>
        <w:pStyle w:val="Style2"/>
        <w:keepNext w:val="0"/>
        <w:keepLines w:val="0"/>
        <w:widowControl w:val="0"/>
        <w:numPr>
          <w:ilvl w:val="0"/>
          <w:numId w:val="25"/>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Klient může smlouvu jednostranně ukončit, pouze neprovádí-li auditor audit v souladu s právními předpisy, vnitřními předpisy nebo etickým kodexem. Rozdílnost názorů na účetní řešení nebo auditorské postupy nelze považovat za důvod pro ukončení smluvního vztahu.</w:t>
      </w:r>
    </w:p>
    <w:p>
      <w:pPr>
        <w:pStyle w:val="Style2"/>
        <w:keepNext w:val="0"/>
        <w:keepLines w:val="0"/>
        <w:widowControl w:val="0"/>
        <w:numPr>
          <w:ilvl w:val="0"/>
          <w:numId w:val="25"/>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V případě výpovědi i jednostranného ukončení smlouvy má auditor vždy minimálně nárok na úhradu již vynaložených nákladů.</w:t>
      </w:r>
    </w:p>
    <w:p>
      <w:pPr>
        <w:pStyle w:val="Style2"/>
        <w:keepNext w:val="0"/>
        <w:keepLines w:val="0"/>
        <w:widowControl w:val="0"/>
        <w:numPr>
          <w:ilvl w:val="0"/>
          <w:numId w:val="25"/>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Obě strany mají také nárok na náhradu škody způsobené druhou stranou porušením podmínek této smlouvy nebo obecně závazných předpisů.</w:t>
      </w:r>
    </w:p>
    <w:p>
      <w:pPr>
        <w:pStyle w:val="Style14"/>
        <w:keepNext/>
        <w:keepLines/>
        <w:widowControl w:val="0"/>
        <w:numPr>
          <w:ilvl w:val="0"/>
          <w:numId w:val="1"/>
        </w:numPr>
        <w:shd w:val="clear" w:color="auto" w:fill="auto"/>
        <w:tabs>
          <w:tab w:pos="488" w:val="left"/>
        </w:tabs>
        <w:bidi w:val="0"/>
        <w:spacing w:before="0" w:line="240" w:lineRule="auto"/>
        <w:ind w:left="0" w:right="0" w:firstLine="0"/>
        <w:jc w:val="center"/>
      </w:pPr>
      <w:bookmarkStart w:id="18" w:name="bookmark18"/>
      <w:r>
        <w:rPr>
          <w:color w:val="000000"/>
          <w:spacing w:val="0"/>
          <w:w w:val="100"/>
          <w:position w:val="0"/>
          <w:shd w:val="clear" w:color="auto" w:fill="auto"/>
          <w:lang w:val="cs-CZ" w:eastAsia="cs-CZ" w:bidi="cs-CZ"/>
        </w:rPr>
        <w:t>Doručování</w:t>
      </w:r>
      <w:bookmarkEnd w:id="18"/>
    </w:p>
    <w:p>
      <w:pPr>
        <w:pStyle w:val="Style2"/>
        <w:keepNext w:val="0"/>
        <w:keepLines w:val="0"/>
        <w:widowControl w:val="0"/>
        <w:numPr>
          <w:ilvl w:val="0"/>
          <w:numId w:val="27"/>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Korespondence mezi klientem a auditorem se doručuje osobně, poštovní přepravou, kurýrní službou nebo za použití přenosových technik, a to za podmínek sjednaných ve smlouvě.</w:t>
      </w:r>
    </w:p>
    <w:p>
      <w:pPr>
        <w:pStyle w:val="Style2"/>
        <w:keepNext w:val="0"/>
        <w:keepLines w:val="0"/>
        <w:widowControl w:val="0"/>
        <w:numPr>
          <w:ilvl w:val="0"/>
          <w:numId w:val="27"/>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Není-li ve smlouvě uvedeno jinak, pak pro případ odepření přijetí či nepřevzetí poštovní zásilky se má za to, že zásilka byla doručena klientovi sedmý den následující po dni, kdy byla zásilka předána k poštovní přepravě.</w:t>
      </w:r>
    </w:p>
    <w:p>
      <w:pPr>
        <w:pStyle w:val="Style2"/>
        <w:keepNext w:val="0"/>
        <w:keepLines w:val="0"/>
        <w:widowControl w:val="0"/>
        <w:numPr>
          <w:ilvl w:val="0"/>
          <w:numId w:val="27"/>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Doručuje se na adresy (včetně elektronických) uvedené ve smlouvě. Přílohu č. 2 této smlouvy tvoří seznam kontaktních údajů osob určených klientem pro jednání s auditorem v odborných záležitostech. Přílohu č. 3 této smlouvy tvoří seznam kontaktních údajů členů auditorského týmu.</w:t>
      </w:r>
    </w:p>
    <w:p>
      <w:pPr>
        <w:pStyle w:val="Style14"/>
        <w:keepNext/>
        <w:keepLines/>
        <w:widowControl w:val="0"/>
        <w:numPr>
          <w:ilvl w:val="0"/>
          <w:numId w:val="1"/>
        </w:numPr>
        <w:shd w:val="clear" w:color="auto" w:fill="auto"/>
        <w:tabs>
          <w:tab w:pos="574" w:val="left"/>
        </w:tabs>
        <w:bidi w:val="0"/>
        <w:spacing w:before="0" w:line="240" w:lineRule="auto"/>
        <w:ind w:left="0" w:right="0" w:firstLine="0"/>
        <w:jc w:val="center"/>
      </w:pPr>
      <w:bookmarkStart w:id="20" w:name="bookmark20"/>
      <w:r>
        <w:rPr>
          <w:color w:val="000000"/>
          <w:spacing w:val="0"/>
          <w:w w:val="100"/>
          <w:position w:val="0"/>
          <w:shd w:val="clear" w:color="auto" w:fill="auto"/>
          <w:lang w:val="cs-CZ" w:eastAsia="cs-CZ" w:bidi="cs-CZ"/>
        </w:rPr>
        <w:t>Závěrečná ustanovení</w:t>
      </w:r>
      <w:bookmarkEnd w:id="20"/>
    </w:p>
    <w:p>
      <w:pPr>
        <w:pStyle w:val="Style2"/>
        <w:keepNext w:val="0"/>
        <w:keepLines w:val="0"/>
        <w:widowControl w:val="0"/>
        <w:numPr>
          <w:ilvl w:val="0"/>
          <w:numId w:val="29"/>
        </w:numPr>
        <w:shd w:val="clear" w:color="auto" w:fill="auto"/>
        <w:tabs>
          <w:tab w:pos="347" w:val="left"/>
        </w:tabs>
        <w:bidi w:val="0"/>
        <w:spacing w:before="0" w:line="240" w:lineRule="auto"/>
        <w:ind w:left="0" w:right="0" w:firstLine="0"/>
        <w:jc w:val="left"/>
      </w:pPr>
      <w:r>
        <w:rPr>
          <w:color w:val="000000"/>
          <w:spacing w:val="0"/>
          <w:w w:val="100"/>
          <w:position w:val="0"/>
          <w:shd w:val="clear" w:color="auto" w:fill="auto"/>
          <w:lang w:val="cs-CZ" w:eastAsia="cs-CZ" w:bidi="cs-CZ"/>
        </w:rPr>
        <w:t>Povinnosti a práva neupravená touto smlouvou se řídí příslušnými právními předpisy.</w:t>
      </w:r>
    </w:p>
    <w:p>
      <w:pPr>
        <w:pStyle w:val="Style2"/>
        <w:keepNext w:val="0"/>
        <w:keepLines w:val="0"/>
        <w:widowControl w:val="0"/>
        <w:numPr>
          <w:ilvl w:val="0"/>
          <w:numId w:val="29"/>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Změna této smlouvy je možná písemnou formou v podobě číslovaného, oběma stranami podepsaného dodatku.</w:t>
      </w:r>
    </w:p>
    <w:p>
      <w:pPr>
        <w:pStyle w:val="Style2"/>
        <w:keepNext w:val="0"/>
        <w:keepLines w:val="0"/>
        <w:widowControl w:val="0"/>
        <w:numPr>
          <w:ilvl w:val="0"/>
          <w:numId w:val="29"/>
        </w:numPr>
        <w:shd w:val="clear" w:color="auto" w:fill="auto"/>
        <w:tabs>
          <w:tab w:pos="347" w:val="left"/>
        </w:tabs>
        <w:bidi w:val="0"/>
        <w:spacing w:before="0" w:line="240" w:lineRule="auto"/>
        <w:ind w:left="380" w:right="0" w:hanging="380"/>
        <w:jc w:val="both"/>
      </w:pPr>
      <w:r>
        <w:rPr>
          <w:color w:val="000000"/>
          <w:spacing w:val="0"/>
          <w:w w:val="100"/>
          <w:position w:val="0"/>
          <w:shd w:val="clear" w:color="auto" w:fill="auto"/>
          <w:lang w:val="cs-CZ" w:eastAsia="cs-CZ" w:bidi="cs-CZ"/>
        </w:rPr>
        <w:t>Tato smlouva včetně příloh je sepsána ve dvou vyhotoveních o devíti strojopisných stranách. Každý z účastníků po podpisu obdrží jedno vyhotovení.</w:t>
      </w:r>
    </w:p>
    <w:p>
      <w:pPr>
        <w:pStyle w:val="Style2"/>
        <w:keepNext w:val="0"/>
        <w:keepLines w:val="0"/>
        <w:widowControl w:val="0"/>
        <w:numPr>
          <w:ilvl w:val="0"/>
          <w:numId w:val="29"/>
        </w:numPr>
        <w:shd w:val="clear" w:color="auto" w:fill="auto"/>
        <w:tabs>
          <w:tab w:pos="347" w:val="left"/>
        </w:tabs>
        <w:bidi w:val="0"/>
        <w:spacing w:before="0" w:after="480" w:line="240" w:lineRule="auto"/>
        <w:ind w:left="380" w:right="0" w:hanging="380"/>
        <w:jc w:val="both"/>
      </w:pPr>
      <w:r>
        <w:rPr>
          <w:color w:val="000000"/>
          <w:spacing w:val="0"/>
          <w:w w:val="100"/>
          <w:position w:val="0"/>
          <w:shd w:val="clear" w:color="auto" w:fill="auto"/>
          <w:lang w:val="cs-CZ" w:eastAsia="cs-CZ" w:bidi="cs-CZ"/>
        </w:rPr>
        <w:t>Účastníci prohlašují, že si smlouvu řádně přečetli, prohlašují, že smlouva vyjadřuje jejich pravou a svobodnou vůli, že nebyla sepsána v tísni ani za jinak nevýhodných podmínek a na důkaz toho připojují dobrovolně své podpisy.</w:t>
      </w:r>
    </w:p>
    <w:p>
      <w:pPr>
        <w:pStyle w:val="Style2"/>
        <w:keepNext w:val="0"/>
        <w:keepLines w:val="0"/>
        <w:widowControl w:val="0"/>
        <w:shd w:val="clear" w:color="auto" w:fill="auto"/>
        <w:tabs>
          <w:tab w:leader="dot" w:pos="3930" w:val="left"/>
          <w:tab w:leader="dot" w:pos="7506" w:val="left"/>
        </w:tabs>
        <w:bidi w:val="0"/>
        <w:spacing w:before="0" w:after="840" w:line="240" w:lineRule="auto"/>
        <w:ind w:left="1180" w:right="0" w:firstLine="0"/>
        <w:jc w:val="left"/>
      </w:pPr>
      <w:r>
        <w:rPr>
          <w:color w:val="000000"/>
          <w:spacing w:val="0"/>
          <w:w w:val="100"/>
          <w:position w:val="0"/>
          <w:shd w:val="clear" w:color="auto" w:fill="auto"/>
          <w:lang w:val="cs-CZ" w:eastAsia="cs-CZ" w:bidi="cs-CZ"/>
        </w:rPr>
        <w:t xml:space="preserve">Mělník, dne </w:t>
        <w:tab/>
        <w:t xml:space="preserve"> Liberec, dne </w:t>
        <w:tab/>
      </w:r>
    </w:p>
    <w:p>
      <w:pPr>
        <w:pStyle w:val="Style2"/>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4262120</wp:posOffset>
                </wp:positionH>
                <wp:positionV relativeFrom="paragraph">
                  <wp:posOffset>12700</wp:posOffset>
                </wp:positionV>
                <wp:extent cx="1417320" cy="524510"/>
                <wp:wrapSquare wrapText="left"/>
                <wp:docPr id="1" name="Shape 1"/>
                <a:graphic xmlns:a="http://schemas.openxmlformats.org/drawingml/2006/main">
                  <a:graphicData uri="http://schemas.microsoft.com/office/word/2010/wordprocessingShape">
                    <wps:wsp>
                      <wps:cNvSpPr txBox="1"/>
                      <wps:spPr>
                        <a:xfrm>
                          <a:ext cx="1417320" cy="5245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ADAMEC AUDIT s.r.o.</w:t>
                              <w:br/>
                              <w:t>Ing. Jaromír Adamec</w:t>
                              <w:br/>
                              <w:t>jednatel</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5.60000000000002pt;margin-top:1.pt;width:111.60000000000001pt;height:41.300000000000004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ADAMEC AUDIT s.r.o.</w:t>
                        <w:br/>
                        <w:t>Ing. Jaromír Adamec</w:t>
                        <w:br/>
                        <w:t>jednatel</w:t>
                      </w:r>
                    </w:p>
                  </w:txbxContent>
                </v:textbox>
                <w10:wrap type="square" side="left" anchorx="page"/>
              </v:shape>
            </w:pict>
          </mc:Fallback>
        </mc:AlternateContent>
      </w:r>
      <w:r>
        <w:rPr>
          <w:color w:val="000000"/>
          <w:spacing w:val="0"/>
          <w:w w:val="100"/>
          <w:position w:val="0"/>
          <w:shd w:val="clear" w:color="auto" w:fill="auto"/>
          <w:lang w:val="cs-CZ" w:eastAsia="cs-CZ" w:bidi="cs-CZ"/>
        </w:rPr>
        <w:t>Mělnické kulturní centrum, z.ú.</w:t>
        <w:br/>
        <w:t>Ing. Radka Kareisová</w:t>
        <w:br/>
        <w:t>ředitelka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w:t>
      </w:r>
    </w:p>
    <w:p>
      <w:pPr>
        <w:pStyle w:val="Style19"/>
        <w:keepNext w:val="0"/>
        <w:keepLines w:val="0"/>
        <w:widowControl w:val="0"/>
        <w:shd w:val="clear" w:color="auto" w:fill="auto"/>
        <w:bidi w:val="0"/>
        <w:spacing w:before="0" w:after="0" w:line="230" w:lineRule="auto"/>
        <w:ind w:left="0" w:right="0" w:firstLine="0"/>
        <w:jc w:val="center"/>
      </w:pPr>
      <w:r>
        <w:rPr>
          <w:color w:val="000000"/>
          <w:spacing w:val="0"/>
          <w:w w:val="100"/>
          <w:position w:val="0"/>
          <w:shd w:val="clear" w:color="auto" w:fill="auto"/>
          <w:lang w:val="cs-CZ" w:eastAsia="cs-CZ" w:bidi="cs-CZ"/>
        </w:rPr>
        <w:t>VZOR</w:t>
      </w:r>
    </w:p>
    <w:p>
      <w:pPr>
        <w:pStyle w:val="Style19"/>
        <w:keepNext w:val="0"/>
        <w:keepLines w:val="0"/>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cs-CZ" w:eastAsia="cs-CZ" w:bidi="cs-CZ"/>
        </w:rPr>
        <w:t>Prohlášení vedení</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Auditoru</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ADAMEC AUDIT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Sáňkařská 556</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460 08 Liberec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oprávnění KA ČR č. 342</w:t>
      </w:r>
    </w:p>
    <w:p>
      <w:pPr>
        <w:pStyle w:val="Style2"/>
        <w:keepNext w:val="0"/>
        <w:keepLines w:val="0"/>
        <w:widowControl w:val="0"/>
        <w:shd w:val="clear" w:color="auto" w:fill="auto"/>
        <w:bidi w:val="0"/>
        <w:spacing w:before="0" w:line="240" w:lineRule="auto"/>
        <w:ind w:left="0" w:right="1700" w:firstLine="0"/>
        <w:jc w:val="right"/>
      </w:pPr>
      <w:r>
        <w:rPr>
          <w:color w:val="000000"/>
          <w:spacing w:val="0"/>
          <w:w w:val="100"/>
          <w:position w:val="0"/>
          <w:shd w:val="clear" w:color="auto" w:fill="auto"/>
          <w:lang w:val="cs-CZ" w:eastAsia="cs-CZ" w:bidi="cs-CZ"/>
        </w:rPr>
        <w:t xml:space="preserve">V </w:t>
      </w:r>
      <w:r>
        <w:rPr>
          <w:i/>
          <w:iCs/>
          <w:color w:val="00B050"/>
          <w:spacing w:val="0"/>
          <w:w w:val="100"/>
          <w:position w:val="0"/>
          <w:shd w:val="clear" w:color="auto" w:fill="auto"/>
          <w:lang w:val="cs-CZ" w:eastAsia="cs-CZ" w:bidi="cs-CZ"/>
        </w:rPr>
        <w:t>(místo)</w:t>
      </w:r>
      <w:r>
        <w:rPr>
          <w:color w:val="00B05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dne </w:t>
      </w:r>
      <w:r>
        <w:rPr>
          <w:i/>
          <w:iCs/>
          <w:color w:val="00B050"/>
          <w:spacing w:val="0"/>
          <w:w w:val="100"/>
          <w:position w:val="0"/>
          <w:shd w:val="clear" w:color="auto" w:fill="auto"/>
          <w:lang w:val="cs-CZ" w:eastAsia="cs-CZ" w:bidi="cs-CZ"/>
        </w:rPr>
        <w:t>(datum)</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Tento dopis obsahující prohlášení je poskytnut v souvislosti s Vaším auditem účetní závěrky společnosti </w:t>
      </w:r>
      <w:r>
        <w:rPr>
          <w:i/>
          <w:iCs/>
          <w:color w:val="00B050"/>
          <w:spacing w:val="0"/>
          <w:w w:val="100"/>
          <w:position w:val="0"/>
          <w:shd w:val="clear" w:color="auto" w:fill="auto"/>
          <w:lang w:val="cs-CZ" w:eastAsia="cs-CZ" w:bidi="cs-CZ"/>
        </w:rPr>
        <w:t>(jméno společnosti)</w:t>
      </w:r>
      <w:r>
        <w:rPr>
          <w:color w:val="00B05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se sídlem </w:t>
      </w:r>
      <w:r>
        <w:rPr>
          <w:i/>
          <w:iCs/>
          <w:color w:val="00B050"/>
          <w:spacing w:val="0"/>
          <w:w w:val="100"/>
          <w:position w:val="0"/>
          <w:shd w:val="clear" w:color="auto" w:fill="auto"/>
          <w:lang w:val="cs-CZ" w:eastAsia="cs-CZ" w:bidi="cs-CZ"/>
        </w:rPr>
        <w:t>(sídlo)</w:t>
      </w:r>
      <w:r>
        <w:rPr>
          <w:color w:val="000000"/>
          <w:spacing w:val="0"/>
          <w:w w:val="100"/>
          <w:position w:val="0"/>
          <w:shd w:val="clear" w:color="auto" w:fill="auto"/>
          <w:lang w:val="cs-CZ" w:eastAsia="cs-CZ" w:bidi="cs-CZ"/>
        </w:rPr>
        <w:t xml:space="preserve">, IČ </w:t>
      </w:r>
      <w:r>
        <w:rPr>
          <w:i/>
          <w:iCs/>
          <w:color w:val="00B050"/>
          <w:spacing w:val="0"/>
          <w:w w:val="100"/>
          <w:position w:val="0"/>
          <w:shd w:val="clear" w:color="auto" w:fill="auto"/>
          <w:lang w:val="cs-CZ" w:eastAsia="cs-CZ" w:bidi="cs-CZ"/>
        </w:rPr>
        <w:t>(IČ)</w:t>
      </w:r>
      <w:r>
        <w:rPr>
          <w:color w:val="00B05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(dále jen „společnost“) za rok končící </w:t>
      </w:r>
      <w:r>
        <w:rPr>
          <w:i/>
          <w:iCs/>
          <w:color w:val="00B050"/>
          <w:spacing w:val="0"/>
          <w:w w:val="100"/>
          <w:position w:val="0"/>
          <w:shd w:val="clear" w:color="auto" w:fill="auto"/>
          <w:lang w:val="cs-CZ" w:eastAsia="cs-CZ" w:bidi="cs-CZ"/>
        </w:rPr>
        <w:t>(rozvahový den)</w:t>
      </w:r>
      <w:r>
        <w:rPr>
          <w:color w:val="00B05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 účelem vyjádření výroku o tom, zda účetní závěrka, ve všech významných (materiálních) ohledech, podává věrný a poctivý obraz v souladu s českými účetními předpisy.</w:t>
      </w:r>
    </w:p>
    <w:p>
      <w:pPr>
        <w:pStyle w:val="Style2"/>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Potvrzujeme dle našeho nejlepšího vědomí a svědomí a po dotazováních, která jsme považovali za nezbytná, abychom byli vhodně informováni, že:</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left"/>
      </w:pPr>
      <w:r>
        <w:rPr>
          <w:color w:val="000000"/>
          <w:spacing w:val="0"/>
          <w:w w:val="100"/>
          <w:position w:val="0"/>
          <w:shd w:val="clear" w:color="auto" w:fill="auto"/>
          <w:lang w:val="cs-CZ" w:eastAsia="cs-CZ" w:bidi="cs-CZ"/>
        </w:rPr>
        <w:t>Splnili jsme své povinnosti uvedené v podmínkách auditní zakázky týkající se sestavení účetní závěrky a zejména to, že účetní závěrka podává věrný a poctivý obraz v souladu s výše uvedeným rámcem účetního výkaznictví.</w:t>
      </w:r>
    </w:p>
    <w:p>
      <w:pPr>
        <w:pStyle w:val="Style2"/>
        <w:keepNext w:val="0"/>
        <w:keepLines w:val="0"/>
        <w:widowControl w:val="0"/>
        <w:numPr>
          <w:ilvl w:val="0"/>
          <w:numId w:val="31"/>
        </w:numPr>
        <w:shd w:val="clear" w:color="auto" w:fill="auto"/>
        <w:tabs>
          <w:tab w:pos="349" w:val="left"/>
        </w:tabs>
        <w:bidi w:val="0"/>
        <w:spacing w:before="0" w:after="80" w:line="240" w:lineRule="auto"/>
        <w:ind w:left="0" w:right="0" w:firstLine="0"/>
        <w:jc w:val="left"/>
      </w:pPr>
      <w:r>
        <w:rPr>
          <w:color w:val="000000"/>
          <w:spacing w:val="0"/>
          <w:w w:val="100"/>
          <w:position w:val="0"/>
          <w:shd w:val="clear" w:color="auto" w:fill="auto"/>
          <w:lang w:val="cs-CZ" w:eastAsia="cs-CZ" w:bidi="cs-CZ"/>
        </w:rPr>
        <w:t>Veškeré transakce byly zohledněny v účetních záznamech a zobrazeny v účetní závěrce.</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Významné předpoklady použité při sestavování účetních odhadů, včetně ocenění reálnou hodnotou, jsou přiměřené.</w:t>
      </w:r>
    </w:p>
    <w:p>
      <w:pPr>
        <w:pStyle w:val="Style2"/>
        <w:keepNext w:val="0"/>
        <w:keepLines w:val="0"/>
        <w:widowControl w:val="0"/>
        <w:numPr>
          <w:ilvl w:val="0"/>
          <w:numId w:val="31"/>
        </w:numPr>
        <w:shd w:val="clear" w:color="auto" w:fill="auto"/>
        <w:tabs>
          <w:tab w:pos="349"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Vztahy a transakce se spřízněnými stranami byly vhodným způsobem zaúčtovány a zveřejněny v souladu s požadavky výše uvedeného rámce účetního výkaznictví.</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Všechny události po datu účetní závěrky, u kterých výše uvedený rámec účetního výkaznictví vyžaduje úpravu nebo zveřejnění, byly upraveny nebo zveřejněny.</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Dopad neopravených nesprávností není ani samostatně, ani v úhrnu významný (materiální) z pohledu účetní závěrky jako celku.</w:t>
      </w:r>
    </w:p>
    <w:p>
      <w:pPr>
        <w:pStyle w:val="Style2"/>
        <w:keepNext w:val="0"/>
        <w:keepLines w:val="0"/>
        <w:widowControl w:val="0"/>
        <w:shd w:val="clear" w:color="auto" w:fill="auto"/>
        <w:bidi w:val="0"/>
        <w:spacing w:before="0" w:after="80" w:line="240" w:lineRule="auto"/>
        <w:ind w:left="0" w:right="0" w:firstLine="380"/>
        <w:jc w:val="left"/>
      </w:pPr>
      <w:r>
        <w:rPr>
          <w:color w:val="000000"/>
          <w:spacing w:val="0"/>
          <w:w w:val="100"/>
          <w:position w:val="0"/>
          <w:shd w:val="clear" w:color="auto" w:fill="auto"/>
          <w:lang w:val="cs-CZ" w:eastAsia="cs-CZ" w:bidi="cs-CZ"/>
        </w:rPr>
        <w:t xml:space="preserve">Seznam neopravených nesprávností tvoří přílohu k tomuto prohlášení. </w:t>
      </w:r>
      <w:r>
        <w:rPr>
          <w:i/>
          <w:iCs/>
          <w:color w:val="00B050"/>
          <w:spacing w:val="0"/>
          <w:w w:val="100"/>
          <w:position w:val="0"/>
          <w:shd w:val="clear" w:color="auto" w:fill="auto"/>
          <w:lang w:val="cs-CZ" w:eastAsia="cs-CZ" w:bidi="cs-CZ"/>
        </w:rPr>
        <w:t>(je-li relevantní)</w:t>
      </w:r>
    </w:p>
    <w:p>
      <w:pPr>
        <w:pStyle w:val="Style2"/>
        <w:keepNext w:val="0"/>
        <w:keepLines w:val="0"/>
        <w:widowControl w:val="0"/>
        <w:numPr>
          <w:ilvl w:val="0"/>
          <w:numId w:val="31"/>
        </w:numPr>
        <w:shd w:val="clear" w:color="auto" w:fill="auto"/>
        <w:tabs>
          <w:tab w:pos="346" w:val="left"/>
        </w:tabs>
        <w:bidi w:val="0"/>
        <w:spacing w:before="0" w:after="0" w:line="240" w:lineRule="auto"/>
        <w:ind w:left="0" w:right="0" w:firstLine="0"/>
        <w:jc w:val="left"/>
      </w:pPr>
      <w:r>
        <w:rPr>
          <w:color w:val="000000"/>
          <w:spacing w:val="0"/>
          <w:w w:val="100"/>
          <w:position w:val="0"/>
          <w:shd w:val="clear" w:color="auto" w:fill="auto"/>
          <w:lang w:val="cs-CZ" w:eastAsia="cs-CZ" w:bidi="cs-CZ"/>
        </w:rPr>
        <w:t>Poskytli jsme Vám:</w:t>
      </w:r>
    </w:p>
    <w:p>
      <w:pPr>
        <w:pStyle w:val="Style2"/>
        <w:keepNext w:val="0"/>
        <w:keepLines w:val="0"/>
        <w:widowControl w:val="0"/>
        <w:numPr>
          <w:ilvl w:val="0"/>
          <w:numId w:val="33"/>
        </w:numPr>
        <w:shd w:val="clear" w:color="auto" w:fill="auto"/>
        <w:tabs>
          <w:tab w:pos="857" w:val="left"/>
        </w:tabs>
        <w:bidi w:val="0"/>
        <w:spacing w:before="0" w:after="0" w:line="240" w:lineRule="auto"/>
        <w:ind w:left="880" w:right="0" w:hanging="300"/>
        <w:jc w:val="both"/>
      </w:pPr>
      <w:r>
        <w:rPr>
          <w:color w:val="000000"/>
          <w:spacing w:val="0"/>
          <w:w w:val="100"/>
          <w:position w:val="0"/>
          <w:shd w:val="clear" w:color="auto" w:fill="auto"/>
          <w:lang w:val="cs-CZ" w:eastAsia="cs-CZ" w:bidi="cs-CZ"/>
        </w:rPr>
        <w:t>přístup k veškerým informacím, o nichž jsme si vědomi, že jsou relevantní pro sestavení účetní závěrky, jako jsou účetní záznamy, doklady a ostatní materiály,</w:t>
      </w:r>
    </w:p>
    <w:p>
      <w:pPr>
        <w:pStyle w:val="Style2"/>
        <w:keepNext w:val="0"/>
        <w:keepLines w:val="0"/>
        <w:widowControl w:val="0"/>
        <w:numPr>
          <w:ilvl w:val="0"/>
          <w:numId w:val="33"/>
        </w:numPr>
        <w:shd w:val="clear" w:color="auto" w:fill="auto"/>
        <w:tabs>
          <w:tab w:pos="857" w:val="left"/>
        </w:tabs>
        <w:bidi w:val="0"/>
        <w:spacing w:before="0" w:after="0" w:line="240" w:lineRule="auto"/>
        <w:ind w:left="0" w:right="0" w:firstLine="580"/>
        <w:jc w:val="left"/>
      </w:pPr>
      <w:r>
        <w:rPr>
          <w:color w:val="000000"/>
          <w:spacing w:val="0"/>
          <w:w w:val="100"/>
          <w:position w:val="0"/>
          <w:shd w:val="clear" w:color="auto" w:fill="auto"/>
          <w:lang w:val="cs-CZ" w:eastAsia="cs-CZ" w:bidi="cs-CZ"/>
        </w:rPr>
        <w:t>dodatečné informace, které jste od nás požadovali pro účely provedení auditu,</w:t>
      </w:r>
    </w:p>
    <w:p>
      <w:pPr>
        <w:pStyle w:val="Style2"/>
        <w:keepNext w:val="0"/>
        <w:keepLines w:val="0"/>
        <w:widowControl w:val="0"/>
        <w:numPr>
          <w:ilvl w:val="0"/>
          <w:numId w:val="33"/>
        </w:numPr>
        <w:shd w:val="clear" w:color="auto" w:fill="auto"/>
        <w:tabs>
          <w:tab w:pos="857" w:val="left"/>
        </w:tabs>
        <w:bidi w:val="0"/>
        <w:spacing w:before="0" w:after="280" w:line="240" w:lineRule="auto"/>
        <w:ind w:left="880" w:right="0" w:hanging="300"/>
        <w:jc w:val="both"/>
      </w:pPr>
      <w:r>
        <w:rPr>
          <w:color w:val="000000"/>
          <w:spacing w:val="0"/>
          <w:w w:val="100"/>
          <w:position w:val="0"/>
          <w:shd w:val="clear" w:color="auto" w:fill="auto"/>
          <w:lang w:val="cs-CZ" w:eastAsia="cs-CZ" w:bidi="cs-CZ"/>
        </w:rPr>
        <w:t>neomezený přístup k osobám v rámci účetní jednotky, od kterých je podle Vás nezbytné získat důkazní informace.</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Veškeré elektronicky poskytnuté dokumenty odpovídají originálním písemnostem a byly Vám poskytnuty v nezměněném rozsahu.</w:t>
      </w:r>
    </w:p>
    <w:p>
      <w:pPr>
        <w:pStyle w:val="Style2"/>
        <w:keepNext w:val="0"/>
        <w:keepLines w:val="0"/>
        <w:widowControl w:val="0"/>
        <w:numPr>
          <w:ilvl w:val="0"/>
          <w:numId w:val="31"/>
        </w:numPr>
        <w:shd w:val="clear" w:color="auto" w:fill="auto"/>
        <w:tabs>
          <w:tab w:pos="346" w:val="left"/>
        </w:tabs>
        <w:bidi w:val="0"/>
        <w:spacing w:before="0" w:after="80" w:line="240" w:lineRule="auto"/>
        <w:ind w:left="380" w:right="0" w:hanging="380"/>
        <w:jc w:val="both"/>
      </w:pPr>
      <w:r>
        <w:rPr>
          <w:color w:val="000000"/>
          <w:spacing w:val="0"/>
          <w:w w:val="100"/>
          <w:position w:val="0"/>
          <w:sz w:val="24"/>
          <w:szCs w:val="24"/>
          <w:shd w:val="clear" w:color="auto" w:fill="auto"/>
          <w:lang w:val="cs-CZ" w:eastAsia="cs-CZ" w:bidi="cs-CZ"/>
        </w:rPr>
        <w:t xml:space="preserve">Mimo smlouvy o vedení běžného účtu nemáme u </w:t>
      </w:r>
      <w:r>
        <w:rPr>
          <w:i/>
          <w:iCs/>
          <w:color w:val="00B050"/>
          <w:spacing w:val="0"/>
          <w:w w:val="100"/>
          <w:position w:val="0"/>
          <w:sz w:val="24"/>
          <w:szCs w:val="24"/>
          <w:shd w:val="clear" w:color="auto" w:fill="auto"/>
          <w:lang w:val="cs-CZ" w:eastAsia="cs-CZ" w:bidi="cs-CZ"/>
        </w:rPr>
        <w:t>název banky</w:t>
      </w:r>
      <w:r>
        <w:rPr>
          <w:color w:val="00B05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jiné smluvní vztahy a u jiných bankovních institucí nemáme žádné smluvní vztahy. </w:t>
      </w:r>
      <w:r>
        <w:rPr>
          <w:i/>
          <w:iCs/>
          <w:color w:val="00B050"/>
          <w:spacing w:val="0"/>
          <w:w w:val="100"/>
          <w:position w:val="0"/>
          <w:shd w:val="clear" w:color="auto" w:fill="auto"/>
          <w:lang w:val="cs-CZ" w:eastAsia="cs-CZ" w:bidi="cs-CZ"/>
        </w:rPr>
        <w:t>(není-li konfirmace s bankou)</w:t>
      </w:r>
    </w:p>
    <w:p>
      <w:pPr>
        <w:pStyle w:val="Style2"/>
        <w:keepNext w:val="0"/>
        <w:keepLines w:val="0"/>
        <w:widowControl w:val="0"/>
        <w:numPr>
          <w:ilvl w:val="0"/>
          <w:numId w:val="31"/>
        </w:numPr>
        <w:shd w:val="clear" w:color="auto" w:fill="auto"/>
        <w:tabs>
          <w:tab w:pos="435"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Jsme odpovědni za navržení, zavedení a provoz vnitřního kontrolního systému, jehož cílem je zamezit výskytu podvodů a chyb a případné podvody a chyby odhalovat.</w:t>
      </w:r>
    </w:p>
    <w:p>
      <w:pPr>
        <w:pStyle w:val="Style2"/>
        <w:keepNext w:val="0"/>
        <w:keepLines w:val="0"/>
        <w:widowControl w:val="0"/>
        <w:numPr>
          <w:ilvl w:val="0"/>
          <w:numId w:val="31"/>
        </w:numPr>
        <w:shd w:val="clear" w:color="auto" w:fill="auto"/>
        <w:tabs>
          <w:tab w:pos="435" w:val="left"/>
        </w:tabs>
        <w:bidi w:val="0"/>
        <w:spacing w:before="0" w:after="80" w:line="240" w:lineRule="auto"/>
        <w:ind w:left="380" w:right="0" w:hanging="380"/>
        <w:jc w:val="both"/>
      </w:pPr>
      <w:r>
        <w:rPr>
          <w:color w:val="000000"/>
          <w:spacing w:val="0"/>
          <w:w w:val="100"/>
          <w:position w:val="0"/>
          <w:shd w:val="clear" w:color="auto" w:fill="auto"/>
          <w:lang w:val="cs-CZ" w:eastAsia="cs-CZ" w:bidi="cs-CZ"/>
        </w:rPr>
        <w:t>Poskytli jsme Vám výsledky svého vyhodnocení rizika, že účetní závěrka může obsahovat významnou nesprávnost v důsledku podvodu.</w:t>
      </w:r>
    </w:p>
    <w:p>
      <w:pPr>
        <w:pStyle w:val="Style2"/>
        <w:keepNext w:val="0"/>
        <w:keepLines w:val="0"/>
        <w:widowControl w:val="0"/>
        <w:numPr>
          <w:ilvl w:val="0"/>
          <w:numId w:val="31"/>
        </w:numPr>
        <w:shd w:val="clear" w:color="auto" w:fill="auto"/>
        <w:tabs>
          <w:tab w:pos="435" w:val="left"/>
        </w:tabs>
        <w:bidi w:val="0"/>
        <w:spacing w:before="0" w:after="0" w:line="240" w:lineRule="auto"/>
        <w:ind w:left="360" w:right="0" w:hanging="360"/>
        <w:jc w:val="both"/>
      </w:pPr>
      <w:r>
        <w:rPr>
          <w:color w:val="000000"/>
          <w:spacing w:val="0"/>
          <w:w w:val="100"/>
          <w:position w:val="0"/>
          <w:shd w:val="clear" w:color="auto" w:fill="auto"/>
          <w:lang w:val="cs-CZ" w:eastAsia="cs-CZ" w:bidi="cs-CZ"/>
        </w:rPr>
        <w:t>Poskytli jsme Vám veškeré informace ve vztahu k podvodu nebo podezření na podvod, které jsou nám známy a které mají dopad na účetní jednotku a týkají se:</w:t>
      </w:r>
    </w:p>
    <w:p>
      <w:pPr>
        <w:pStyle w:val="Style2"/>
        <w:keepNext w:val="0"/>
        <w:keepLines w:val="0"/>
        <w:widowControl w:val="0"/>
        <w:numPr>
          <w:ilvl w:val="0"/>
          <w:numId w:val="35"/>
        </w:numPr>
        <w:shd w:val="clear" w:color="auto" w:fill="auto"/>
        <w:tabs>
          <w:tab w:pos="857" w:val="left"/>
        </w:tabs>
        <w:bidi w:val="0"/>
        <w:spacing w:before="0" w:after="0" w:line="264" w:lineRule="auto"/>
        <w:ind w:left="0" w:right="0" w:firstLine="580"/>
        <w:jc w:val="left"/>
      </w:pPr>
      <w:r>
        <w:rPr>
          <w:color w:val="000000"/>
          <w:spacing w:val="0"/>
          <w:w w:val="100"/>
          <w:position w:val="0"/>
          <w:shd w:val="clear" w:color="auto" w:fill="auto"/>
          <w:lang w:val="cs-CZ" w:eastAsia="cs-CZ" w:bidi="cs-CZ"/>
        </w:rPr>
        <w:t>vedení,</w:t>
      </w:r>
    </w:p>
    <w:p>
      <w:pPr>
        <w:pStyle w:val="Style2"/>
        <w:keepNext w:val="0"/>
        <w:keepLines w:val="0"/>
        <w:widowControl w:val="0"/>
        <w:numPr>
          <w:ilvl w:val="0"/>
          <w:numId w:val="35"/>
        </w:numPr>
        <w:shd w:val="clear" w:color="auto" w:fill="auto"/>
        <w:tabs>
          <w:tab w:pos="857" w:val="left"/>
        </w:tabs>
        <w:bidi w:val="0"/>
        <w:spacing w:before="0" w:after="0" w:line="264" w:lineRule="auto"/>
        <w:ind w:left="0" w:right="0" w:firstLine="580"/>
        <w:jc w:val="left"/>
      </w:pPr>
      <w:r>
        <w:rPr>
          <w:color w:val="000000"/>
          <w:spacing w:val="0"/>
          <w:w w:val="100"/>
          <w:position w:val="0"/>
          <w:shd w:val="clear" w:color="auto" w:fill="auto"/>
          <w:lang w:val="cs-CZ" w:eastAsia="cs-CZ" w:bidi="cs-CZ"/>
        </w:rPr>
        <w:t>zaměstnanců, kteří mají významnou roli ve vnitřní kontrole,</w:t>
      </w:r>
    </w:p>
    <w:p>
      <w:pPr>
        <w:pStyle w:val="Style2"/>
        <w:keepNext w:val="0"/>
        <w:keepLines w:val="0"/>
        <w:widowControl w:val="0"/>
        <w:numPr>
          <w:ilvl w:val="0"/>
          <w:numId w:val="35"/>
        </w:numPr>
        <w:shd w:val="clear" w:color="auto" w:fill="auto"/>
        <w:tabs>
          <w:tab w:pos="857" w:val="left"/>
        </w:tabs>
        <w:bidi w:val="0"/>
        <w:spacing w:before="0" w:after="0" w:line="264" w:lineRule="auto"/>
        <w:ind w:left="0" w:right="0" w:firstLine="580"/>
        <w:jc w:val="left"/>
      </w:pPr>
      <w:r>
        <w:rPr>
          <w:color w:val="000000"/>
          <w:spacing w:val="0"/>
          <w:w w:val="100"/>
          <w:position w:val="0"/>
          <w:shd w:val="clear" w:color="auto" w:fill="auto"/>
          <w:lang w:val="cs-CZ" w:eastAsia="cs-CZ" w:bidi="cs-CZ"/>
        </w:rPr>
        <w:t>ostatních osob, pokud by podvod mohl mít významný dopad na účetní závěrku.</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Poskytli jsme Vám veškeré informace týkající se tvrzení o podvodu nebo podezření na podvod s dopadem na účetní závěrku účetní jednotky, oznámené zaměstnanci, bývalými zaměstnanci, analytiky, regulátory nebo ostatními.</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Sdělili jsme Vám veškeré známé případy nesouladu nebo podezření na nesoulad s právními předpisy, jejichž dopady by měly být zváženy při sestavování účetní závěrky.</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 xml:space="preserve">Sdělili jsme Vám veškeré informace o známých či potenciálních soudních sporech a nárocích, jejichž dopady by měly být zváženy při sestavování účetní závěrky. Veškeré tyto nároky a spory byly adekvátně zaúčtovány či popsány v účetní závěrce. </w:t>
      </w:r>
      <w:r>
        <w:rPr>
          <w:i/>
          <w:iCs/>
          <w:color w:val="00B050"/>
          <w:spacing w:val="0"/>
          <w:w w:val="100"/>
          <w:position w:val="0"/>
          <w:shd w:val="clear" w:color="auto" w:fill="auto"/>
          <w:lang w:val="cs-CZ" w:eastAsia="cs-CZ" w:bidi="cs-CZ"/>
        </w:rPr>
        <w:t>(není-li konfirmace s právníkem)</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Sdělili jsme Vám identitu spřízněných stran účetní jednotky a veškeré vztahy a transakce se spřízněnými stranami, kterých jsme si vědomi, potvrzujeme, že vedení řádně zaúčtovalo a zveřejnilo tyto vztahy a transakce v souladu s požadavky výše uvedeného rámce.</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Nejsme si vědomi žádných událostí nebo okolností, které by zpochybňovaly schopnost jednotky pokračovat ve své činnosti v dohledné budoucnosti.</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Výroční zpráva byla sestavena v souladu s příslušnými právními předpisy a neobsahuje významné (materiální) nesprávnosti. Výroční zpráva a účetní závěrka jsou vzájemně v souladu. Výroční zpráva byla poskytnuta ve finální verzi z hlediska svého obsahu a jiné dokumenty, v nichž by mohly být obsahově shodné informace, nebude účetní jednotka vydávat.</w:t>
      </w:r>
    </w:p>
    <w:p>
      <w:pPr>
        <w:pStyle w:val="Style2"/>
        <w:keepNext w:val="0"/>
        <w:keepLines w:val="0"/>
        <w:widowControl w:val="0"/>
        <w:shd w:val="clear" w:color="auto" w:fill="auto"/>
        <w:bidi w:val="0"/>
        <w:spacing w:before="0" w:after="80" w:line="240" w:lineRule="auto"/>
        <w:ind w:left="0" w:right="0" w:firstLine="0"/>
        <w:jc w:val="left"/>
      </w:pPr>
      <w:r>
        <w:rPr>
          <w:i/>
          <w:iCs/>
          <w:color w:val="00B050"/>
          <w:spacing w:val="0"/>
          <w:w w:val="100"/>
          <w:position w:val="0"/>
          <w:shd w:val="clear" w:color="auto" w:fill="auto"/>
          <w:lang w:val="cs-CZ" w:eastAsia="cs-CZ" w:bidi="cs-CZ"/>
        </w:rPr>
        <w:t>(Následující prohlášení, jsou-li relevantní)</w:t>
      </w:r>
    </w:p>
    <w:p>
      <w:pPr>
        <w:pStyle w:val="Style2"/>
        <w:keepNext w:val="0"/>
        <w:keepLines w:val="0"/>
        <w:widowControl w:val="0"/>
        <w:numPr>
          <w:ilvl w:val="0"/>
          <w:numId w:val="31"/>
        </w:numPr>
        <w:shd w:val="clear" w:color="auto" w:fill="auto"/>
        <w:tabs>
          <w:tab w:pos="435" w:val="left"/>
        </w:tabs>
        <w:bidi w:val="0"/>
        <w:spacing w:before="0" w:after="80" w:line="240" w:lineRule="auto"/>
        <w:ind w:left="360" w:right="0" w:hanging="360"/>
        <w:jc w:val="both"/>
      </w:pPr>
      <w:r>
        <w:rPr>
          <w:color w:val="000000"/>
          <w:spacing w:val="0"/>
          <w:w w:val="100"/>
          <w:position w:val="0"/>
          <w:shd w:val="clear" w:color="auto" w:fill="auto"/>
          <w:lang w:val="cs-CZ" w:eastAsia="cs-CZ" w:bidi="cs-CZ"/>
        </w:rPr>
        <w:t>Společnost není organizací, jejíž provoz je předmětem vládního nebo bankovního dozoru podle zvláštní legislativy („regulovaná organizace“); žádná regulovaná organizace nedrží 20 % nebo větší podíl na hlasovacích právech společnosti, ani nevlastní 20 % nebo větší podíl na základním kapitálu společnosti. Společnost také netvoří obchodní skupinu s žádnou regulovanou organizací.</w:t>
      </w:r>
    </w:p>
    <w:p>
      <w:pPr>
        <w:pStyle w:val="Style2"/>
        <w:keepNext w:val="0"/>
        <w:keepLines w:val="0"/>
        <w:widowControl w:val="0"/>
        <w:numPr>
          <w:ilvl w:val="0"/>
          <w:numId w:val="31"/>
        </w:numPr>
        <w:shd w:val="clear" w:color="auto" w:fill="auto"/>
        <w:tabs>
          <w:tab w:pos="459" w:val="left"/>
        </w:tabs>
        <w:bidi w:val="0"/>
        <w:spacing w:before="0" w:after="80" w:line="240" w:lineRule="auto"/>
        <w:ind w:left="360" w:right="0" w:hanging="360"/>
        <w:jc w:val="both"/>
      </w:pPr>
      <w:r>
        <w:rPr>
          <w:i/>
          <w:iCs/>
          <w:color w:val="00B050"/>
          <w:spacing w:val="0"/>
          <w:w w:val="100"/>
          <w:position w:val="0"/>
          <w:shd w:val="clear" w:color="auto" w:fill="auto"/>
          <w:lang w:val="cs-CZ" w:eastAsia="cs-CZ" w:bidi="cs-CZ"/>
        </w:rPr>
        <w:t>Prohlášení ohledně plánů budoucích kroků a proveditelnost těchto plánů, pokud byly zaznamenány události nebo podmínky, které by mohly vést k významným pochybnostem o schopnosti účetní jednotky pokračovat ve své činnosti v dohledné budoucnosti.</w:t>
      </w:r>
    </w:p>
    <w:p>
      <w:pPr>
        <w:pStyle w:val="Style2"/>
        <w:keepNext w:val="0"/>
        <w:keepLines w:val="0"/>
        <w:widowControl w:val="0"/>
        <w:numPr>
          <w:ilvl w:val="0"/>
          <w:numId w:val="31"/>
        </w:numPr>
        <w:shd w:val="clear" w:color="auto" w:fill="auto"/>
        <w:tabs>
          <w:tab w:pos="459" w:val="left"/>
        </w:tabs>
        <w:bidi w:val="0"/>
        <w:spacing w:before="0" w:after="80" w:line="240" w:lineRule="auto"/>
        <w:ind w:left="360" w:right="0" w:hanging="360"/>
        <w:jc w:val="both"/>
      </w:pPr>
      <w:r>
        <w:rPr>
          <w:i/>
          <w:iCs/>
          <w:color w:val="00B050"/>
          <w:spacing w:val="0"/>
          <w:w w:val="100"/>
          <w:position w:val="0"/>
          <w:shd w:val="clear" w:color="auto" w:fill="auto"/>
          <w:lang w:val="cs-CZ" w:eastAsia="cs-CZ" w:bidi="cs-CZ"/>
        </w:rPr>
        <w:t>Prohlášení ohledně jakéhokoliv přepracování účetní závěrky z důvodu významné nesprávnosti, která ovlivňuje srovnatelné údaje</w:t>
      </w:r>
      <w:r>
        <w:rPr>
          <w:color w:val="00B050"/>
          <w:spacing w:val="0"/>
          <w:w w:val="100"/>
          <w:position w:val="0"/>
          <w:shd w:val="clear" w:color="auto" w:fill="auto"/>
          <w:lang w:val="cs-CZ" w:eastAsia="cs-CZ" w:bidi="cs-CZ"/>
        </w:rPr>
        <w:t>.</w:t>
      </w:r>
    </w:p>
    <w:p>
      <w:pPr>
        <w:pStyle w:val="Style2"/>
        <w:keepNext w:val="0"/>
        <w:keepLines w:val="0"/>
        <w:widowControl w:val="0"/>
        <w:numPr>
          <w:ilvl w:val="0"/>
          <w:numId w:val="31"/>
        </w:numPr>
        <w:shd w:val="clear" w:color="auto" w:fill="auto"/>
        <w:tabs>
          <w:tab w:pos="454" w:val="left"/>
        </w:tabs>
        <w:bidi w:val="0"/>
        <w:spacing w:before="0" w:after="80" w:line="240" w:lineRule="auto"/>
        <w:ind w:left="360" w:right="0" w:hanging="360"/>
        <w:jc w:val="both"/>
      </w:pPr>
      <w:r>
        <w:rPr>
          <w:i/>
          <w:iCs/>
          <w:color w:val="00B050"/>
          <w:spacing w:val="0"/>
          <w:w w:val="100"/>
          <w:position w:val="0"/>
          <w:shd w:val="clear" w:color="auto" w:fill="auto"/>
          <w:lang w:val="cs-CZ" w:eastAsia="cs-CZ" w:bidi="cs-CZ"/>
        </w:rPr>
        <w:t>V případech, kdy příloha k účetní závěrce obsahuje tvrzení „podle názoru vedení ...“, prohlášení opakující toto tvrzení, pokud danou skutečnost nepokrývá dostatečně prohlášení jiné</w:t>
      </w:r>
      <w:r>
        <w:rPr>
          <w:color w:val="00B050"/>
          <w:spacing w:val="0"/>
          <w:w w:val="100"/>
          <w:position w:val="0"/>
          <w:shd w:val="clear" w:color="auto" w:fill="auto"/>
          <w:lang w:val="cs-CZ" w:eastAsia="cs-CZ" w:bidi="cs-CZ"/>
        </w:rPr>
        <w:t>.</w:t>
      </w:r>
    </w:p>
    <w:p>
      <w:pPr>
        <w:pStyle w:val="Style2"/>
        <w:keepNext w:val="0"/>
        <w:keepLines w:val="0"/>
        <w:widowControl w:val="0"/>
        <w:numPr>
          <w:ilvl w:val="0"/>
          <w:numId w:val="31"/>
        </w:numPr>
        <w:shd w:val="clear" w:color="auto" w:fill="auto"/>
        <w:tabs>
          <w:tab w:pos="454" w:val="left"/>
        </w:tabs>
        <w:bidi w:val="0"/>
        <w:spacing w:before="0" w:after="80" w:line="240" w:lineRule="auto"/>
        <w:ind w:left="360" w:right="0" w:hanging="360"/>
        <w:jc w:val="both"/>
      </w:pPr>
      <w:r>
        <w:rPr>
          <w:i/>
          <w:iCs/>
          <w:color w:val="00B050"/>
          <w:spacing w:val="0"/>
          <w:w w:val="100"/>
          <w:position w:val="0"/>
          <w:shd w:val="clear" w:color="auto" w:fill="auto"/>
          <w:lang w:val="cs-CZ" w:eastAsia="cs-CZ" w:bidi="cs-CZ"/>
        </w:rPr>
        <w:t>V případě, kdy je prohlášení vedení jediným dostupným důkazem (např. záměr zrušit část podniku), prohlášení týkající se takové záležitosti.</w:t>
      </w:r>
    </w:p>
    <w:p>
      <w:pPr>
        <w:pStyle w:val="Style2"/>
        <w:keepNext w:val="0"/>
        <w:keepLines w:val="0"/>
        <w:widowControl w:val="0"/>
        <w:numPr>
          <w:ilvl w:val="0"/>
          <w:numId w:val="31"/>
        </w:numPr>
        <w:shd w:val="clear" w:color="auto" w:fill="auto"/>
        <w:tabs>
          <w:tab w:pos="454" w:val="left"/>
        </w:tabs>
        <w:bidi w:val="0"/>
        <w:spacing w:before="0" w:after="80" w:line="240" w:lineRule="auto"/>
        <w:ind w:left="360" w:right="0" w:hanging="360"/>
        <w:jc w:val="both"/>
      </w:pPr>
      <w:r>
        <w:rPr>
          <w:i/>
          <w:iCs/>
          <w:color w:val="00B050"/>
          <w:spacing w:val="0"/>
          <w:w w:val="100"/>
          <w:position w:val="0"/>
          <w:shd w:val="clear" w:color="auto" w:fill="auto"/>
          <w:lang w:val="cs-CZ" w:eastAsia="cs-CZ" w:bidi="cs-CZ"/>
        </w:rPr>
        <w:t>V případě jakékoli výhrady nebo zdůrazňujícího odstavce ve zprávě auditora, vyjádření vedení k příslušné záležitosti.</w:t>
      </w:r>
    </w:p>
    <w:p>
      <w:pPr>
        <w:pStyle w:val="Style2"/>
        <w:keepNext w:val="0"/>
        <w:keepLines w:val="0"/>
        <w:widowControl w:val="0"/>
        <w:numPr>
          <w:ilvl w:val="0"/>
          <w:numId w:val="31"/>
        </w:numPr>
        <w:shd w:val="clear" w:color="auto" w:fill="auto"/>
        <w:tabs>
          <w:tab w:pos="454" w:val="left"/>
        </w:tabs>
        <w:bidi w:val="0"/>
        <w:spacing w:before="0" w:after="80" w:line="240" w:lineRule="auto"/>
        <w:ind w:left="0" w:right="0" w:firstLine="0"/>
        <w:jc w:val="left"/>
      </w:pPr>
      <w:r>
        <w:rPr>
          <w:i/>
          <w:iCs/>
          <w:color w:val="00B050"/>
          <w:spacing w:val="0"/>
          <w:w w:val="100"/>
          <w:position w:val="0"/>
          <w:shd w:val="clear" w:color="auto" w:fill="auto"/>
          <w:lang w:val="cs-CZ" w:eastAsia="cs-CZ" w:bidi="cs-CZ"/>
        </w:rPr>
        <w:t>Jakákoliv další požadovaná prohlášení.</w:t>
      </w:r>
    </w:p>
    <w:p>
      <w:pPr>
        <w:pStyle w:val="Style27"/>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Seznam neopravených nesprávností:</w:t>
      </w:r>
    </w:p>
    <w:tbl>
      <w:tblPr>
        <w:tblOverlap w:val="never"/>
        <w:jc w:val="center"/>
        <w:tblLayout w:type="fixed"/>
      </w:tblPr>
      <w:tblGrid>
        <w:gridCol w:w="4118"/>
        <w:gridCol w:w="1277"/>
        <w:gridCol w:w="1272"/>
        <w:gridCol w:w="1277"/>
        <w:gridCol w:w="1282"/>
      </w:tblGrid>
      <w:tr>
        <w:trPr>
          <w:trHeight w:val="403" w:hRule="exact"/>
        </w:trPr>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i/>
                <w:iCs/>
                <w:color w:val="00B050"/>
                <w:spacing w:val="0"/>
                <w:w w:val="100"/>
                <w:position w:val="0"/>
                <w:shd w:val="clear" w:color="auto" w:fill="auto"/>
                <w:lang w:val="cs-CZ" w:eastAsia="cs-CZ" w:bidi="cs-CZ"/>
              </w:rPr>
              <w:t>Popis</w:t>
            </w:r>
          </w:p>
        </w:tc>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i/>
                <w:iCs/>
                <w:color w:val="00B050"/>
                <w:spacing w:val="0"/>
                <w:w w:val="100"/>
                <w:position w:val="0"/>
                <w:shd w:val="clear" w:color="auto" w:fill="auto"/>
                <w:lang w:val="cs-CZ" w:eastAsia="cs-CZ" w:bidi="cs-CZ"/>
              </w:rPr>
              <w:t>Aktiva</w:t>
            </w:r>
          </w:p>
        </w:tc>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i/>
                <w:iCs/>
                <w:color w:val="00B050"/>
                <w:spacing w:val="0"/>
                <w:w w:val="100"/>
                <w:position w:val="0"/>
                <w:shd w:val="clear" w:color="auto" w:fill="auto"/>
                <w:lang w:val="cs-CZ" w:eastAsia="cs-CZ" w:bidi="cs-CZ"/>
              </w:rPr>
              <w:t>Pasiva</w:t>
            </w:r>
          </w:p>
        </w:tc>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i/>
                <w:iCs/>
                <w:color w:val="00B050"/>
                <w:spacing w:val="0"/>
                <w:w w:val="100"/>
                <w:position w:val="0"/>
                <w:shd w:val="clear" w:color="auto" w:fill="auto"/>
                <w:lang w:val="cs-CZ" w:eastAsia="cs-CZ" w:bidi="cs-CZ"/>
              </w:rPr>
              <w:t>VK</w:t>
            </w:r>
          </w:p>
        </w:tc>
        <w:tc>
          <w:tcPr>
            <w:tcBorders>
              <w:top w:val="single" w:sz="4"/>
              <w:left w:val="single" w:sz="4"/>
              <w:righ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i/>
                <w:iCs/>
                <w:color w:val="00B050"/>
                <w:spacing w:val="0"/>
                <w:w w:val="100"/>
                <w:position w:val="0"/>
                <w:shd w:val="clear" w:color="auto" w:fill="auto"/>
                <w:lang w:val="cs-CZ" w:eastAsia="cs-CZ" w:bidi="cs-CZ"/>
              </w:rPr>
              <w:t>HV</w:t>
            </w:r>
          </w:p>
        </w:tc>
      </w:tr>
      <w:tr>
        <w:trPr>
          <w:trHeight w:val="39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03"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spacing w:lineRule="exact" w:line="1"/>
        <w:rPr>
          <w:sz w:val="2"/>
          <w:szCs w:val="2"/>
        </w:rPr>
      </w:pPr>
      <w:r>
        <w:br w:type="page"/>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Příloha č. 2</w:t>
      </w:r>
    </w:p>
    <w:p>
      <w:pPr>
        <w:pStyle w:val="Style19"/>
        <w:keepNext w:val="0"/>
        <w:keepLines w:val="0"/>
        <w:widowControl w:val="0"/>
        <w:shd w:val="clear" w:color="auto" w:fill="auto"/>
        <w:bidi w:val="0"/>
        <w:spacing w:before="0" w:after="740" w:line="240" w:lineRule="auto"/>
        <w:ind w:left="1220" w:right="0" w:firstLine="0"/>
        <w:jc w:val="left"/>
      </w:pPr>
      <w:r>
        <w:rPr>
          <w:color w:val="000000"/>
          <w:spacing w:val="0"/>
          <w:w w:val="100"/>
          <w:position w:val="0"/>
          <w:shd w:val="clear" w:color="auto" w:fill="auto"/>
          <w:lang w:val="cs-CZ" w:eastAsia="cs-CZ" w:bidi="cs-CZ"/>
        </w:rPr>
        <w:t>Seznam kontaktních údajů osob určených klientem</w:t>
      </w:r>
    </w:p>
    <w:tbl>
      <w:tblPr>
        <w:tblOverlap w:val="never"/>
        <w:jc w:val="left"/>
        <w:tblLayout w:type="fixed"/>
      </w:tblPr>
      <w:tblGrid>
        <w:gridCol w:w="2045"/>
        <w:gridCol w:w="2083"/>
        <w:gridCol w:w="2208"/>
        <w:gridCol w:w="2342"/>
      </w:tblGrid>
      <w:tr>
        <w:trPr>
          <w:trHeight w:val="773" w:hRule="exact"/>
        </w:trPr>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jméno</w:t>
            </w:r>
          </w:p>
        </w:tc>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pozice / oblast, za kterou je osoba odpovědná</w:t>
            </w:r>
          </w:p>
        </w:tc>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e-mail</w:t>
            </w:r>
          </w:p>
        </w:tc>
        <w:tc>
          <w:tcPr>
            <w:tcBorders>
              <w:top w:val="single" w:sz="4"/>
              <w:left w:val="single" w:sz="4"/>
              <w:righ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telefon</w:t>
            </w:r>
          </w:p>
        </w:tc>
      </w:tr>
      <w:tr>
        <w:trPr>
          <w:trHeight w:val="518" w:hRule="exact"/>
        </w:trPr>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w:t>
            </w:r>
          </w:p>
        </w:tc>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w:t>
            </w:r>
          </w:p>
        </w:tc>
        <w:tc>
          <w:tcPr>
            <w:tcBorders>
              <w:top w:val="single" w:sz="4"/>
              <w:lef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xxxxxxxxxxxxxxxxx</w:t>
            </w:r>
          </w:p>
        </w:tc>
        <w:tc>
          <w:tcPr>
            <w:tcBorders>
              <w:top w:val="single" w:sz="4"/>
              <w:left w:val="single" w:sz="4"/>
              <w:right w:val="single" w:sz="4"/>
            </w:tcBorders>
            <w:shd w:val="clear" w:color="auto" w:fill="auto"/>
            <w:vAlign w:val="center"/>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w:t>
            </w:r>
          </w:p>
        </w:tc>
      </w:tr>
      <w:tr>
        <w:trPr>
          <w:trHeight w:val="51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18"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523" w:hRule="exact"/>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widowControl w:val="0"/>
        <w:spacing w:after="959" w:line="1" w:lineRule="exact"/>
      </w:pP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Příloha č. 3</w:t>
      </w:r>
    </w:p>
    <w:p>
      <w:pPr>
        <w:pStyle w:val="Style19"/>
        <w:keepNext w:val="0"/>
        <w:keepLines w:val="0"/>
        <w:widowControl w:val="0"/>
        <w:shd w:val="clear" w:color="auto" w:fill="auto"/>
        <w:bidi w:val="0"/>
        <w:spacing w:before="0" w:after="700" w:line="240" w:lineRule="auto"/>
        <w:ind w:left="1220" w:right="0" w:firstLine="0"/>
        <w:jc w:val="left"/>
      </w:pPr>
      <w:r>
        <w:rPr>
          <w:color w:val="000000"/>
          <w:spacing w:val="0"/>
          <w:w w:val="100"/>
          <w:position w:val="0"/>
          <w:shd w:val="clear" w:color="auto" w:fill="auto"/>
          <w:lang w:val="cs-CZ" w:eastAsia="cs-CZ" w:bidi="cs-CZ"/>
        </w:rPr>
        <w:t>Seznam kontaktních údajů členů auditorského týmu</w:t>
      </w:r>
    </w:p>
    <w:tbl>
      <w:tblPr>
        <w:tblOverlap w:val="never"/>
        <w:jc w:val="center"/>
        <w:tblLayout w:type="fixed"/>
      </w:tblPr>
      <w:tblGrid>
        <w:gridCol w:w="1973"/>
        <w:gridCol w:w="2870"/>
        <w:gridCol w:w="2021"/>
      </w:tblGrid>
      <w:tr>
        <w:trPr>
          <w:trHeight w:val="518" w:hRule="exact"/>
        </w:trPr>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jméno</w:t>
            </w:r>
          </w:p>
        </w:tc>
        <w:tc>
          <w:tcPr>
            <w:tcBorders>
              <w:top w:val="single" w:sz="4"/>
              <w:lef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e-mail</w:t>
            </w:r>
          </w:p>
        </w:tc>
        <w:tc>
          <w:tcPr>
            <w:tcBorders>
              <w:top w:val="single" w:sz="4"/>
              <w:left w:val="single" w:sz="4"/>
              <w:right w:val="single" w:sz="4"/>
            </w:tcBorders>
            <w:shd w:val="clear" w:color="auto" w:fill="auto"/>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telefon</w:t>
            </w:r>
          </w:p>
        </w:tc>
      </w:tr>
      <w:tr>
        <w:trPr>
          <w:trHeight w:val="264" w:hRule="exact"/>
        </w:trPr>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w:t>
            </w:r>
          </w:p>
        </w:tc>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w:t>
            </w:r>
          </w:p>
        </w:tc>
        <w:tc>
          <w:tcPr>
            <w:tcBorders>
              <w:top w:val="single" w:sz="4"/>
              <w:left w:val="single" w:sz="4"/>
              <w:righ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w:t>
            </w:r>
          </w:p>
        </w:tc>
      </w:tr>
      <w:tr>
        <w:trPr>
          <w:trHeight w:val="259" w:hRule="exact"/>
        </w:trPr>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w:t>
            </w:r>
          </w:p>
        </w:tc>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w:t>
            </w:r>
          </w:p>
        </w:tc>
        <w:tc>
          <w:tcPr>
            <w:tcBorders>
              <w:top w:val="single" w:sz="4"/>
              <w:left w:val="single" w:sz="4"/>
              <w:righ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w:t>
            </w:r>
          </w:p>
        </w:tc>
      </w:tr>
      <w:tr>
        <w:trPr>
          <w:trHeight w:val="264" w:hRule="exact"/>
        </w:trPr>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w:t>
            </w:r>
          </w:p>
        </w:tc>
        <w:tc>
          <w:tcPr>
            <w:tcBorders>
              <w:top w:val="single" w:sz="4"/>
              <w:lef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w:t>
            </w:r>
          </w:p>
        </w:tc>
        <w:tc>
          <w:tcPr>
            <w:tcBorders>
              <w:top w:val="single" w:sz="4"/>
              <w:left w:val="single" w:sz="4"/>
              <w:righ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w:t>
            </w:r>
          </w:p>
        </w:tc>
      </w:tr>
      <w:tr>
        <w:trPr>
          <w:trHeight w:val="274" w:hRule="exact"/>
        </w:trPr>
        <w:tc>
          <w:tcPr>
            <w:tcBorders>
              <w:top w:val="single" w:sz="4"/>
              <w:left w:val="single" w:sz="4"/>
              <w:bottom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w:t>
            </w:r>
          </w:p>
        </w:tc>
        <w:tc>
          <w:tcPr>
            <w:tcBorders>
              <w:top w:val="single" w:sz="4"/>
              <w:left w:val="single" w:sz="4"/>
              <w:bottom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xxxxxxxxxxxxxxxxx</w:t>
            </w:r>
          </w:p>
        </w:tc>
        <w:tc>
          <w:tcPr>
            <w:tcBorders>
              <w:top w:val="single" w:sz="4"/>
              <w:left w:val="single" w:sz="4"/>
              <w:bottom w:val="single" w:sz="4"/>
              <w:right w:val="single" w:sz="4"/>
            </w:tcBorders>
            <w:shd w:val="clear" w:color="auto" w:fill="auto"/>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xxxxxxxxxxx</w:t>
            </w:r>
          </w:p>
        </w:tc>
      </w:tr>
    </w:tbl>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374" w:right="1036" w:bottom="1081" w:left="1490" w:header="0" w:footer="3" w:gutter="0"/>
      <w:pgNumType w:start="1"/>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4017010</wp:posOffset>
              </wp:positionH>
              <wp:positionV relativeFrom="page">
                <wp:posOffset>10043795</wp:posOffset>
              </wp:positionV>
              <wp:extent cx="54610" cy="85090"/>
              <wp:wrapNone/>
              <wp:docPr id="5" name="Shape 5"/>
              <a:graphic xmlns:a="http://schemas.openxmlformats.org/drawingml/2006/main">
                <a:graphicData uri="http://schemas.microsoft.com/office/word/2010/wordprocessingShape">
                  <wps:wsp>
                    <wps:cNvSpPr txBox="1"/>
                    <wps:spPr>
                      <a:xfrm>
                        <a:ext cx="54610" cy="8509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316.30000000000001pt;margin-top:790.85000000000002pt;width:4.2999999999999998pt;height:6.7000000000000002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1167130</wp:posOffset>
              </wp:positionH>
              <wp:positionV relativeFrom="page">
                <wp:posOffset>463550</wp:posOffset>
              </wp:positionV>
              <wp:extent cx="5480050" cy="113030"/>
              <wp:wrapNone/>
              <wp:docPr id="3" name="Shape 3"/>
              <a:graphic xmlns:a="http://schemas.openxmlformats.org/drawingml/2006/main">
                <a:graphicData uri="http://schemas.microsoft.com/office/word/2010/wordprocessingShape">
                  <wps:wsp>
                    <wps:cNvSpPr txBox="1"/>
                    <wps:spPr>
                      <a:xfrm>
                        <a:ext cx="5480050" cy="113030"/>
                      </a:xfrm>
                      <a:prstGeom prst="rect"/>
                      <a:noFill/>
                    </wps:spPr>
                    <wps:txbx>
                      <w:txbxContent>
                        <w:p>
                          <w:pPr>
                            <w:pStyle w:val="Style16"/>
                            <w:keepNext w:val="0"/>
                            <w:keepLines w:val="0"/>
                            <w:widowControl w:val="0"/>
                            <w:shd w:val="clear" w:color="auto" w:fill="auto"/>
                            <w:tabs>
                              <w:tab w:pos="8630" w:val="right"/>
                            </w:tabs>
                            <w:bidi w:val="0"/>
                            <w:spacing w:before="0" w:after="0" w:line="240" w:lineRule="auto"/>
                            <w:ind w:left="0" w:right="0" w:firstLine="0"/>
                            <w:jc w:val="left"/>
                          </w:pPr>
                          <w:r>
                            <w:rPr>
                              <w:color w:val="000000"/>
                              <w:spacing w:val="0"/>
                              <w:w w:val="100"/>
                              <w:position w:val="0"/>
                              <w:shd w:val="clear" w:color="auto" w:fill="auto"/>
                              <w:lang w:val="cs-CZ" w:eastAsia="cs-CZ" w:bidi="cs-CZ"/>
                            </w:rPr>
                            <w:t>Mělnické kulturní centrum, z.ú.</w:t>
                            <w:tab/>
                            <w:t>Smlouva o provedení auditu č. 2324105</w:t>
                          </w:r>
                        </w:p>
                      </w:txbxContent>
                    </wps:txbx>
                    <wps:bodyPr lIns="0" tIns="0" rIns="0" bIns="0">
                      <a:spAutoFit/>
                    </wps:bodyPr>
                  </wps:wsp>
                </a:graphicData>
              </a:graphic>
            </wp:anchor>
          </w:drawing>
        </mc:Choice>
        <mc:Fallback>
          <w:pict>
            <v:shape id="_x0000_s1029" type="#_x0000_t202" style="position:absolute;margin-left:91.900000000000006pt;margin-top:36.5pt;width:431.5pt;height:8.9000000000000004pt;z-index:-188744063;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tabs>
                        <w:tab w:pos="8630" w:val="right"/>
                      </w:tabs>
                      <w:bidi w:val="0"/>
                      <w:spacing w:before="0" w:after="0" w:line="240" w:lineRule="auto"/>
                      <w:ind w:left="0" w:right="0" w:firstLine="0"/>
                      <w:jc w:val="left"/>
                    </w:pPr>
                    <w:r>
                      <w:rPr>
                        <w:color w:val="000000"/>
                        <w:spacing w:val="0"/>
                        <w:w w:val="100"/>
                        <w:position w:val="0"/>
                        <w:shd w:val="clear" w:color="auto" w:fill="auto"/>
                        <w:lang w:val="cs-CZ" w:eastAsia="cs-CZ" w:bidi="cs-CZ"/>
                      </w:rPr>
                      <w:t>Mělnické kulturní centrum, z.ú.</w:t>
                      <w:tab/>
                      <w:t>Smlouva o provedení auditu č. 2324105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B050"/>
        <w:spacing w:val="0"/>
        <w:w w:val="100"/>
        <w:position w:val="0"/>
        <w:sz w:val="22"/>
        <w:szCs w:val="22"/>
        <w:u w:val="none"/>
        <w:shd w:val="clear" w:color="auto" w:fill="auto"/>
        <w:lang w:val="cs-CZ" w:eastAsia="cs-CZ" w:bidi="cs-CZ"/>
      </w:rPr>
    </w:lvl>
  </w:abstractNum>
  <w:abstractNum w:abstractNumId="3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Condensed" w:eastAsia="DejaVu Sans Condensed" w:hAnsi="DejaVu Sans Condensed" w:cs="DejaVu Sans Condensed"/>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Condensed" w:eastAsia="DejaVu Sans Condensed" w:hAnsi="DejaVu Sans Condensed" w:cs="DejaVu Sans Condensed"/>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DejaVu Sans Condensed" w:eastAsia="DejaVu Sans Condensed" w:hAnsi="DejaVu Sans Condensed" w:cs="DejaVu Sans Condensed"/>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Základní text (4)_"/>
    <w:basedOn w:val="DefaultParagraphFont"/>
    <w:link w:val="Style4"/>
    <w:rPr>
      <w:rFonts w:ascii="Times New Roman" w:eastAsia="Times New Roman" w:hAnsi="Times New Roman" w:cs="Times New Roman"/>
      <w:b/>
      <w:bCs/>
      <w:i w:val="0"/>
      <w:iCs w:val="0"/>
      <w:smallCaps w:val="0"/>
      <w:strike w:val="0"/>
      <w:sz w:val="32"/>
      <w:szCs w:val="32"/>
      <w:u w:val="none"/>
    </w:rPr>
  </w:style>
  <w:style w:type="character" w:customStyle="1" w:styleId="CharStyle7">
    <w:name w:val="Základní text (2)_"/>
    <w:basedOn w:val="DefaultParagraphFont"/>
    <w:link w:val="Style6"/>
    <w:rPr>
      <w:rFonts w:ascii="Times New Roman" w:eastAsia="Times New Roman" w:hAnsi="Times New Roman" w:cs="Times New Roman"/>
      <w:b w:val="0"/>
      <w:bCs w:val="0"/>
      <w:i w:val="0"/>
      <w:iCs w:val="0"/>
      <w:smallCaps w:val="0"/>
      <w:strike w:val="0"/>
      <w:sz w:val="18"/>
      <w:szCs w:val="18"/>
      <w:u w:val="none"/>
    </w:rPr>
  </w:style>
  <w:style w:type="character" w:customStyle="1" w:styleId="CharStyle9">
    <w:name w:val="Jiné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Nadpis #1_"/>
    <w:basedOn w:val="DefaultParagraphFont"/>
    <w:link w:val="Style14"/>
    <w:rPr>
      <w:rFonts w:ascii="Times New Roman" w:eastAsia="Times New Roman" w:hAnsi="Times New Roman" w:cs="Times New Roman"/>
      <w:b/>
      <w:bCs/>
      <w:i w:val="0"/>
      <w:iCs w:val="0"/>
      <w:smallCaps w:val="0"/>
      <w:strike w:val="0"/>
      <w:sz w:val="22"/>
      <w:szCs w:val="22"/>
      <w:u w:val="none"/>
    </w:rPr>
  </w:style>
  <w:style w:type="character" w:customStyle="1" w:styleId="CharStyle17">
    <w:name w:val="Záhlaví nebo zápatí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Základní text (3)_"/>
    <w:basedOn w:val="DefaultParagraphFont"/>
    <w:link w:val="Style19"/>
    <w:rPr>
      <w:rFonts w:ascii="Times New Roman" w:eastAsia="Times New Roman" w:hAnsi="Times New Roman" w:cs="Times New Roman"/>
      <w:b/>
      <w:bCs/>
      <w:i w:val="0"/>
      <w:iCs w:val="0"/>
      <w:smallCaps w:val="0"/>
      <w:strike w:val="0"/>
      <w:sz w:val="28"/>
      <w:szCs w:val="28"/>
      <w:u w:val="none"/>
    </w:rPr>
  </w:style>
  <w:style w:type="character" w:customStyle="1" w:styleId="CharStyle28">
    <w:name w:val="Titulek tabulky_"/>
    <w:basedOn w:val="DefaultParagraphFont"/>
    <w:link w:val="Style27"/>
    <w:rPr>
      <w:rFonts w:ascii="Times New Roman" w:eastAsia="Times New Roman" w:hAnsi="Times New Roman" w:cs="Times New Roman"/>
      <w:b w:val="0"/>
      <w:bCs w:val="0"/>
      <w:i/>
      <w:iCs/>
      <w:smallCaps w:val="0"/>
      <w:strike w:val="0"/>
      <w:color w:val="00B050"/>
      <w:sz w:val="22"/>
      <w:szCs w:val="22"/>
      <w:u w:val="none"/>
    </w:rPr>
  </w:style>
  <w:style w:type="paragraph" w:customStyle="1" w:styleId="Style2">
    <w:name w:val="Základní text"/>
    <w:basedOn w:val="Normal"/>
    <w:link w:val="CharStyle3"/>
    <w:pPr>
      <w:widowControl w:val="0"/>
      <w:shd w:val="clear" w:color="auto" w:fill="auto"/>
      <w:spacing w:after="220"/>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Základní text (4)"/>
    <w:basedOn w:val="Normal"/>
    <w:link w:val="CharStyle5"/>
    <w:pPr>
      <w:widowControl w:val="0"/>
      <w:shd w:val="clear" w:color="auto" w:fill="auto"/>
      <w:spacing w:before="360" w:after="180"/>
      <w:jc w:val="center"/>
    </w:pPr>
    <w:rPr>
      <w:rFonts w:ascii="Times New Roman" w:eastAsia="Times New Roman" w:hAnsi="Times New Roman" w:cs="Times New Roman"/>
      <w:b/>
      <w:bCs/>
      <w:i w:val="0"/>
      <w:iCs w:val="0"/>
      <w:smallCaps w:val="0"/>
      <w:strike w:val="0"/>
      <w:sz w:val="32"/>
      <w:szCs w:val="32"/>
      <w:u w:val="none"/>
    </w:rPr>
  </w:style>
  <w:style w:type="paragraph" w:customStyle="1" w:styleId="Style6">
    <w:name w:val="Základní text (2)"/>
    <w:basedOn w:val="Normal"/>
    <w:link w:val="CharStyle7"/>
    <w:pPr>
      <w:widowControl w:val="0"/>
      <w:shd w:val="clear" w:color="auto" w:fill="auto"/>
      <w:spacing w:after="840"/>
      <w:jc w:val="center"/>
    </w:pPr>
    <w:rPr>
      <w:rFonts w:ascii="Times New Roman" w:eastAsia="Times New Roman" w:hAnsi="Times New Roman" w:cs="Times New Roman"/>
      <w:b w:val="0"/>
      <w:bCs w:val="0"/>
      <w:i w:val="0"/>
      <w:iCs w:val="0"/>
      <w:smallCaps w:val="0"/>
      <w:strike w:val="0"/>
      <w:sz w:val="18"/>
      <w:szCs w:val="18"/>
      <w:u w:val="none"/>
    </w:rPr>
  </w:style>
  <w:style w:type="paragraph" w:customStyle="1" w:styleId="Style8">
    <w:name w:val="Jiné"/>
    <w:basedOn w:val="Normal"/>
    <w:link w:val="CharStyle9"/>
    <w:pPr>
      <w:widowControl w:val="0"/>
      <w:shd w:val="clear" w:color="auto" w:fill="auto"/>
      <w:spacing w:after="220"/>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Nadpis #1"/>
    <w:basedOn w:val="Normal"/>
    <w:link w:val="CharStyle15"/>
    <w:pPr>
      <w:widowControl w:val="0"/>
      <w:shd w:val="clear" w:color="auto" w:fill="auto"/>
      <w:spacing w:after="220"/>
      <w:jc w:val="center"/>
      <w:outlineLvl w:val="0"/>
    </w:pPr>
    <w:rPr>
      <w:rFonts w:ascii="Times New Roman" w:eastAsia="Times New Roman" w:hAnsi="Times New Roman" w:cs="Times New Roman"/>
      <w:b/>
      <w:bCs/>
      <w:i w:val="0"/>
      <w:iCs w:val="0"/>
      <w:smallCaps w:val="0"/>
      <w:strike w:val="0"/>
      <w:sz w:val="22"/>
      <w:szCs w:val="22"/>
      <w:u w:val="none"/>
    </w:rPr>
  </w:style>
  <w:style w:type="paragraph" w:customStyle="1" w:styleId="Style16">
    <w:name w:val="Záhlaví nebo zápatí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Základní text (3)"/>
    <w:basedOn w:val="Normal"/>
    <w:link w:val="CharStyle20"/>
    <w:pPr>
      <w:widowControl w:val="0"/>
      <w:shd w:val="clear" w:color="auto" w:fill="auto"/>
      <w:spacing w:after="490"/>
      <w:ind w:left="610"/>
    </w:pPr>
    <w:rPr>
      <w:rFonts w:ascii="Times New Roman" w:eastAsia="Times New Roman" w:hAnsi="Times New Roman" w:cs="Times New Roman"/>
      <w:b/>
      <w:bCs/>
      <w:i w:val="0"/>
      <w:iCs w:val="0"/>
      <w:smallCaps w:val="0"/>
      <w:strike w:val="0"/>
      <w:sz w:val="28"/>
      <w:szCs w:val="28"/>
      <w:u w:val="none"/>
    </w:rPr>
  </w:style>
  <w:style w:type="paragraph" w:customStyle="1" w:styleId="Style27">
    <w:name w:val="Titulek tabulky"/>
    <w:basedOn w:val="Normal"/>
    <w:link w:val="CharStyle28"/>
    <w:pPr>
      <w:widowControl w:val="0"/>
      <w:shd w:val="clear" w:color="auto" w:fill="auto"/>
    </w:pPr>
    <w:rPr>
      <w:rFonts w:ascii="Times New Roman" w:eastAsia="Times New Roman" w:hAnsi="Times New Roman" w:cs="Times New Roman"/>
      <w:b w:val="0"/>
      <w:bCs w:val="0"/>
      <w:i/>
      <w:iCs/>
      <w:smallCaps w:val="0"/>
      <w:strike w:val="0"/>
      <w:color w:val="00B05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AS 22231</dc:title>
  <dc:subject/>
  <dc:creator>Adamec Jaromír</dc:creator>
  <cp:keywords/>
</cp:coreProperties>
</file>