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33004" w14:textId="5C207AC0" w:rsidR="00A63658" w:rsidRDefault="00032E47" w:rsidP="00A63658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FE5FF1">
        <w:rPr>
          <w:b/>
          <w:sz w:val="32"/>
          <w:szCs w:val="32"/>
        </w:rPr>
        <w:t>22</w:t>
      </w:r>
      <w:r w:rsidR="00A63658">
        <w:rPr>
          <w:b/>
          <w:sz w:val="32"/>
          <w:szCs w:val="32"/>
        </w:rPr>
        <w:t>/20</w:t>
      </w:r>
      <w:r w:rsidR="000512A6">
        <w:rPr>
          <w:b/>
          <w:sz w:val="32"/>
          <w:szCs w:val="32"/>
        </w:rPr>
        <w:t>24</w:t>
      </w:r>
      <w:r w:rsidR="00A63658">
        <w:rPr>
          <w:b/>
          <w:sz w:val="32"/>
          <w:szCs w:val="32"/>
        </w:rPr>
        <w:t xml:space="preserve">/TH/L </w:t>
      </w:r>
    </w:p>
    <w:p w14:paraId="0D690C92" w14:textId="7BD1E961" w:rsidR="005D0BDB" w:rsidRPr="00BF1C4B" w:rsidRDefault="005D0BDB" w:rsidP="00A63658">
      <w:pPr>
        <w:spacing w:after="12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7439DFBB" w14:textId="77777777" w:rsidR="00FE5FF1" w:rsidRPr="004F1395" w:rsidRDefault="00FE5FF1" w:rsidP="00FE5FF1">
      <w:pPr>
        <w:spacing w:after="0" w:line="240" w:lineRule="auto"/>
        <w:rPr>
          <w:b/>
          <w:sz w:val="24"/>
          <w:szCs w:val="24"/>
        </w:rPr>
      </w:pPr>
      <w:r w:rsidRPr="004F1395">
        <w:rPr>
          <w:b/>
          <w:sz w:val="24"/>
          <w:szCs w:val="24"/>
        </w:rPr>
        <w:t xml:space="preserve">Společenství </w:t>
      </w:r>
      <w:r>
        <w:rPr>
          <w:b/>
          <w:sz w:val="24"/>
          <w:szCs w:val="24"/>
        </w:rPr>
        <w:t>pro dům 829, 830 v Žamberku</w:t>
      </w:r>
    </w:p>
    <w:p w14:paraId="6B4901CA" w14:textId="7B7F2360" w:rsidR="00FE5FF1" w:rsidRDefault="00FE5FF1" w:rsidP="00FE5FF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>
        <w:rPr>
          <w:rFonts w:cs="TimesNewRoman"/>
          <w:sz w:val="24"/>
          <w:szCs w:val="24"/>
        </w:rPr>
        <w:t xml:space="preserve"> nám. gen. Knopa</w:t>
      </w:r>
      <w:r w:rsidR="00A44E50">
        <w:rPr>
          <w:rFonts w:cs="TimesNewRoman"/>
          <w:sz w:val="24"/>
          <w:szCs w:val="24"/>
        </w:rPr>
        <w:t xml:space="preserve"> 830</w:t>
      </w:r>
      <w:r>
        <w:rPr>
          <w:rFonts w:cs="TimesNewRoman"/>
          <w:sz w:val="24"/>
          <w:szCs w:val="24"/>
        </w:rPr>
        <w:t>, 564 01 Žamberk</w:t>
      </w:r>
    </w:p>
    <w:p w14:paraId="6AD6A222" w14:textId="77777777" w:rsidR="00FE5FF1" w:rsidRDefault="00FE5FF1" w:rsidP="00FE5FF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28803671, DIČ: není</w:t>
      </w:r>
    </w:p>
    <w:p w14:paraId="4716E704" w14:textId="77777777" w:rsidR="00FE5FF1" w:rsidRPr="00AD7AEB" w:rsidRDefault="00FE5FF1" w:rsidP="00FE5FF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zapsaná v rejstříku společenství vlastníků jednotek vedeném Krajským soudem v Hradci Králové, sp. zn. S 5116</w:t>
      </w:r>
    </w:p>
    <w:p w14:paraId="54A9573F" w14:textId="77777777" w:rsidR="00FE5FF1" w:rsidRDefault="00FE5FF1" w:rsidP="00FE5FF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Milanem Kacálkem a místopředsedkyní výboru Janou Danielovou na straně druhé jako odběratel </w:t>
      </w:r>
    </w:p>
    <w:p w14:paraId="7F850112" w14:textId="77777777" w:rsidR="00FE5FF1" w:rsidRDefault="00FE5FF1" w:rsidP="00FE5FF1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0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lastRenderedPageBreak/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59FAD1E9" w:rsidR="00715EC4" w:rsidRPr="00062BD3" w:rsidRDefault="00715EC4" w:rsidP="00715E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č. </w:t>
      </w:r>
      <w:r w:rsidR="00FE5FF1">
        <w:rPr>
          <w:sz w:val="24"/>
          <w:szCs w:val="24"/>
        </w:rPr>
        <w:t>22</w:t>
      </w:r>
      <w:r w:rsidR="002F5606" w:rsidRPr="002F5606">
        <w:rPr>
          <w:sz w:val="24"/>
          <w:szCs w:val="24"/>
        </w:rPr>
        <w:t xml:space="preserve">/2018/TH/L ze dne </w:t>
      </w:r>
      <w:r w:rsidR="00FE5FF1">
        <w:rPr>
          <w:sz w:val="24"/>
          <w:szCs w:val="24"/>
        </w:rPr>
        <w:t>18</w:t>
      </w:r>
      <w:r w:rsidR="002F5606" w:rsidRPr="002F5606">
        <w:rPr>
          <w:sz w:val="24"/>
          <w:szCs w:val="24"/>
        </w:rPr>
        <w:t>.12.2017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2BDCBBE5" w14:textId="77777777" w:rsidR="002F5606" w:rsidRDefault="00DA4907" w:rsidP="002F560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  <w:r w:rsidR="002F5606">
        <w:rPr>
          <w:sz w:val="24"/>
          <w:szCs w:val="24"/>
        </w:rPr>
        <w:t xml:space="preserve"> </w:t>
      </w:r>
    </w:p>
    <w:p w14:paraId="5A31FC8B" w14:textId="7DA130DE" w:rsidR="002F5606" w:rsidRDefault="002F5606" w:rsidP="002F5606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příloha č. 3 - </w:t>
      </w:r>
      <w:r w:rsidRPr="00A61586">
        <w:rPr>
          <w:sz w:val="24"/>
        </w:rPr>
        <w:t xml:space="preserve">Ujednání o rozdělení nákladů mezi různé vlastníky za jedním odběrným </w:t>
      </w:r>
    </w:p>
    <w:p w14:paraId="3F7A9BF1" w14:textId="4AB23C22" w:rsidR="00941DD0" w:rsidRPr="00DA4907" w:rsidRDefault="00941DD0" w:rsidP="002F5606">
      <w:pPr>
        <w:pStyle w:val="Odstavecseseznamem"/>
        <w:spacing w:after="0" w:line="240" w:lineRule="auto"/>
        <w:ind w:left="1080"/>
        <w:jc w:val="both"/>
        <w:rPr>
          <w:sz w:val="24"/>
        </w:rPr>
      </w:pP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471CBFC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5CAB5FAE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35828DF3" w14:textId="77777777" w:rsidR="00FD05D5" w:rsidRDefault="00FD05D5" w:rsidP="00D22B55">
      <w:pPr>
        <w:spacing w:after="0" w:line="240" w:lineRule="auto"/>
        <w:jc w:val="both"/>
        <w:rPr>
          <w:sz w:val="24"/>
          <w:szCs w:val="24"/>
        </w:rPr>
      </w:pPr>
    </w:p>
    <w:p w14:paraId="6C8C60CB" w14:textId="77777777" w:rsidR="0082634D" w:rsidRDefault="0082634D" w:rsidP="00D22B55">
      <w:pPr>
        <w:spacing w:after="0" w:line="240" w:lineRule="auto"/>
        <w:jc w:val="both"/>
        <w:rPr>
          <w:sz w:val="24"/>
          <w:szCs w:val="24"/>
        </w:rPr>
      </w:pPr>
    </w:p>
    <w:p w14:paraId="606A2A74" w14:textId="77777777" w:rsidR="0059117A" w:rsidRDefault="0059117A" w:rsidP="00D22B55">
      <w:pPr>
        <w:spacing w:after="0" w:line="240" w:lineRule="auto"/>
        <w:jc w:val="both"/>
        <w:rPr>
          <w:sz w:val="24"/>
          <w:szCs w:val="24"/>
        </w:rPr>
      </w:pP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C4DBCF0" w14:textId="406B76FB" w:rsidR="00A51D23" w:rsidRPr="003A011E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>
        <w:rPr>
          <w:rFonts w:cs="TimesNewRoman,Bold"/>
          <w:b/>
          <w:bCs/>
          <w:sz w:val="24"/>
          <w:szCs w:val="24"/>
        </w:rPr>
        <w:t xml:space="preserve"> </w:t>
      </w:r>
      <w:r w:rsidR="00FE5FF1">
        <w:rPr>
          <w:rFonts w:cs="TimesNewRoman,Bold"/>
          <w:b/>
          <w:bCs/>
          <w:sz w:val="24"/>
          <w:szCs w:val="24"/>
        </w:rPr>
        <w:t>22</w:t>
      </w:r>
      <w:r>
        <w:rPr>
          <w:rFonts w:cs="TimesNewRoman,Bold"/>
          <w:b/>
          <w:bCs/>
          <w:sz w:val="24"/>
          <w:szCs w:val="24"/>
        </w:rPr>
        <w:t>/2024/TH/L</w:t>
      </w:r>
    </w:p>
    <w:p w14:paraId="6D56056C" w14:textId="77777777" w:rsidR="00A51D23" w:rsidRPr="00941DD0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40DD660B" w14:textId="77777777" w:rsidR="002F5606" w:rsidRDefault="002F5606" w:rsidP="002F5606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č.137521</w:t>
      </w:r>
    </w:p>
    <w:p w14:paraId="08A0843F" w14:textId="163C2627" w:rsidR="002F5606" w:rsidRPr="00941DD0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941DD0">
        <w:rPr>
          <w:rFonts w:cs="TimesNewRoman"/>
          <w:sz w:val="24"/>
          <w:szCs w:val="24"/>
        </w:rPr>
        <w:t>(název, adresa):</w:t>
      </w:r>
      <w:bookmarkEnd w:id="1"/>
      <w:r>
        <w:rPr>
          <w:rFonts w:cs="TimesNewRoman"/>
          <w:sz w:val="24"/>
          <w:szCs w:val="24"/>
        </w:rPr>
        <w:tab/>
        <w:t>čp. 8</w:t>
      </w:r>
      <w:r w:rsidR="00D22303">
        <w:rPr>
          <w:rFonts w:cs="TimesNewRoman"/>
          <w:sz w:val="24"/>
          <w:szCs w:val="24"/>
        </w:rPr>
        <w:t>29</w:t>
      </w:r>
      <w:r>
        <w:rPr>
          <w:rFonts w:cs="TimesNewRoman"/>
          <w:sz w:val="24"/>
          <w:szCs w:val="24"/>
        </w:rPr>
        <w:t>–</w:t>
      </w:r>
      <w:r w:rsidR="00D22303">
        <w:rPr>
          <w:rFonts w:cs="TimesNewRoman"/>
          <w:sz w:val="24"/>
          <w:szCs w:val="24"/>
        </w:rPr>
        <w:t>30</w:t>
      </w:r>
      <w:r>
        <w:rPr>
          <w:rFonts w:cs="TimesNewRoman"/>
          <w:sz w:val="24"/>
          <w:szCs w:val="24"/>
        </w:rPr>
        <w:t>, Žamberk</w:t>
      </w:r>
    </w:p>
    <w:p w14:paraId="10FE2CF9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topného kanálu do domu čp. 829</w:t>
      </w:r>
    </w:p>
    <w:p w14:paraId="020FF5E6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z blokové kotelny</w:t>
      </w:r>
    </w:p>
    <w:p w14:paraId="395916D4" w14:textId="77777777" w:rsidR="002F5606" w:rsidRPr="00367538" w:rsidRDefault="002F5606" w:rsidP="002F5606">
      <w:pPr>
        <w:autoSpaceDE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  <w:t>místnost regulace v suterénu čp. 829</w:t>
      </w:r>
    </w:p>
    <w:p w14:paraId="29CD852E" w14:textId="77777777" w:rsidR="002F5606" w:rsidRDefault="002F5606" w:rsidP="002F5606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stanovené patní měřidlo</w:t>
      </w:r>
    </w:p>
    <w:p w14:paraId="4C7B0F1A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27FF26AC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</w:t>
      </w:r>
      <w:r w:rsidRPr="00367538">
        <w:rPr>
          <w:rFonts w:cs="TimesNewRoman"/>
          <w:sz w:val="24"/>
          <w:szCs w:val="24"/>
        </w:rPr>
        <w:t xml:space="preserve"> MPa</w:t>
      </w:r>
    </w:p>
    <w:p w14:paraId="027B603E" w14:textId="77777777" w:rsidR="002F5606" w:rsidRPr="00367538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0,433</w:t>
      </w:r>
      <w:r w:rsidRPr="00367538">
        <w:rPr>
          <w:rFonts w:cs="TimesNewRoman"/>
          <w:sz w:val="24"/>
          <w:szCs w:val="24"/>
        </w:rPr>
        <w:t xml:space="preserve"> MW</w:t>
      </w:r>
    </w:p>
    <w:p w14:paraId="5227D023" w14:textId="77777777" w:rsidR="002F5606" w:rsidRPr="002202E1" w:rsidRDefault="002F5606" w:rsidP="002F5606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14,930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4DA44CB1" w14:textId="04C7E2F6" w:rsidR="001651F3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>
        <w:rPr>
          <w:rFonts w:cs="TimesNewRoman"/>
          <w:sz w:val="24"/>
          <w:szCs w:val="24"/>
        </w:rPr>
        <w:t>při -</w:t>
      </w:r>
      <w:r w:rsidRPr="006E3FB2">
        <w:rPr>
          <w:sz w:val="24"/>
        </w:rPr>
        <w:t xml:space="preserve">15 </w:t>
      </w:r>
      <w:r w:rsidRPr="00367538">
        <w:rPr>
          <w:rFonts w:cs="TimesNewRoman"/>
          <w:sz w:val="24"/>
          <w:szCs w:val="24"/>
        </w:rPr>
        <w:t>˚C</w:t>
      </w:r>
      <w:r w:rsidRPr="006E3FB2">
        <w:rPr>
          <w:sz w:val="24"/>
        </w:rPr>
        <w:t xml:space="preserve"> přívod</w:t>
      </w:r>
      <w:r w:rsidRPr="00367538">
        <w:rPr>
          <w:rFonts w:cs="TimesNewRoman"/>
          <w:sz w:val="24"/>
          <w:szCs w:val="24"/>
        </w:rPr>
        <w:t xml:space="preserve">/zpátečka: </w:t>
      </w:r>
      <w:r>
        <w:rPr>
          <w:rFonts w:cs="TimesNewRoman"/>
          <w:sz w:val="24"/>
          <w:szCs w:val="24"/>
        </w:rPr>
        <w:tab/>
        <w:t>60</w:t>
      </w:r>
      <w:r w:rsidRPr="00367538">
        <w:rPr>
          <w:rFonts w:cs="TimesNewRoman"/>
          <w:sz w:val="24"/>
          <w:szCs w:val="24"/>
        </w:rPr>
        <w:t xml:space="preserve">˚C / </w:t>
      </w:r>
      <w:r>
        <w:rPr>
          <w:rFonts w:cs="TimesNewRoman"/>
          <w:sz w:val="24"/>
          <w:szCs w:val="24"/>
        </w:rPr>
        <w:t>40</w:t>
      </w:r>
      <w:r w:rsidRPr="00367538">
        <w:rPr>
          <w:rFonts w:cs="TimesNewRoman"/>
          <w:sz w:val="24"/>
          <w:szCs w:val="24"/>
        </w:rPr>
        <w:t>˚C</w:t>
      </w:r>
    </w:p>
    <w:p w14:paraId="331EFF5D" w14:textId="42769A35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="002F5606">
        <w:rPr>
          <w:rFonts w:cs="TimesNewRoman"/>
          <w:sz w:val="24"/>
          <w:szCs w:val="24"/>
        </w:rPr>
        <w:t>ne</w:t>
      </w:r>
    </w:p>
    <w:p w14:paraId="2D126D93" w14:textId="77777777" w:rsidR="002F5606" w:rsidRDefault="002F560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</w:p>
    <w:p w14:paraId="64EED43C" w14:textId="5B06C077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6CAA8E72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FE5FF1">
        <w:rPr>
          <w:b/>
          <w:sz w:val="24"/>
          <w:szCs w:val="24"/>
        </w:rPr>
        <w:t>22</w:t>
      </w:r>
      <w:r w:rsidRPr="00770CE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A51D23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01584CD2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D83042">
        <w:rPr>
          <w:b/>
          <w:sz w:val="24"/>
        </w:rPr>
        <w:t xml:space="preserve">č.ú. </w:t>
      </w:r>
      <w:bookmarkStart w:id="2" w:name="_GoBack"/>
      <w:bookmarkEnd w:id="2"/>
      <w:r w:rsidR="00555C09">
        <w:rPr>
          <w:rFonts w:cs="TimesNewRoman"/>
          <w:sz w:val="24"/>
          <w:szCs w:val="24"/>
        </w:rPr>
        <w:t xml:space="preserve"> 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</w:t>
      </w:r>
      <w:r w:rsidR="00FE5FF1">
        <w:rPr>
          <w:rFonts w:cs="TimesNewRoman"/>
          <w:b/>
          <w:bCs/>
          <w:sz w:val="24"/>
          <w:szCs w:val="24"/>
        </w:rPr>
        <w:t>22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3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2E63F263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38B47331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7C4AFDC4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74824C13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31D89EC4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1CDA211A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79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1129AC22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79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5155C2A4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0DA08C6A" w:rsidR="00AE7CF7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47A51CC9" w:rsidR="00AE7CF7" w:rsidRPr="00F8166B" w:rsidRDefault="00D22303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563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3"/>
    </w:tbl>
    <w:p w14:paraId="408225A3" w14:textId="01A9E942" w:rsidR="002F5606" w:rsidRDefault="002F5606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6E6637E1" w14:textId="25CC2847" w:rsidR="002F5606" w:rsidRPr="003A011E" w:rsidRDefault="002F5606" w:rsidP="002F560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3 ke smlouvě o dodávce tepelné energie č. </w:t>
      </w:r>
      <w:r w:rsidR="00FE5FF1">
        <w:rPr>
          <w:rFonts w:cs="TimesNewRoman,Bold"/>
          <w:b/>
          <w:bCs/>
          <w:sz w:val="24"/>
          <w:szCs w:val="24"/>
        </w:rPr>
        <w:t>22</w:t>
      </w:r>
      <w:r>
        <w:rPr>
          <w:rFonts w:cs="TimesNewRoman,Bold"/>
          <w:b/>
          <w:bCs/>
          <w:sz w:val="24"/>
          <w:szCs w:val="24"/>
        </w:rPr>
        <w:t>/2024/TH/L</w:t>
      </w:r>
    </w:p>
    <w:p w14:paraId="627AA7B3" w14:textId="77777777" w:rsidR="002F5606" w:rsidRDefault="002F5606" w:rsidP="002F5606">
      <w:pPr>
        <w:autoSpaceDE w:val="0"/>
        <w:autoSpaceDN w:val="0"/>
        <w:adjustRightInd w:val="0"/>
        <w:spacing w:after="240" w:line="240" w:lineRule="auto"/>
        <w:jc w:val="center"/>
        <w:rPr>
          <w:b/>
          <w:sz w:val="32"/>
        </w:rPr>
      </w:pPr>
      <w:r>
        <w:rPr>
          <w:rFonts w:cs="TimesNewRoman,Bold"/>
          <w:b/>
          <w:bCs/>
          <w:sz w:val="32"/>
          <w:szCs w:val="32"/>
        </w:rPr>
        <w:t>Ujednání o rozdělení nákladů mezi různé vlastníky za jedním odběrným místem</w:t>
      </w:r>
    </w:p>
    <w:p w14:paraId="1680783D" w14:textId="77777777" w:rsidR="002F5606" w:rsidRDefault="002F5606" w:rsidP="002F5606">
      <w:pPr>
        <w:pStyle w:val="Odstavecseseznamem"/>
        <w:numPr>
          <w:ilvl w:val="0"/>
          <w:numId w:val="18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Bytový dům čp. 811–812 a 829–832 je jedno společné technologicky propojené odběrné tepelné zařízení, které je osazeno 1 počítadlem tepla.</w:t>
      </w:r>
    </w:p>
    <w:p w14:paraId="59917973" w14:textId="77777777" w:rsidR="002F5606" w:rsidRDefault="002F5606" w:rsidP="002F5606">
      <w:pPr>
        <w:pStyle w:val="Odstavecseseznamem"/>
        <w:numPr>
          <w:ilvl w:val="0"/>
          <w:numId w:val="18"/>
        </w:numPr>
        <w:autoSpaceDE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množství GJ odebraných na odběrném místě č. 137521 bude na jednotlivé subjekty rozděleno takto:</w:t>
      </w:r>
    </w:p>
    <w:p w14:paraId="3CED20F2" w14:textId="0698CE67" w:rsidR="002F5606" w:rsidRDefault="002F5606" w:rsidP="002F5606">
      <w:pPr>
        <w:pStyle w:val="Odstavecseseznamem"/>
        <w:autoSpaceDE w:val="0"/>
        <w:adjustRightInd w:val="0"/>
        <w:spacing w:after="0" w:line="240" w:lineRule="auto"/>
        <w:ind w:left="108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Náklady na jednotlivé SVJ se naúčtují podle výpočtu rozúčtovací firmy ISTA při vyúčtování odběru TE za běžné zúčtovací období.</w:t>
      </w:r>
    </w:p>
    <w:p w14:paraId="4CA56F41" w14:textId="7015BA87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67B02" w14:textId="77777777" w:rsidR="00893AC2" w:rsidRDefault="00893AC2" w:rsidP="00BB203A">
      <w:pPr>
        <w:spacing w:after="0" w:line="240" w:lineRule="auto"/>
      </w:pPr>
      <w:r>
        <w:separator/>
      </w:r>
    </w:p>
  </w:endnote>
  <w:endnote w:type="continuationSeparator" w:id="0">
    <w:p w14:paraId="5FB137E5" w14:textId="77777777" w:rsidR="00893AC2" w:rsidRDefault="00893AC2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0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38B49" w14:textId="77777777" w:rsidR="00893AC2" w:rsidRDefault="00893AC2" w:rsidP="00BB203A">
      <w:pPr>
        <w:spacing w:after="0" w:line="240" w:lineRule="auto"/>
      </w:pPr>
      <w:r>
        <w:separator/>
      </w:r>
    </w:p>
  </w:footnote>
  <w:footnote w:type="continuationSeparator" w:id="0">
    <w:p w14:paraId="7DDABFB4" w14:textId="77777777" w:rsidR="00893AC2" w:rsidRDefault="00893AC2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5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6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2A6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D6CC1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61687"/>
    <w:rsid w:val="001651F3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F2AA7"/>
    <w:rsid w:val="002F5606"/>
    <w:rsid w:val="002F687B"/>
    <w:rsid w:val="00305B95"/>
    <w:rsid w:val="00317E20"/>
    <w:rsid w:val="00333178"/>
    <w:rsid w:val="00334E2C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22B5E"/>
    <w:rsid w:val="00425A2D"/>
    <w:rsid w:val="00425F9C"/>
    <w:rsid w:val="00431DFD"/>
    <w:rsid w:val="00432F44"/>
    <w:rsid w:val="00447992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1D73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1B0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2EB4"/>
    <w:rsid w:val="005C3483"/>
    <w:rsid w:val="005C4D96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9CD"/>
    <w:rsid w:val="006265F8"/>
    <w:rsid w:val="00632A9E"/>
    <w:rsid w:val="00637861"/>
    <w:rsid w:val="006404F1"/>
    <w:rsid w:val="00640646"/>
    <w:rsid w:val="00646CBC"/>
    <w:rsid w:val="0066661E"/>
    <w:rsid w:val="00667A9D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88"/>
    <w:rsid w:val="006F08AC"/>
    <w:rsid w:val="006F25B6"/>
    <w:rsid w:val="006F3775"/>
    <w:rsid w:val="007036E2"/>
    <w:rsid w:val="00704890"/>
    <w:rsid w:val="007066A6"/>
    <w:rsid w:val="00711781"/>
    <w:rsid w:val="00715A6A"/>
    <w:rsid w:val="00715EC4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3AC2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24C2B"/>
    <w:rsid w:val="00930A46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44E50"/>
    <w:rsid w:val="00A5089A"/>
    <w:rsid w:val="00A51D23"/>
    <w:rsid w:val="00A522AA"/>
    <w:rsid w:val="00A54893"/>
    <w:rsid w:val="00A61358"/>
    <w:rsid w:val="00A61586"/>
    <w:rsid w:val="00A63658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3D1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D00F9"/>
    <w:rsid w:val="00CE7985"/>
    <w:rsid w:val="00CF71E1"/>
    <w:rsid w:val="00D019B6"/>
    <w:rsid w:val="00D15132"/>
    <w:rsid w:val="00D22303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83042"/>
    <w:rsid w:val="00D920FF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E50"/>
    <w:rsid w:val="00FD7061"/>
    <w:rsid w:val="00FE04AE"/>
    <w:rsid w:val="00FE2D45"/>
    <w:rsid w:val="00FE5FF1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73DE-81BB-423B-BC46-4D6C925F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2024-01-05T13:53:00Z</dcterms:created>
  <dcterms:modified xsi:type="dcterms:W3CDTF">2024-01-05T13:53:00Z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