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3004" w14:textId="1DB23E7A" w:rsidR="00A63658" w:rsidRDefault="00032E47" w:rsidP="00A63658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A63658">
        <w:rPr>
          <w:b/>
          <w:sz w:val="32"/>
          <w:szCs w:val="32"/>
        </w:rPr>
        <w:t>19/20</w:t>
      </w:r>
      <w:r w:rsidR="00147859">
        <w:rPr>
          <w:b/>
          <w:sz w:val="32"/>
          <w:szCs w:val="32"/>
        </w:rPr>
        <w:t>24</w:t>
      </w:r>
      <w:r w:rsidR="00A63658">
        <w:rPr>
          <w:b/>
          <w:sz w:val="32"/>
          <w:szCs w:val="32"/>
        </w:rPr>
        <w:t xml:space="preserve">/TH/L </w:t>
      </w:r>
    </w:p>
    <w:p w14:paraId="0D690C92" w14:textId="7BD1E961" w:rsidR="005D0BDB" w:rsidRPr="00BF1C4B" w:rsidRDefault="005D0BDB" w:rsidP="00A63658">
      <w:pPr>
        <w:spacing w:after="12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0817EAFD" w14:textId="77777777" w:rsidR="00A63658" w:rsidRPr="004F1395" w:rsidRDefault="00A63658" w:rsidP="00A63658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>
        <w:rPr>
          <w:b/>
          <w:sz w:val="24"/>
          <w:szCs w:val="24"/>
        </w:rPr>
        <w:t>vlastníků domu 1324, 1325, 1326, 1327 v Žamberku</w:t>
      </w:r>
    </w:p>
    <w:p w14:paraId="189EB39F" w14:textId="77777777" w:rsidR="00A63658" w:rsidRDefault="00A63658" w:rsidP="00A6365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 xml:space="preserve"> 28. října 1326, 564 01 Žamberk</w:t>
      </w:r>
    </w:p>
    <w:p w14:paraId="1B5D87B9" w14:textId="77777777" w:rsidR="00A63658" w:rsidRDefault="00A63658" w:rsidP="00A6365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28766199, DIČ: není</w:t>
      </w:r>
    </w:p>
    <w:p w14:paraId="6E2C7715" w14:textId="77777777" w:rsidR="00A63658" w:rsidRPr="00AD7AEB" w:rsidRDefault="00A63658" w:rsidP="00A6365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 rejstříku společenství vlastníků jednotek vedeném Krajským soudem v Hradci Králové, sp. zn. S 4515</w:t>
      </w:r>
    </w:p>
    <w:p w14:paraId="3AE14748" w14:textId="77777777" w:rsidR="00A63658" w:rsidRDefault="00A63658" w:rsidP="00A6365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Zdeňkem Moravcem a místopředsedkyní výboru Marií Vargovou na straně druhé jako odběratel </w:t>
      </w:r>
    </w:p>
    <w:p w14:paraId="6F78694C" w14:textId="77777777" w:rsidR="00A63658" w:rsidRDefault="00A63658" w:rsidP="00A63658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lastRenderedPageBreak/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6DE7A553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1651F3" w:rsidRPr="001651F3">
        <w:rPr>
          <w:sz w:val="24"/>
          <w:szCs w:val="24"/>
        </w:rPr>
        <w:t>19/2018/TH/L ze dne 12.12.2017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3F7A9BF1" w14:textId="77777777" w:rsidR="00941DD0" w:rsidRPr="00DA4907" w:rsidRDefault="00DA4907" w:rsidP="00941D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056D6F8E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</w:t>
      </w:r>
      <w:r w:rsidR="001651F3">
        <w:rPr>
          <w:rFonts w:cs="TimesNewRoman,Bold"/>
          <w:b/>
          <w:bCs/>
          <w:sz w:val="24"/>
          <w:szCs w:val="24"/>
        </w:rPr>
        <w:t>19</w:t>
      </w:r>
      <w:r>
        <w:rPr>
          <w:rFonts w:cs="TimesNewRoman,Bold"/>
          <w:b/>
          <w:bCs/>
          <w:sz w:val="24"/>
          <w:szCs w:val="24"/>
        </w:rPr>
        <w:t>/2024/TH/L</w:t>
      </w:r>
    </w:p>
    <w:p w14:paraId="6D56056C" w14:textId="77777777" w:rsidR="00A51D23" w:rsidRPr="00941DD0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7FEB20A6" w14:textId="61E04422" w:rsidR="001651F3" w:rsidRDefault="001651F3" w:rsidP="001651F3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</w:t>
      </w:r>
      <w:r w:rsidR="006D7E72">
        <w:rPr>
          <w:rFonts w:cs="TimesNewRoman,Bold"/>
          <w:b/>
          <w:bCs/>
          <w:sz w:val="24"/>
          <w:szCs w:val="24"/>
        </w:rPr>
        <w:t xml:space="preserve"> </w:t>
      </w:r>
      <w:r>
        <w:rPr>
          <w:rFonts w:cs="TimesNewRoman,Bold"/>
          <w:b/>
          <w:bCs/>
          <w:sz w:val="24"/>
          <w:szCs w:val="24"/>
        </w:rPr>
        <w:t>137510</w:t>
      </w:r>
    </w:p>
    <w:p w14:paraId="7A5087C6" w14:textId="77777777" w:rsidR="001651F3" w:rsidRPr="00941DD0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>
        <w:rPr>
          <w:rFonts w:cs="TimesNewRoman"/>
          <w:sz w:val="24"/>
          <w:szCs w:val="24"/>
        </w:rPr>
        <w:tab/>
        <w:t>čp. 1324 – 1325, Žamberk</w:t>
      </w:r>
    </w:p>
    <w:p w14:paraId="7E75A05A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do domu</w:t>
      </w:r>
    </w:p>
    <w:p w14:paraId="01958C6B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613891C0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místnost regulace v suterénu čp. 1325</w:t>
      </w:r>
    </w:p>
    <w:p w14:paraId="523C6B63" w14:textId="77777777" w:rsidR="001651F3" w:rsidRDefault="001651F3" w:rsidP="001651F3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72F084D6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1024F7B6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753FBF3B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0,182</w:t>
      </w:r>
      <w:r w:rsidRPr="00367538">
        <w:rPr>
          <w:rFonts w:cs="TimesNewRoman"/>
          <w:sz w:val="24"/>
          <w:szCs w:val="24"/>
        </w:rPr>
        <w:t xml:space="preserve"> MW</w:t>
      </w:r>
    </w:p>
    <w:p w14:paraId="29982A87" w14:textId="77777777" w:rsidR="001651F3" w:rsidRPr="002202E1" w:rsidRDefault="001651F3" w:rsidP="001651F3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6,430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4DA44CB1" w14:textId="04C7E2F6" w:rsidR="001651F3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6E3FB2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6E3FB2">
        <w:rPr>
          <w:sz w:val="24"/>
        </w:rPr>
        <w:t xml:space="preserve"> přívod</w:t>
      </w:r>
      <w:r w:rsidRPr="00367538">
        <w:rPr>
          <w:rFonts w:cs="TimesNewRoman"/>
          <w:sz w:val="24"/>
          <w:szCs w:val="24"/>
        </w:rPr>
        <w:t xml:space="preserve">/zpátečka: </w:t>
      </w:r>
      <w:r>
        <w:rPr>
          <w:rFonts w:cs="TimesNewRoman"/>
          <w:sz w:val="24"/>
          <w:szCs w:val="24"/>
        </w:rPr>
        <w:tab/>
        <w:t>60</w:t>
      </w:r>
      <w:r w:rsidRPr="00367538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40</w:t>
      </w:r>
      <w:r w:rsidRPr="00367538">
        <w:rPr>
          <w:rFonts w:cs="TimesNewRoman"/>
          <w:sz w:val="24"/>
          <w:szCs w:val="24"/>
        </w:rPr>
        <w:t>˚C</w:t>
      </w:r>
    </w:p>
    <w:p w14:paraId="331EFF5D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ano</w:t>
      </w:r>
    </w:p>
    <w:p w14:paraId="47375D30" w14:textId="77777777" w:rsidR="001651F3" w:rsidRPr="00367538" w:rsidRDefault="001651F3" w:rsidP="001651F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Teplota TUV: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45°C – 60°C</w:t>
      </w:r>
    </w:p>
    <w:p w14:paraId="31FEE270" w14:textId="77777777" w:rsidR="001651F3" w:rsidRDefault="001651F3" w:rsidP="001651F3">
      <w:pPr>
        <w:pStyle w:val="Standard"/>
        <w:spacing w:after="0" w:line="240" w:lineRule="auto"/>
        <w:rPr>
          <w:sz w:val="24"/>
        </w:rPr>
      </w:pPr>
      <w:r>
        <w:rPr>
          <w:rFonts w:cs="TimesNewRoman"/>
          <w:sz w:val="24"/>
          <w:szCs w:val="24"/>
        </w:rPr>
        <w:t xml:space="preserve">Dodávka a teplota teplé vody: </w:t>
      </w:r>
      <w:r w:rsidRPr="006E3FB2">
        <w:rPr>
          <w:sz w:val="24"/>
        </w:rPr>
        <w:t xml:space="preserve">ve smyslu </w:t>
      </w:r>
      <w:r>
        <w:rPr>
          <w:rFonts w:cs="TimesNewRoman"/>
          <w:sz w:val="24"/>
          <w:szCs w:val="24"/>
        </w:rPr>
        <w:t>vyhl.</w:t>
      </w:r>
      <w:r w:rsidRPr="006E3FB2">
        <w:rPr>
          <w:sz w:val="24"/>
        </w:rPr>
        <w:t xml:space="preserve"> č. 194/2007 Sb.</w:t>
      </w:r>
    </w:p>
    <w:p w14:paraId="45A15170" w14:textId="77777777" w:rsidR="001651F3" w:rsidRDefault="001651F3" w:rsidP="001651F3">
      <w:pPr>
        <w:pStyle w:val="Standard"/>
        <w:spacing w:after="0" w:line="240" w:lineRule="auto"/>
        <w:rPr>
          <w:rFonts w:cs="TimesNewRoman"/>
          <w:sz w:val="24"/>
          <w:szCs w:val="24"/>
        </w:rPr>
      </w:pPr>
    </w:p>
    <w:p w14:paraId="64EED43C" w14:textId="3AB4951B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01016961" w14:textId="77777777" w:rsidR="006D7E72" w:rsidRPr="00941DD0" w:rsidRDefault="006D7E72" w:rsidP="006D7E7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2E34562D" w14:textId="4B71A553" w:rsidR="006D7E72" w:rsidRDefault="006D7E72" w:rsidP="006D7E72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137511</w:t>
      </w:r>
    </w:p>
    <w:p w14:paraId="28DACF12" w14:textId="77777777" w:rsidR="006D7E72" w:rsidRPr="00941DD0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r w:rsidRPr="00941DD0"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čp. 1326 – 1327, Žamberk</w:t>
      </w:r>
    </w:p>
    <w:p w14:paraId="6D46B8E5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o domu</w:t>
      </w:r>
    </w:p>
    <w:p w14:paraId="4D301919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493FA587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místnost regulace v suterénu čp. 1325</w:t>
      </w:r>
    </w:p>
    <w:p w14:paraId="29BE16E4" w14:textId="77777777" w:rsidR="006D7E72" w:rsidRDefault="006D7E72" w:rsidP="006D7E72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7C81036A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7C6CEA7F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796D070A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0,198</w:t>
      </w:r>
      <w:r w:rsidRPr="00367538">
        <w:rPr>
          <w:rFonts w:cs="TimesNewRoman"/>
          <w:sz w:val="24"/>
          <w:szCs w:val="24"/>
        </w:rPr>
        <w:t>MW</w:t>
      </w:r>
    </w:p>
    <w:p w14:paraId="66B4030A" w14:textId="77777777" w:rsidR="006D7E72" w:rsidRPr="002202E1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7,00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22E592F1" w14:textId="275E6980" w:rsidR="006D7E72" w:rsidRDefault="006D7E72" w:rsidP="006D7E7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6E3FB2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6E3FB2">
        <w:rPr>
          <w:sz w:val="24"/>
        </w:rPr>
        <w:t xml:space="preserve"> přívod</w:t>
      </w:r>
      <w:r w:rsidRPr="00367538">
        <w:rPr>
          <w:rFonts w:cs="TimesNewRoman"/>
          <w:sz w:val="24"/>
          <w:szCs w:val="24"/>
        </w:rPr>
        <w:t xml:space="preserve">/zpátečka: </w:t>
      </w:r>
      <w:r>
        <w:rPr>
          <w:rFonts w:cs="TimesNewRoman"/>
          <w:sz w:val="24"/>
          <w:szCs w:val="24"/>
        </w:rPr>
        <w:tab/>
        <w:t>60</w:t>
      </w:r>
      <w:r w:rsidRPr="00367538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40</w:t>
      </w:r>
      <w:r w:rsidRPr="00367538">
        <w:rPr>
          <w:rFonts w:cs="TimesNewRoman"/>
          <w:sz w:val="24"/>
          <w:szCs w:val="24"/>
        </w:rPr>
        <w:t>˚C</w:t>
      </w:r>
    </w:p>
    <w:p w14:paraId="5C42E823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ano</w:t>
      </w:r>
    </w:p>
    <w:p w14:paraId="0DD07696" w14:textId="77777777" w:rsidR="006D7E72" w:rsidRPr="00367538" w:rsidRDefault="006D7E72" w:rsidP="006D7E7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Teplota TUV: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45°C – 60°C</w:t>
      </w:r>
    </w:p>
    <w:p w14:paraId="1162133D" w14:textId="77777777" w:rsidR="006D7E72" w:rsidRDefault="006D7E72" w:rsidP="006D7E72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Dodávka a teplota teplé vody: </w:t>
      </w:r>
      <w:r w:rsidRPr="006E3FB2">
        <w:rPr>
          <w:sz w:val="24"/>
        </w:rPr>
        <w:t xml:space="preserve">ve smyslu </w:t>
      </w:r>
      <w:r>
        <w:rPr>
          <w:rFonts w:cs="TimesNewRoman"/>
          <w:sz w:val="24"/>
          <w:szCs w:val="24"/>
        </w:rPr>
        <w:t>vyhl.</w:t>
      </w:r>
      <w:r w:rsidRPr="006E3FB2">
        <w:rPr>
          <w:sz w:val="24"/>
        </w:rPr>
        <w:t xml:space="preserve"> č. 194/2007 Sb.</w:t>
      </w:r>
    </w:p>
    <w:p w14:paraId="7A88CE38" w14:textId="1B0F1F4E" w:rsidR="006D7E72" w:rsidRDefault="006D7E72" w:rsidP="006D7E72">
      <w:pPr>
        <w:autoSpaceDE w:val="0"/>
        <w:autoSpaceDN w:val="0"/>
        <w:adjustRightInd w:val="0"/>
        <w:spacing w:before="240" w:after="240" w:line="240" w:lineRule="auto"/>
        <w:rPr>
          <w:rFonts w:cs="TimesNewRoman,Bold"/>
          <w:b/>
          <w:bCs/>
          <w:sz w:val="24"/>
          <w:szCs w:val="24"/>
        </w:rPr>
      </w:pPr>
      <w:r w:rsidRPr="00971B61">
        <w:rPr>
          <w:rFonts w:cs="TimesNewRoman,Bold"/>
          <w:b/>
          <w:bCs/>
          <w:sz w:val="24"/>
          <w:szCs w:val="24"/>
        </w:rPr>
        <w:t>Datum zahájení odběru: 1.1.20</w:t>
      </w:r>
      <w:r>
        <w:rPr>
          <w:rFonts w:cs="TimesNewRoman,Bold"/>
          <w:b/>
          <w:bCs/>
          <w:sz w:val="24"/>
          <w:szCs w:val="24"/>
        </w:rPr>
        <w:t>24</w:t>
      </w:r>
    </w:p>
    <w:p w14:paraId="3950F0B1" w14:textId="1AF53151" w:rsidR="005C4D96" w:rsidRDefault="006D7E72" w:rsidP="006D7E72">
      <w:pPr>
        <w:autoSpaceDE w:val="0"/>
        <w:autoSpaceDN w:val="0"/>
        <w:adjustRightInd w:val="0"/>
        <w:spacing w:before="240" w:after="240" w:line="240" w:lineRule="auto"/>
        <w:rPr>
          <w:rFonts w:cs="TimesNewRoman,BoldItalic"/>
          <w:bCs/>
          <w:i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5C4D96" w:rsidRPr="00941DD0">
        <w:rPr>
          <w:rFonts w:cs="TimesNewRoman,BoldItalic"/>
          <w:bCs/>
          <w:iCs/>
          <w:sz w:val="24"/>
          <w:szCs w:val="24"/>
        </w:rPr>
        <w:lastRenderedPageBreak/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22E12043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6D7E72">
        <w:rPr>
          <w:b/>
          <w:sz w:val="24"/>
          <w:szCs w:val="24"/>
        </w:rPr>
        <w:t>19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232A9F73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6937A4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6D7E72">
        <w:rPr>
          <w:rFonts w:cs="TimesNewRoman"/>
          <w:b/>
          <w:bCs/>
          <w:sz w:val="24"/>
          <w:szCs w:val="24"/>
        </w:rPr>
        <w:t>19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178A2CF5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36C804C0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5B2778F3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56CFF468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166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34080D98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5C376DF2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0A7EFB59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2118C574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4C424CD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65D77D0B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5DC336F2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20FA4D31" w:rsidR="00AE7CF7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173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1F41D48E" w:rsidR="00AE7CF7" w:rsidRPr="00F8166B" w:rsidRDefault="006D7E7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1400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15D50A8F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65277" w14:textId="77777777" w:rsidR="00B54C1B" w:rsidRDefault="00B54C1B" w:rsidP="00BB203A">
      <w:pPr>
        <w:spacing w:after="0" w:line="240" w:lineRule="auto"/>
      </w:pPr>
      <w:r>
        <w:separator/>
      </w:r>
    </w:p>
  </w:endnote>
  <w:endnote w:type="continuationSeparator" w:id="0">
    <w:p w14:paraId="299AC8EF" w14:textId="77777777" w:rsidR="00B54C1B" w:rsidRDefault="00B54C1B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C58A2" w14:textId="77777777" w:rsidR="00B54C1B" w:rsidRDefault="00B54C1B" w:rsidP="00BB203A">
      <w:pPr>
        <w:spacing w:after="0" w:line="240" w:lineRule="auto"/>
      </w:pPr>
      <w:r>
        <w:separator/>
      </w:r>
    </w:p>
  </w:footnote>
  <w:footnote w:type="continuationSeparator" w:id="0">
    <w:p w14:paraId="6C8775AA" w14:textId="77777777" w:rsidR="00B54C1B" w:rsidRDefault="00B54C1B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47859"/>
    <w:rsid w:val="00161687"/>
    <w:rsid w:val="001651F3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0562A"/>
    <w:rsid w:val="00413BDD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37A4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72"/>
    <w:rsid w:val="006D7E88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3658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54C1B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6B91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84F2-0F77-43C6-8F38-6836BCF4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2024-01-05T13:33:00Z</dcterms:created>
  <dcterms:modified xsi:type="dcterms:W3CDTF">2024-01-05T13:33:00Z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