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AD577" w14:textId="3C738E68" w:rsidR="001F782E" w:rsidRPr="00367538" w:rsidRDefault="00032E47" w:rsidP="001F782E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D24CFB">
        <w:rPr>
          <w:b/>
          <w:sz w:val="32"/>
          <w:szCs w:val="32"/>
        </w:rPr>
        <w:t>13</w:t>
      </w:r>
      <w:r w:rsidR="001F782E">
        <w:rPr>
          <w:b/>
          <w:sz w:val="32"/>
          <w:szCs w:val="32"/>
        </w:rPr>
        <w:t>/2024/TH/</w:t>
      </w:r>
      <w:r w:rsidR="008F35DE">
        <w:rPr>
          <w:b/>
          <w:sz w:val="32"/>
          <w:szCs w:val="32"/>
        </w:rPr>
        <w:t>L</w:t>
      </w:r>
    </w:p>
    <w:p w14:paraId="0D690C92" w14:textId="77777777" w:rsidR="005D0BDB" w:rsidRPr="00BF1C4B" w:rsidRDefault="005D0BDB" w:rsidP="00D22B55">
      <w:pPr>
        <w:spacing w:after="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0AB02CDC" w14:textId="77777777" w:rsidR="00D24CFB" w:rsidRPr="004F1395" w:rsidRDefault="00D24CFB" w:rsidP="00D24CF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Sefir s.r.o.</w:t>
      </w:r>
    </w:p>
    <w:p w14:paraId="23B5B722" w14:textId="77777777" w:rsidR="00D24CFB" w:rsidRDefault="00D24CFB" w:rsidP="00D24C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>: Zlonín 216, 250 64 Zlonín</w:t>
      </w:r>
    </w:p>
    <w:p w14:paraId="0D3F6A92" w14:textId="77777777" w:rsidR="00D24CFB" w:rsidRDefault="00D24CFB" w:rsidP="00D24C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27488853, DIČ: CZ 27488853</w:t>
      </w:r>
    </w:p>
    <w:p w14:paraId="54E82700" w14:textId="77777777" w:rsidR="00D24CFB" w:rsidRPr="008F4EC2" w:rsidRDefault="00D24CFB" w:rsidP="00D24C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8F4EC2">
        <w:rPr>
          <w:rFonts w:cs="Arial"/>
          <w:color w:val="000000"/>
          <w:sz w:val="24"/>
          <w:szCs w:val="24"/>
          <w:shd w:val="clear" w:color="auto" w:fill="FFFFFF"/>
        </w:rPr>
        <w:t>vedená</w:t>
      </w:r>
      <w:r w:rsidRPr="001C3990">
        <w:rPr>
          <w:sz w:val="24"/>
        </w:rPr>
        <w:t xml:space="preserve"> u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Městského</w:t>
      </w:r>
      <w:r w:rsidRPr="001C3990">
        <w:rPr>
          <w:sz w:val="24"/>
        </w:rPr>
        <w:t xml:space="preserve"> soudu v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Praze</w:t>
      </w:r>
      <w:r w:rsidRPr="008F4EC2">
        <w:rPr>
          <w:rFonts w:cs="TimesNewRoman"/>
          <w:sz w:val="24"/>
          <w:szCs w:val="24"/>
        </w:rPr>
        <w:t xml:space="preserve">, sp. zn. </w:t>
      </w:r>
      <w:r w:rsidRPr="008F4EC2">
        <w:rPr>
          <w:rFonts w:cs="Arial"/>
          <w:color w:val="000000"/>
          <w:sz w:val="24"/>
          <w:szCs w:val="24"/>
          <w:shd w:val="clear" w:color="auto" w:fill="FFFFFF"/>
        </w:rPr>
        <w:t>C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403048">
        <w:rPr>
          <w:rFonts w:cs="Arial"/>
          <w:color w:val="000000"/>
          <w:sz w:val="24"/>
          <w:szCs w:val="24"/>
          <w:shd w:val="clear" w:color="auto" w:fill="FFFFFF"/>
        </w:rPr>
        <w:t>145175</w:t>
      </w:r>
    </w:p>
    <w:p w14:paraId="692CFB2C" w14:textId="77777777" w:rsidR="00D24CFB" w:rsidRDefault="00D24CFB" w:rsidP="00D24C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Radkem Viktorinem, jednatelem společnosti</w:t>
      </w:r>
    </w:p>
    <w:p w14:paraId="7DACAE75" w14:textId="77777777" w:rsidR="00D24CFB" w:rsidRDefault="00D24CFB" w:rsidP="00D24C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Adresa příjemce (zasílání) faktury: Sefir s.r.o., Nádražní 540, 562 01 Ústí nad Orlicí</w:t>
      </w:r>
    </w:p>
    <w:p w14:paraId="64ADB8C9" w14:textId="77777777" w:rsidR="00D24CFB" w:rsidRDefault="00D24CFB" w:rsidP="00D24CFB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7727B797" w14:textId="77777777" w:rsidR="001322D9" w:rsidRDefault="001322D9" w:rsidP="005A56EC">
      <w:pPr>
        <w:spacing w:after="0" w:line="240" w:lineRule="auto"/>
        <w:rPr>
          <w:sz w:val="24"/>
        </w:rPr>
      </w:pP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6763F17C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ED136E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0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</w:t>
      </w:r>
      <w:r w:rsidRPr="00B15CC0">
        <w:rPr>
          <w:sz w:val="24"/>
        </w:rPr>
        <w:lastRenderedPageBreak/>
        <w:t>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32CD5355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715EC4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715EC4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1AD4ED3A" w14:textId="77777777" w:rsidR="00715EC4" w:rsidRPr="00715EC4" w:rsidRDefault="00715EC4" w:rsidP="00715EC4">
      <w:pPr>
        <w:pStyle w:val="Odstavecseseznamem"/>
        <w:rPr>
          <w:sz w:val="24"/>
        </w:rPr>
      </w:pPr>
    </w:p>
    <w:p w14:paraId="7312BACC" w14:textId="332FC036" w:rsidR="00715EC4" w:rsidRPr="00062BD3" w:rsidRDefault="00715EC4" w:rsidP="00715EC4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Tato smlouva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včetně platných dodatků</w:t>
      </w:r>
      <w:r w:rsidRPr="000278E0">
        <w:rPr>
          <w:sz w:val="24"/>
          <w:szCs w:val="24"/>
        </w:rPr>
        <w:t>,</w:t>
      </w:r>
      <w:r>
        <w:rPr>
          <w:sz w:val="24"/>
          <w:szCs w:val="24"/>
        </w:rPr>
        <w:t xml:space="preserve"> v celém rozsahu nahrazuje </w:t>
      </w:r>
      <w:r w:rsidRPr="00B8476A">
        <w:rPr>
          <w:sz w:val="24"/>
          <w:szCs w:val="24"/>
        </w:rPr>
        <w:t>smlouvu</w:t>
      </w:r>
      <w:r>
        <w:rPr>
          <w:sz w:val="24"/>
          <w:szCs w:val="24"/>
        </w:rPr>
        <w:t xml:space="preserve"> č. </w:t>
      </w:r>
      <w:r w:rsidR="00D24CFB" w:rsidRPr="00D24CFB">
        <w:rPr>
          <w:sz w:val="24"/>
          <w:szCs w:val="24"/>
        </w:rPr>
        <w:t>13/2018/TH/L ze dne 21.12.2017</w:t>
      </w:r>
      <w:r w:rsidRPr="00B8476A">
        <w:rPr>
          <w:sz w:val="24"/>
          <w:szCs w:val="24"/>
        </w:rPr>
        <w:t>,</w:t>
      </w:r>
      <w:r>
        <w:rPr>
          <w:sz w:val="24"/>
          <w:szCs w:val="24"/>
        </w:rPr>
        <w:t xml:space="preserve">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3F7A9BF1" w14:textId="77777777" w:rsidR="00941DD0" w:rsidRPr="00DA4907" w:rsidRDefault="00DA4907" w:rsidP="00941D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471CBFC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5CAB5FAE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35828DF3" w14:textId="77777777" w:rsidR="00FD05D5" w:rsidRDefault="00FD05D5" w:rsidP="00D22B55">
      <w:pPr>
        <w:spacing w:after="0" w:line="240" w:lineRule="auto"/>
        <w:jc w:val="both"/>
        <w:rPr>
          <w:sz w:val="24"/>
          <w:szCs w:val="24"/>
        </w:rPr>
      </w:pPr>
    </w:p>
    <w:p w14:paraId="6C8C60CB" w14:textId="77777777" w:rsidR="0082634D" w:rsidRDefault="0082634D" w:rsidP="00D22B55">
      <w:pPr>
        <w:spacing w:after="0" w:line="240" w:lineRule="auto"/>
        <w:jc w:val="both"/>
        <w:rPr>
          <w:sz w:val="24"/>
          <w:szCs w:val="24"/>
        </w:rPr>
      </w:pPr>
    </w:p>
    <w:p w14:paraId="606A2A74" w14:textId="77777777" w:rsidR="0059117A" w:rsidRDefault="0059117A" w:rsidP="00D22B55">
      <w:pPr>
        <w:spacing w:after="0" w:line="240" w:lineRule="auto"/>
        <w:jc w:val="both"/>
        <w:rPr>
          <w:sz w:val="24"/>
          <w:szCs w:val="24"/>
        </w:rPr>
      </w:pPr>
    </w:p>
    <w:p w14:paraId="63EB94C2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FC7E44A" w14:textId="0148F732" w:rsidR="00914052" w:rsidRPr="003A011E" w:rsidRDefault="00914052" w:rsidP="0091405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>Příloha č. 1 ke smlouvě o dodávce tepelné energie č.</w:t>
      </w:r>
      <w:r w:rsidRPr="00403048">
        <w:rPr>
          <w:b/>
          <w:sz w:val="32"/>
        </w:rPr>
        <w:t xml:space="preserve"> </w:t>
      </w:r>
      <w:r>
        <w:rPr>
          <w:rFonts w:cs="TimesNewRoman,Bold"/>
          <w:b/>
          <w:bCs/>
          <w:sz w:val="24"/>
          <w:szCs w:val="24"/>
        </w:rPr>
        <w:t>13/2024/TH/L</w:t>
      </w:r>
    </w:p>
    <w:p w14:paraId="528DAFAB" w14:textId="77777777" w:rsidR="00914052" w:rsidRPr="00941DD0" w:rsidRDefault="00914052" w:rsidP="0091405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20990339" w14:textId="673FE30C" w:rsidR="00914052" w:rsidRDefault="00914052" w:rsidP="00914052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137520</w:t>
      </w:r>
    </w:p>
    <w:p w14:paraId="291D5BDA" w14:textId="77777777" w:rsidR="00914052" w:rsidRPr="00941DD0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>
        <w:rPr>
          <w:rFonts w:cs="TimesNewRoman"/>
          <w:sz w:val="24"/>
          <w:szCs w:val="24"/>
        </w:rPr>
        <w:tab/>
        <w:t>čp. 267, 28. října, Žamberk</w:t>
      </w:r>
    </w:p>
    <w:p w14:paraId="6659923C" w14:textId="77777777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topného kanálu do objektu</w:t>
      </w:r>
    </w:p>
    <w:p w14:paraId="154BF20C" w14:textId="77777777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1D917F91" w14:textId="77777777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suterén domu čp. 267</w:t>
      </w:r>
    </w:p>
    <w:p w14:paraId="71D7A2E8" w14:textId="77777777" w:rsidR="00914052" w:rsidRDefault="00914052" w:rsidP="00914052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78919830" w14:textId="77777777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048857A9" w14:textId="77777777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0,400</w:t>
      </w:r>
      <w:r w:rsidRPr="00367538">
        <w:rPr>
          <w:rFonts w:cs="TimesNewRoman"/>
          <w:sz w:val="24"/>
          <w:szCs w:val="24"/>
        </w:rPr>
        <w:t xml:space="preserve"> MPa</w:t>
      </w:r>
    </w:p>
    <w:p w14:paraId="7D97A95C" w14:textId="77777777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0,018</w:t>
      </w:r>
      <w:r w:rsidRPr="00367538">
        <w:rPr>
          <w:rFonts w:cs="TimesNewRoman"/>
          <w:sz w:val="24"/>
          <w:szCs w:val="24"/>
        </w:rPr>
        <w:t xml:space="preserve"> MW</w:t>
      </w:r>
    </w:p>
    <w:p w14:paraId="3E492CC0" w14:textId="7BACDDE3" w:rsidR="00914052" w:rsidRPr="00367538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>při -</w:t>
      </w:r>
      <w:r w:rsidRPr="00403048">
        <w:rPr>
          <w:sz w:val="24"/>
        </w:rPr>
        <w:t>15 °C přívod</w:t>
      </w:r>
      <w:r w:rsidRPr="00367538">
        <w:rPr>
          <w:rFonts w:cs="TimesNewRoman"/>
          <w:sz w:val="24"/>
          <w:szCs w:val="24"/>
        </w:rPr>
        <w:t>/zpátečka:</w:t>
      </w:r>
      <w:r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ab/>
      </w:r>
      <w:r w:rsidR="009B742F">
        <w:rPr>
          <w:rFonts w:cs="TimesNewRoman"/>
          <w:sz w:val="24"/>
          <w:szCs w:val="24"/>
        </w:rPr>
        <w:t>6</w:t>
      </w:r>
      <w:r>
        <w:rPr>
          <w:rFonts w:cs="TimesNewRoman"/>
          <w:sz w:val="24"/>
          <w:szCs w:val="24"/>
        </w:rPr>
        <w:t>0</w:t>
      </w:r>
      <w:r w:rsidRPr="00367538">
        <w:rPr>
          <w:rFonts w:cs="TimesNewRoman"/>
          <w:sz w:val="24"/>
          <w:szCs w:val="24"/>
        </w:rPr>
        <w:t>˚C /</w:t>
      </w:r>
      <w:r>
        <w:rPr>
          <w:rFonts w:cs="TimesNewRoman"/>
          <w:sz w:val="24"/>
          <w:szCs w:val="24"/>
        </w:rPr>
        <w:t xml:space="preserve"> </w:t>
      </w:r>
      <w:r w:rsidR="009B742F">
        <w:rPr>
          <w:rFonts w:cs="TimesNewRoman"/>
          <w:sz w:val="24"/>
          <w:szCs w:val="24"/>
        </w:rPr>
        <w:t>4</w:t>
      </w:r>
      <w:r>
        <w:rPr>
          <w:rFonts w:cs="TimesNewRoman"/>
          <w:sz w:val="24"/>
          <w:szCs w:val="24"/>
        </w:rPr>
        <w:t>0</w:t>
      </w:r>
      <w:r w:rsidRPr="00367538">
        <w:rPr>
          <w:rFonts w:cs="TimesNewRoman"/>
          <w:sz w:val="24"/>
          <w:szCs w:val="24"/>
        </w:rPr>
        <w:t>˚C</w:t>
      </w:r>
    </w:p>
    <w:p w14:paraId="1846A52F" w14:textId="77777777" w:rsidR="00914052" w:rsidRPr="00961E5B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1,200 m</w:t>
      </w:r>
      <w:r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693BB0F9" w14:textId="77777777" w:rsidR="00914052" w:rsidRDefault="00914052" w:rsidP="00914052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Pr="00367538">
        <w:rPr>
          <w:rFonts w:cs="TimesNewRoman"/>
          <w:sz w:val="24"/>
          <w:szCs w:val="24"/>
        </w:rPr>
        <w:t>ano</w:t>
      </w:r>
    </w:p>
    <w:p w14:paraId="32012370" w14:textId="77777777" w:rsidR="00914052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Teplota TUV: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45 °C–60 °C</w:t>
      </w:r>
    </w:p>
    <w:p w14:paraId="70B95780" w14:textId="77777777" w:rsidR="00914052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,Italic"/>
          <w:iCs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Dodávka a teplota teplé vody </w:t>
      </w:r>
      <w:r w:rsidRPr="005E4E2A">
        <w:rPr>
          <w:rFonts w:cs="TimesNewRoman,Italic"/>
          <w:iCs/>
          <w:sz w:val="24"/>
          <w:szCs w:val="24"/>
        </w:rPr>
        <w:t>ve smyslu vyhlášky č. 194/2007 Sb.</w:t>
      </w:r>
    </w:p>
    <w:p w14:paraId="1568CCA7" w14:textId="77777777" w:rsidR="00914052" w:rsidRDefault="00914052" w:rsidP="0091405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64EED43C" w14:textId="3AB4951B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6208AD10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914052">
        <w:rPr>
          <w:b/>
          <w:sz w:val="24"/>
          <w:szCs w:val="24"/>
        </w:rPr>
        <w:t>13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A51D23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5737031E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447E45">
        <w:rPr>
          <w:b/>
          <w:sz w:val="24"/>
        </w:rPr>
        <w:t xml:space="preserve">č.ú. </w:t>
      </w:r>
      <w:bookmarkStart w:id="2" w:name="_GoBack"/>
      <w:bookmarkEnd w:id="2"/>
      <w:r w:rsidR="00555C09">
        <w:rPr>
          <w:rFonts w:cs="TimesNewRoman"/>
          <w:sz w:val="24"/>
          <w:szCs w:val="24"/>
        </w:rPr>
        <w:t xml:space="preserve"> 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</w:t>
      </w:r>
      <w:r w:rsidR="00914052">
        <w:rPr>
          <w:rFonts w:cs="TimesNewRoman"/>
          <w:b/>
          <w:bCs/>
          <w:sz w:val="24"/>
          <w:szCs w:val="24"/>
        </w:rPr>
        <w:t>13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3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0B380AA3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0551B79E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6A3ED725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164264E1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688AB126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38B82A9C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5D7FA13F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11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2CEB05FD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31CCB4BC" w:rsidR="00AE7CF7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15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13E61F" w14:textId="003EBB36" w:rsidR="00AE7CF7" w:rsidRPr="00F8166B" w:rsidRDefault="00914052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81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3"/>
    </w:tbl>
    <w:p w14:paraId="408225A3" w14:textId="15D50A8F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974CE" w14:textId="77777777" w:rsidR="0057044C" w:rsidRDefault="0057044C" w:rsidP="00BB203A">
      <w:pPr>
        <w:spacing w:after="0" w:line="240" w:lineRule="auto"/>
      </w:pPr>
      <w:r>
        <w:separator/>
      </w:r>
    </w:p>
  </w:endnote>
  <w:endnote w:type="continuationSeparator" w:id="0">
    <w:p w14:paraId="4EBFBE4A" w14:textId="77777777" w:rsidR="0057044C" w:rsidRDefault="0057044C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E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25CB5" w14:textId="77777777" w:rsidR="0057044C" w:rsidRDefault="0057044C" w:rsidP="00BB203A">
      <w:pPr>
        <w:spacing w:after="0" w:line="240" w:lineRule="auto"/>
      </w:pPr>
      <w:r>
        <w:separator/>
      </w:r>
    </w:p>
  </w:footnote>
  <w:footnote w:type="continuationSeparator" w:id="0">
    <w:p w14:paraId="575F1C93" w14:textId="77777777" w:rsidR="0057044C" w:rsidRDefault="0057044C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61687"/>
    <w:rsid w:val="0019167F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22B5E"/>
    <w:rsid w:val="00425A2D"/>
    <w:rsid w:val="00425F9C"/>
    <w:rsid w:val="00431DFD"/>
    <w:rsid w:val="00432F44"/>
    <w:rsid w:val="00447992"/>
    <w:rsid w:val="00447E45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044C"/>
    <w:rsid w:val="00573342"/>
    <w:rsid w:val="005817E7"/>
    <w:rsid w:val="00583078"/>
    <w:rsid w:val="005876E6"/>
    <w:rsid w:val="0059117A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95894"/>
    <w:rsid w:val="00697814"/>
    <w:rsid w:val="006A0DB9"/>
    <w:rsid w:val="006A1E24"/>
    <w:rsid w:val="006A4AA7"/>
    <w:rsid w:val="006A5EDA"/>
    <w:rsid w:val="006B1722"/>
    <w:rsid w:val="006B33D9"/>
    <w:rsid w:val="006B5A02"/>
    <w:rsid w:val="006C0114"/>
    <w:rsid w:val="006D4952"/>
    <w:rsid w:val="006D7E88"/>
    <w:rsid w:val="006F08AC"/>
    <w:rsid w:val="006F25B6"/>
    <w:rsid w:val="006F3775"/>
    <w:rsid w:val="007036E2"/>
    <w:rsid w:val="00704890"/>
    <w:rsid w:val="007066A6"/>
    <w:rsid w:val="00711781"/>
    <w:rsid w:val="00715A6A"/>
    <w:rsid w:val="00715EC4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5DE"/>
    <w:rsid w:val="008F3A0A"/>
    <w:rsid w:val="00911286"/>
    <w:rsid w:val="00914052"/>
    <w:rsid w:val="00924C2B"/>
    <w:rsid w:val="00930A46"/>
    <w:rsid w:val="00934D99"/>
    <w:rsid w:val="00941DD0"/>
    <w:rsid w:val="009454C0"/>
    <w:rsid w:val="0098015E"/>
    <w:rsid w:val="00981AD4"/>
    <w:rsid w:val="00984151"/>
    <w:rsid w:val="009A38EF"/>
    <w:rsid w:val="009B742F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1D23"/>
    <w:rsid w:val="00A522AA"/>
    <w:rsid w:val="00A54893"/>
    <w:rsid w:val="00A61358"/>
    <w:rsid w:val="00A61586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3D1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B55"/>
    <w:rsid w:val="00D24CFB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D136E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553A-5B5F-414B-90AC-7CC99FD5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2024-01-05T13:12:00Z</dcterms:created>
  <dcterms:modified xsi:type="dcterms:W3CDTF">2024-01-05T13:12:00Z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