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DE4B" w14:textId="77777777" w:rsidR="006E4546" w:rsidRDefault="00032E47" w:rsidP="001F782E">
      <w:pPr>
        <w:spacing w:after="120" w:line="240" w:lineRule="auto"/>
        <w:jc w:val="center"/>
        <w:rPr>
          <w:b/>
          <w:sz w:val="44"/>
          <w:szCs w:val="44"/>
        </w:rPr>
      </w:pPr>
      <w:r w:rsidRPr="006E4546">
        <w:rPr>
          <w:b/>
          <w:sz w:val="44"/>
          <w:szCs w:val="44"/>
        </w:rPr>
        <w:t>S</w:t>
      </w:r>
      <w:r w:rsidR="005D0BDB" w:rsidRPr="006E4546">
        <w:rPr>
          <w:b/>
          <w:sz w:val="44"/>
          <w:szCs w:val="44"/>
        </w:rPr>
        <w:t>mlouva o dodávce tepelné energie</w:t>
      </w:r>
      <w:r w:rsidR="00AD7AEB" w:rsidRPr="006E4546">
        <w:rPr>
          <w:b/>
          <w:sz w:val="44"/>
          <w:szCs w:val="44"/>
        </w:rPr>
        <w:t xml:space="preserve"> </w:t>
      </w:r>
    </w:p>
    <w:p w14:paraId="42AAD577" w14:textId="070128EE" w:rsidR="001F782E" w:rsidRPr="006E4546" w:rsidRDefault="00AD7AEB" w:rsidP="001F782E">
      <w:pPr>
        <w:spacing w:after="120" w:line="240" w:lineRule="auto"/>
        <w:jc w:val="center"/>
        <w:rPr>
          <w:b/>
          <w:sz w:val="44"/>
          <w:szCs w:val="44"/>
        </w:rPr>
      </w:pPr>
      <w:r w:rsidRPr="006E4546">
        <w:rPr>
          <w:b/>
          <w:sz w:val="44"/>
          <w:szCs w:val="44"/>
        </w:rPr>
        <w:t xml:space="preserve">č. </w:t>
      </w:r>
      <w:r w:rsidR="003C3D37" w:rsidRPr="006E4546">
        <w:rPr>
          <w:b/>
          <w:sz w:val="44"/>
          <w:szCs w:val="44"/>
        </w:rPr>
        <w:t>12</w:t>
      </w:r>
      <w:r w:rsidR="001F782E" w:rsidRPr="006E4546">
        <w:rPr>
          <w:b/>
          <w:sz w:val="44"/>
          <w:szCs w:val="44"/>
        </w:rPr>
        <w:t>/2024/TH/</w:t>
      </w:r>
      <w:r w:rsidR="003C3D37" w:rsidRPr="006E4546">
        <w:rPr>
          <w:b/>
          <w:sz w:val="44"/>
          <w:szCs w:val="44"/>
        </w:rPr>
        <w:t>K</w:t>
      </w:r>
    </w:p>
    <w:p w14:paraId="0D690C92" w14:textId="7FF3A6CE" w:rsidR="005D0BDB" w:rsidRPr="003B5499" w:rsidRDefault="005D0BDB" w:rsidP="00D22B55">
      <w:pPr>
        <w:spacing w:after="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 xml:space="preserve"> ve znění pozdějších předpisů</w:t>
      </w:r>
      <w:r w:rsidR="004263F8">
        <w:rPr>
          <w:sz w:val="24"/>
          <w:szCs w:val="24"/>
        </w:rPr>
        <w:t>,</w:t>
      </w:r>
      <w:r w:rsidR="004263F8" w:rsidRPr="004263F8">
        <w:rPr>
          <w:sz w:val="24"/>
          <w:szCs w:val="24"/>
        </w:rPr>
        <w:t xml:space="preserve"> </w:t>
      </w:r>
      <w:r w:rsidR="004263F8" w:rsidRPr="003B5499">
        <w:rPr>
          <w:sz w:val="24"/>
          <w:szCs w:val="24"/>
        </w:rPr>
        <w:t>dále jen „energetický zákon“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7B5F7DBD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</w:t>
      </w:r>
      <w:r w:rsidR="006E4546">
        <w:rPr>
          <w:sz w:val="24"/>
        </w:rPr>
        <w:t>:</w:t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265F8" w:rsidRPr="00AD7AEB">
        <w:rPr>
          <w:sz w:val="24"/>
        </w:rPr>
        <w:t>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454C4889" w14:textId="77777777" w:rsidR="006E4546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IČO: </w:t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>
        <w:rPr>
          <w:sz w:val="24"/>
        </w:rPr>
        <w:t>25280091</w:t>
      </w:r>
    </w:p>
    <w:p w14:paraId="2764D36B" w14:textId="4F12CFA6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DIČ: </w:t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>
        <w:rPr>
          <w:sz w:val="24"/>
        </w:rPr>
        <w:t>CZ25280091</w:t>
      </w:r>
    </w:p>
    <w:p w14:paraId="0FBC5C3E" w14:textId="7B0E9534" w:rsidR="0037171C" w:rsidRDefault="00AD7AEB" w:rsidP="006E454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  <w:r w:rsidR="006E4546">
        <w:rPr>
          <w:sz w:val="24"/>
        </w:rPr>
        <w:t xml:space="preserve"> </w:t>
      </w:r>
      <w:r w:rsidR="0037171C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2303F1FB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</w:t>
      </w:r>
      <w:r w:rsidR="006E4546">
        <w:rPr>
          <w:sz w:val="24"/>
        </w:rPr>
        <w:t>:</w:t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Pr="0037171C">
        <w:rPr>
          <w:sz w:val="24"/>
        </w:rPr>
        <w:t>jednatelem Ing. Janem Filipem</w:t>
      </w:r>
    </w:p>
    <w:p w14:paraId="45C1E5D5" w14:textId="4A74AB16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ve věcech technických: </w:t>
      </w:r>
      <w:r w:rsidR="006E4546">
        <w:rPr>
          <w:sz w:val="24"/>
        </w:rPr>
        <w:tab/>
      </w:r>
      <w:r w:rsidR="006E4546">
        <w:rPr>
          <w:sz w:val="24"/>
        </w:rPr>
        <w:tab/>
      </w:r>
      <w:r>
        <w:rPr>
          <w:sz w:val="24"/>
        </w:rPr>
        <w:t>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Pr="006E4546" w:rsidRDefault="00AD7AEB" w:rsidP="00D22B55">
      <w:pPr>
        <w:spacing w:after="0" w:line="240" w:lineRule="auto"/>
        <w:jc w:val="both"/>
        <w:rPr>
          <w:b/>
          <w:bCs/>
          <w:sz w:val="24"/>
          <w:szCs w:val="24"/>
        </w:rPr>
      </w:pPr>
      <w:r w:rsidRPr="006E4546">
        <w:rPr>
          <w:b/>
          <w:bCs/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3E8691E7" w14:textId="77777777" w:rsidR="003C3D37" w:rsidRPr="007C093C" w:rsidRDefault="003C3D37" w:rsidP="003C3D37">
      <w:pPr>
        <w:spacing w:after="0" w:line="240" w:lineRule="auto"/>
        <w:rPr>
          <w:b/>
          <w:sz w:val="24"/>
        </w:rPr>
      </w:pPr>
      <w:r w:rsidRPr="007C093C">
        <w:rPr>
          <w:b/>
          <w:sz w:val="24"/>
        </w:rPr>
        <w:t>Česká republika – Úřad práce České republiky</w:t>
      </w:r>
    </w:p>
    <w:p w14:paraId="4B981EB0" w14:textId="012C2085" w:rsidR="003C3D37" w:rsidRPr="007C093C" w:rsidRDefault="003C3D37" w:rsidP="003C3D37">
      <w:pPr>
        <w:spacing w:after="0" w:line="240" w:lineRule="auto"/>
        <w:rPr>
          <w:sz w:val="24"/>
        </w:rPr>
      </w:pPr>
      <w:r w:rsidRPr="007C093C">
        <w:rPr>
          <w:sz w:val="24"/>
        </w:rPr>
        <w:t xml:space="preserve">se sídlem: </w:t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Pr="007C093C">
        <w:rPr>
          <w:sz w:val="24"/>
        </w:rPr>
        <w:t>Dobrovského 1378/25, 170 00 Praha 7</w:t>
      </w:r>
    </w:p>
    <w:p w14:paraId="49A65CCA" w14:textId="77777777" w:rsidR="006E4546" w:rsidRDefault="003C3D37" w:rsidP="003C3D37">
      <w:pPr>
        <w:spacing w:after="0" w:line="240" w:lineRule="auto"/>
        <w:rPr>
          <w:sz w:val="24"/>
        </w:rPr>
      </w:pPr>
      <w:r w:rsidRPr="007C093C">
        <w:rPr>
          <w:sz w:val="24"/>
        </w:rPr>
        <w:t xml:space="preserve">IČO: </w:t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Pr="007C093C">
        <w:rPr>
          <w:sz w:val="24"/>
        </w:rPr>
        <w:t>72496991</w:t>
      </w:r>
    </w:p>
    <w:p w14:paraId="25DE22A0" w14:textId="592F1544" w:rsidR="003C3D37" w:rsidRPr="00557DB9" w:rsidRDefault="003C3D37" w:rsidP="003C3D37">
      <w:pPr>
        <w:spacing w:after="0" w:line="240" w:lineRule="auto"/>
        <w:rPr>
          <w:caps/>
          <w:sz w:val="24"/>
        </w:rPr>
      </w:pPr>
      <w:r w:rsidRPr="007C093C">
        <w:rPr>
          <w:sz w:val="24"/>
        </w:rPr>
        <w:t xml:space="preserve">DIČ: </w:t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="006E4546">
        <w:rPr>
          <w:sz w:val="24"/>
        </w:rPr>
        <w:tab/>
      </w:r>
      <w:r w:rsidRPr="007C093C">
        <w:rPr>
          <w:sz w:val="24"/>
        </w:rPr>
        <w:t>CZ72496991</w:t>
      </w:r>
    </w:p>
    <w:p w14:paraId="55E3220D" w14:textId="5F801098" w:rsidR="003C3D37" w:rsidRPr="00862E30" w:rsidRDefault="003C3D37" w:rsidP="006E4546">
      <w:pPr>
        <w:spacing w:after="0" w:line="240" w:lineRule="auto"/>
        <w:ind w:left="3540" w:hanging="3540"/>
        <w:jc w:val="both"/>
        <w:rPr>
          <w:color w:val="FF0000"/>
          <w:sz w:val="24"/>
          <w:szCs w:val="24"/>
        </w:rPr>
      </w:pPr>
      <w:r w:rsidRPr="007C093C">
        <w:rPr>
          <w:sz w:val="24"/>
          <w:szCs w:val="24"/>
        </w:rPr>
        <w:t>Zastoupená: </w:t>
      </w:r>
      <w:r w:rsidR="006E4546">
        <w:rPr>
          <w:sz w:val="24"/>
          <w:szCs w:val="24"/>
        </w:rPr>
        <w:tab/>
      </w:r>
      <w:r w:rsidRPr="003B5499">
        <w:rPr>
          <w:sz w:val="24"/>
          <w:szCs w:val="24"/>
        </w:rPr>
        <w:t xml:space="preserve">Ing. </w:t>
      </w:r>
      <w:r w:rsidR="00862E30" w:rsidRPr="003B5499">
        <w:rPr>
          <w:sz w:val="24"/>
          <w:szCs w:val="24"/>
        </w:rPr>
        <w:t>Miroslavem Blaťákem, pověřeným zastupováním ředitele Krajské</w:t>
      </w:r>
      <w:r w:rsidRPr="003B5499">
        <w:rPr>
          <w:sz w:val="24"/>
          <w:szCs w:val="24"/>
        </w:rPr>
        <w:t xml:space="preserve"> pobočky Úřadu práce ČR v Pardubicích</w:t>
      </w:r>
    </w:p>
    <w:p w14:paraId="059E22F8" w14:textId="64D54E83" w:rsidR="003C3D37" w:rsidRDefault="003C3D37" w:rsidP="006E4546">
      <w:pPr>
        <w:spacing w:after="0"/>
        <w:ind w:left="3540" w:hanging="3540"/>
        <w:rPr>
          <w:sz w:val="24"/>
          <w:szCs w:val="24"/>
        </w:rPr>
      </w:pPr>
      <w:r w:rsidRPr="007C093C">
        <w:rPr>
          <w:sz w:val="24"/>
          <w:szCs w:val="24"/>
        </w:rPr>
        <w:t xml:space="preserve">telefonní spojení: </w:t>
      </w:r>
      <w:r w:rsidRPr="007C093C">
        <w:rPr>
          <w:sz w:val="24"/>
          <w:szCs w:val="24"/>
        </w:rPr>
        <w:tab/>
        <w:t>Eva Sedláčková</w:t>
      </w:r>
      <w:r w:rsidR="006E4546">
        <w:rPr>
          <w:sz w:val="24"/>
          <w:szCs w:val="24"/>
        </w:rPr>
        <w:t xml:space="preserve">, </w:t>
      </w:r>
      <w:proofErr w:type="gramStart"/>
      <w:r w:rsidR="006E4546">
        <w:rPr>
          <w:sz w:val="24"/>
          <w:szCs w:val="24"/>
        </w:rPr>
        <w:t>telefon:</w:t>
      </w:r>
      <w:r w:rsidRPr="007C093C">
        <w:rPr>
          <w:sz w:val="24"/>
          <w:szCs w:val="24"/>
        </w:rPr>
        <w:t xml:space="preserve">, </w:t>
      </w:r>
      <w:r w:rsidR="006E4546">
        <w:rPr>
          <w:sz w:val="24"/>
          <w:szCs w:val="24"/>
        </w:rPr>
        <w:t>e-mail</w:t>
      </w:r>
      <w:proofErr w:type="gramEnd"/>
      <w:r w:rsidR="006E4546">
        <w:rPr>
          <w:sz w:val="24"/>
          <w:szCs w:val="24"/>
        </w:rPr>
        <w:t xml:space="preserve">: </w:t>
      </w:r>
    </w:p>
    <w:p w14:paraId="1EB03A32" w14:textId="20B7D513" w:rsidR="003C3D37" w:rsidRPr="00A46601" w:rsidRDefault="003C3D37" w:rsidP="006E4546">
      <w:pPr>
        <w:spacing w:after="0"/>
        <w:ind w:left="3540"/>
        <w:rPr>
          <w:sz w:val="24"/>
          <w:szCs w:val="24"/>
        </w:rPr>
      </w:pPr>
      <w:r w:rsidRPr="007C093C">
        <w:rPr>
          <w:sz w:val="24"/>
          <w:szCs w:val="24"/>
        </w:rPr>
        <w:t>Ing. Věra Filoušová</w:t>
      </w:r>
      <w:r w:rsidR="006E4546">
        <w:rPr>
          <w:sz w:val="24"/>
          <w:szCs w:val="24"/>
        </w:rPr>
        <w:t>,</w:t>
      </w:r>
      <w:r w:rsidRPr="007C093C">
        <w:rPr>
          <w:sz w:val="24"/>
          <w:szCs w:val="24"/>
        </w:rPr>
        <w:t xml:space="preserve"> </w:t>
      </w:r>
      <w:proofErr w:type="gramStart"/>
      <w:r w:rsidR="006E4546">
        <w:rPr>
          <w:sz w:val="24"/>
          <w:szCs w:val="24"/>
        </w:rPr>
        <w:t>telefon:</w:t>
      </w:r>
      <w:r w:rsidRPr="007C093C">
        <w:rPr>
          <w:sz w:val="24"/>
          <w:szCs w:val="24"/>
        </w:rPr>
        <w:t xml:space="preserve">, </w:t>
      </w:r>
      <w:r w:rsidRPr="00047B48">
        <w:rPr>
          <w:sz w:val="24"/>
          <w:szCs w:val="24"/>
        </w:rPr>
        <w:t>e-mail</w:t>
      </w:r>
      <w:proofErr w:type="gramEnd"/>
      <w:r w:rsidRPr="00A46601">
        <w:rPr>
          <w:sz w:val="24"/>
          <w:szCs w:val="24"/>
        </w:rPr>
        <w:t xml:space="preserve">: </w:t>
      </w:r>
    </w:p>
    <w:p w14:paraId="69B5492F" w14:textId="62136F0C" w:rsidR="003C3D37" w:rsidRPr="007C093C" w:rsidRDefault="003C3D37" w:rsidP="006E4546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46601">
        <w:rPr>
          <w:sz w:val="24"/>
          <w:szCs w:val="24"/>
        </w:rPr>
        <w:t xml:space="preserve">Adresa příjemce (zasílání) faktury: </w:t>
      </w:r>
      <w:r w:rsidR="006E4546">
        <w:rPr>
          <w:sz w:val="24"/>
          <w:szCs w:val="24"/>
        </w:rPr>
        <w:tab/>
      </w:r>
      <w:r w:rsidRPr="00A46601">
        <w:rPr>
          <w:sz w:val="24"/>
          <w:szCs w:val="24"/>
        </w:rPr>
        <w:t xml:space="preserve">Česká republika – Úřad práce České republiky, Krajská </w:t>
      </w:r>
      <w:r w:rsidRPr="007C093C">
        <w:rPr>
          <w:sz w:val="24"/>
          <w:szCs w:val="24"/>
        </w:rPr>
        <w:t>pobočka v Pardubicích, Boženy Vikové – Kunětické 2011, 530 02 Pardubice</w:t>
      </w:r>
    </w:p>
    <w:p w14:paraId="3A15F368" w14:textId="0058AED9" w:rsidR="001322D9" w:rsidRDefault="001F782E" w:rsidP="001F782E">
      <w:pPr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Pr="006E4546" w:rsidRDefault="001322D9" w:rsidP="006E4546">
      <w:pPr>
        <w:spacing w:after="0" w:line="240" w:lineRule="auto"/>
        <w:jc w:val="both"/>
        <w:rPr>
          <w:sz w:val="24"/>
        </w:rPr>
      </w:pPr>
      <w:r w:rsidRPr="006E4546">
        <w:rPr>
          <w:sz w:val="24"/>
        </w:rPr>
        <w:t xml:space="preserve">Předmětem smlouvy </w:t>
      </w:r>
      <w:r w:rsidR="00C066D3" w:rsidRPr="006E4546">
        <w:rPr>
          <w:sz w:val="24"/>
        </w:rPr>
        <w:t xml:space="preserve">je </w:t>
      </w:r>
      <w:r w:rsidR="008A5A53" w:rsidRPr="006E4546">
        <w:rPr>
          <w:sz w:val="24"/>
        </w:rPr>
        <w:t xml:space="preserve">závazek </w:t>
      </w:r>
      <w:r w:rsidR="00C066D3" w:rsidRPr="006E4546">
        <w:rPr>
          <w:sz w:val="24"/>
        </w:rPr>
        <w:t>dod</w:t>
      </w:r>
      <w:r w:rsidR="008A5A53" w:rsidRPr="006E4546">
        <w:rPr>
          <w:sz w:val="24"/>
        </w:rPr>
        <w:t>avatele dodávat</w:t>
      </w:r>
      <w:r w:rsidR="00C066D3" w:rsidRPr="006E4546">
        <w:rPr>
          <w:sz w:val="24"/>
        </w:rPr>
        <w:t xml:space="preserve"> t</w:t>
      </w:r>
      <w:r w:rsidRPr="006E4546">
        <w:rPr>
          <w:sz w:val="24"/>
        </w:rPr>
        <w:t>epeln</w:t>
      </w:r>
      <w:r w:rsidR="008A5A53" w:rsidRPr="006E4546">
        <w:rPr>
          <w:sz w:val="24"/>
        </w:rPr>
        <w:t>ou</w:t>
      </w:r>
      <w:r w:rsidRPr="006E4546">
        <w:rPr>
          <w:sz w:val="24"/>
        </w:rPr>
        <w:t xml:space="preserve"> energi</w:t>
      </w:r>
      <w:r w:rsidR="001051D4" w:rsidRPr="006E4546">
        <w:rPr>
          <w:sz w:val="24"/>
        </w:rPr>
        <w:t>i</w:t>
      </w:r>
      <w:r w:rsidRPr="006E4546">
        <w:rPr>
          <w:sz w:val="24"/>
        </w:rPr>
        <w:t xml:space="preserve"> ze </w:t>
      </w:r>
      <w:r w:rsidR="0037171C" w:rsidRPr="006E4546">
        <w:rPr>
          <w:sz w:val="24"/>
        </w:rPr>
        <w:t>svého z</w:t>
      </w:r>
      <w:r w:rsidR="00C066D3" w:rsidRPr="006E4546">
        <w:rPr>
          <w:sz w:val="24"/>
        </w:rPr>
        <w:t xml:space="preserve">ařízení </w:t>
      </w:r>
      <w:r w:rsidRPr="006E4546">
        <w:rPr>
          <w:sz w:val="24"/>
        </w:rPr>
        <w:t>do odběrného místa odběratele</w:t>
      </w:r>
      <w:r w:rsidR="00C066D3" w:rsidRPr="006E4546">
        <w:rPr>
          <w:sz w:val="24"/>
        </w:rPr>
        <w:t xml:space="preserve"> a </w:t>
      </w:r>
      <w:r w:rsidRPr="006E4546">
        <w:rPr>
          <w:sz w:val="24"/>
        </w:rPr>
        <w:t xml:space="preserve">závazek odběratele zaplatit za dodanou a odebranou tepelnou energii </w:t>
      </w:r>
      <w:r w:rsidR="0037171C" w:rsidRPr="006E4546">
        <w:rPr>
          <w:sz w:val="24"/>
        </w:rPr>
        <w:t xml:space="preserve">cenu </w:t>
      </w:r>
      <w:r w:rsidRPr="006E4546"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4263F8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4263F8">
      <w:pPr>
        <w:pStyle w:val="Odstavecseseznamem"/>
        <w:spacing w:after="0" w:line="240" w:lineRule="auto"/>
        <w:ind w:left="567" w:hanging="567"/>
        <w:jc w:val="both"/>
        <w:rPr>
          <w:sz w:val="24"/>
        </w:rPr>
      </w:pPr>
    </w:p>
    <w:p w14:paraId="3AC05070" w14:textId="77777777" w:rsidR="009454C0" w:rsidRDefault="009454C0" w:rsidP="004263F8">
      <w:pPr>
        <w:pStyle w:val="Odstavecseseznamem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4263F8">
      <w:pPr>
        <w:pStyle w:val="Odstavecseseznamem"/>
        <w:ind w:left="567" w:hanging="567"/>
        <w:rPr>
          <w:sz w:val="24"/>
          <w:szCs w:val="24"/>
        </w:rPr>
      </w:pPr>
    </w:p>
    <w:p w14:paraId="26CBF90B" w14:textId="0F3C3F24" w:rsidR="009454C0" w:rsidRDefault="009454C0" w:rsidP="004263F8">
      <w:pPr>
        <w:pStyle w:val="Odstavecseseznamem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69D38C96" w14:textId="77777777" w:rsidR="001051D4" w:rsidRPr="008B2694" w:rsidRDefault="001051D4" w:rsidP="004263F8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</w:p>
    <w:p w14:paraId="73C53B6B" w14:textId="77777777" w:rsidR="001051D4" w:rsidRPr="008B2694" w:rsidRDefault="00422B5E" w:rsidP="004263F8">
      <w:pPr>
        <w:pStyle w:val="Odstavecseseznamem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4263F8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4263F8">
      <w:pPr>
        <w:pStyle w:val="Odstavecseseznamem"/>
        <w:spacing w:after="0" w:line="240" w:lineRule="auto"/>
        <w:ind w:left="567" w:hanging="567"/>
        <w:jc w:val="both"/>
        <w:rPr>
          <w:sz w:val="24"/>
        </w:rPr>
      </w:pPr>
    </w:p>
    <w:p w14:paraId="7704B52D" w14:textId="77777777" w:rsidR="005D0BDB" w:rsidRDefault="001322D9" w:rsidP="004263F8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4263F8">
      <w:pPr>
        <w:pStyle w:val="Odstavecseseznamem"/>
        <w:ind w:left="567" w:hanging="567"/>
        <w:rPr>
          <w:sz w:val="24"/>
          <w:szCs w:val="24"/>
        </w:rPr>
      </w:pPr>
    </w:p>
    <w:p w14:paraId="56C6B6B1" w14:textId="77777777" w:rsidR="005D0BDB" w:rsidRDefault="0073783C" w:rsidP="004263F8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4263F8">
      <w:pPr>
        <w:pStyle w:val="Odstavecseseznamem"/>
        <w:ind w:left="567" w:hanging="567"/>
        <w:rPr>
          <w:sz w:val="24"/>
          <w:szCs w:val="24"/>
        </w:rPr>
      </w:pPr>
    </w:p>
    <w:p w14:paraId="705F241E" w14:textId="77777777" w:rsidR="00554690" w:rsidRDefault="00554690" w:rsidP="004263F8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4263F8">
      <w:pPr>
        <w:pStyle w:val="Odstavecseseznamem"/>
        <w:spacing w:before="120" w:after="0" w:line="240" w:lineRule="auto"/>
        <w:ind w:left="567" w:hanging="567"/>
        <w:jc w:val="both"/>
        <w:rPr>
          <w:sz w:val="24"/>
          <w:szCs w:val="24"/>
        </w:rPr>
      </w:pPr>
    </w:p>
    <w:p w14:paraId="5E30F6BE" w14:textId="4B38D119" w:rsidR="009D4456" w:rsidRDefault="0073783C" w:rsidP="004263F8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3B5499">
        <w:rPr>
          <w:sz w:val="24"/>
          <w:szCs w:val="24"/>
        </w:rPr>
        <w:t xml:space="preserve">vymezených </w:t>
      </w:r>
      <w:r w:rsidR="004263F8" w:rsidRPr="003B5499">
        <w:rPr>
          <w:sz w:val="24"/>
          <w:szCs w:val="24"/>
        </w:rPr>
        <w:t xml:space="preserve">v ustanovení </w:t>
      </w:r>
      <w:r w:rsidR="005D0BDB" w:rsidRPr="003B5499">
        <w:rPr>
          <w:sz w:val="24"/>
          <w:szCs w:val="24"/>
        </w:rPr>
        <w:t>§ 76 odst. 4</w:t>
      </w:r>
      <w:r w:rsidR="00C066D3" w:rsidRPr="003B5499">
        <w:rPr>
          <w:sz w:val="24"/>
          <w:szCs w:val="24"/>
        </w:rPr>
        <w:t xml:space="preserve"> </w:t>
      </w:r>
      <w:r w:rsidR="009D4456" w:rsidRPr="003B5499">
        <w:rPr>
          <w:sz w:val="24"/>
          <w:szCs w:val="24"/>
        </w:rPr>
        <w:t>energetick</w:t>
      </w:r>
      <w:r w:rsidR="004263F8" w:rsidRPr="003B5499">
        <w:rPr>
          <w:sz w:val="24"/>
          <w:szCs w:val="24"/>
        </w:rPr>
        <w:t>ého</w:t>
      </w:r>
      <w:r w:rsidR="009D4456" w:rsidRPr="003B5499">
        <w:rPr>
          <w:sz w:val="24"/>
          <w:szCs w:val="24"/>
        </w:rPr>
        <w:t xml:space="preserve"> zákon</w:t>
      </w:r>
      <w:r w:rsidR="004263F8" w:rsidRPr="003B5499">
        <w:rPr>
          <w:sz w:val="24"/>
          <w:szCs w:val="24"/>
        </w:rPr>
        <w:t>a</w:t>
      </w:r>
      <w:r w:rsidR="009D4456" w:rsidRPr="003B5499">
        <w:rPr>
          <w:sz w:val="24"/>
          <w:szCs w:val="24"/>
        </w:rPr>
        <w:t xml:space="preserve"> </w:t>
      </w:r>
      <w:r w:rsidR="005D0BDB" w:rsidRPr="003B5499">
        <w:rPr>
          <w:sz w:val="24"/>
          <w:szCs w:val="24"/>
        </w:rPr>
        <w:t xml:space="preserve">nebo </w:t>
      </w:r>
      <w:r w:rsidR="005D0BDB" w:rsidRPr="0073783C">
        <w:rPr>
          <w:sz w:val="24"/>
          <w:szCs w:val="24"/>
        </w:rPr>
        <w:t>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4263F8">
      <w:pPr>
        <w:pStyle w:val="Odstavecseseznamem"/>
        <w:ind w:left="567" w:hanging="567"/>
        <w:rPr>
          <w:sz w:val="24"/>
          <w:szCs w:val="24"/>
        </w:rPr>
      </w:pPr>
    </w:p>
    <w:p w14:paraId="446546AA" w14:textId="77777777" w:rsidR="005D0BDB" w:rsidRPr="00B15CC0" w:rsidRDefault="00B15CC0" w:rsidP="004263F8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4263F8">
      <w:pPr>
        <w:pStyle w:val="Odstavecseseznamem"/>
        <w:ind w:left="567" w:hanging="567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4263F8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4263F8">
      <w:pPr>
        <w:pStyle w:val="Odstavecseseznamem"/>
        <w:ind w:left="567" w:hanging="567"/>
        <w:rPr>
          <w:sz w:val="24"/>
        </w:rPr>
      </w:pPr>
    </w:p>
    <w:p w14:paraId="5C4EA506" w14:textId="54FF2B33" w:rsidR="00D50A62" w:rsidRPr="00B15CC0" w:rsidRDefault="00D50A62" w:rsidP="004263F8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</w:t>
      </w:r>
      <w:r w:rsidR="007E7E77" w:rsidRPr="003B5499">
        <w:rPr>
          <w:sz w:val="24"/>
        </w:rPr>
        <w:t>po</w:t>
      </w:r>
      <w:r w:rsidRPr="003B5499">
        <w:rPr>
          <w:sz w:val="24"/>
        </w:rPr>
        <w:t xml:space="preserve">dle </w:t>
      </w:r>
      <w:r w:rsidR="007E7E77" w:rsidRPr="003B5499">
        <w:rPr>
          <w:sz w:val="24"/>
        </w:rPr>
        <w:t xml:space="preserve">ustanovení </w:t>
      </w:r>
      <w:r w:rsidRPr="003B5499">
        <w:rPr>
          <w:noProof/>
        </w:rPr>
        <w:sym w:font="Times New Roman" w:char="00A7"/>
      </w:r>
      <w:r w:rsidRPr="003B5499">
        <w:rPr>
          <w:sz w:val="24"/>
        </w:rPr>
        <w:t xml:space="preserve"> 89 </w:t>
      </w:r>
      <w:r w:rsidR="00B15CC0" w:rsidRPr="003B5499">
        <w:rPr>
          <w:sz w:val="24"/>
        </w:rPr>
        <w:t>energetick</w:t>
      </w:r>
      <w:r w:rsidR="007E7E77" w:rsidRPr="003B5499">
        <w:rPr>
          <w:sz w:val="24"/>
        </w:rPr>
        <w:t>ého</w:t>
      </w:r>
      <w:r w:rsidR="00B15CC0" w:rsidRPr="003B5499">
        <w:rPr>
          <w:sz w:val="24"/>
        </w:rPr>
        <w:t xml:space="preserve"> zákon</w:t>
      </w:r>
      <w:r w:rsidR="007E7E77" w:rsidRPr="003B5499">
        <w:rPr>
          <w:sz w:val="24"/>
        </w:rPr>
        <w:t xml:space="preserve">a </w:t>
      </w:r>
      <w:r w:rsidRPr="003B5499">
        <w:rPr>
          <w:sz w:val="24"/>
        </w:rPr>
        <w:t xml:space="preserve">je </w:t>
      </w:r>
      <w:r w:rsidRPr="00B15CC0">
        <w:rPr>
          <w:sz w:val="24"/>
        </w:rPr>
        <w:t>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3EB269C9" w:rsidR="0073783C" w:rsidRDefault="0073783C" w:rsidP="004263F8">
      <w:pPr>
        <w:spacing w:after="0" w:line="240" w:lineRule="auto"/>
        <w:ind w:left="567" w:hanging="567"/>
        <w:jc w:val="both"/>
        <w:rPr>
          <w:b/>
          <w:sz w:val="24"/>
        </w:rPr>
      </w:pPr>
    </w:p>
    <w:p w14:paraId="5D911F95" w14:textId="77777777" w:rsidR="004263F8" w:rsidRPr="008B2694" w:rsidRDefault="004263F8" w:rsidP="004263F8">
      <w:pPr>
        <w:spacing w:after="0" w:line="240" w:lineRule="auto"/>
        <w:ind w:left="567" w:hanging="567"/>
        <w:jc w:val="both"/>
        <w:rPr>
          <w:b/>
          <w:sz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4263F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4263F8">
      <w:pPr>
        <w:pStyle w:val="Odstavecseseznamem"/>
        <w:spacing w:after="0" w:line="240" w:lineRule="auto"/>
        <w:ind w:left="567" w:hanging="567"/>
        <w:jc w:val="both"/>
        <w:rPr>
          <w:sz w:val="24"/>
        </w:rPr>
      </w:pPr>
    </w:p>
    <w:p w14:paraId="1D7E19A6" w14:textId="77777777" w:rsidR="005D0BDB" w:rsidRDefault="0073783C" w:rsidP="004263F8">
      <w:pPr>
        <w:pStyle w:val="Odstavecseseznamem"/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4263F8">
      <w:pPr>
        <w:pStyle w:val="Odstavecseseznamem"/>
        <w:ind w:left="567" w:hanging="567"/>
        <w:rPr>
          <w:sz w:val="24"/>
          <w:szCs w:val="24"/>
        </w:rPr>
      </w:pPr>
    </w:p>
    <w:p w14:paraId="772D4361" w14:textId="77777777" w:rsidR="008E6C53" w:rsidRPr="00B15CC0" w:rsidRDefault="00B15CC0" w:rsidP="004263F8">
      <w:pPr>
        <w:pStyle w:val="Odstavecseseznamem"/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4263F8">
      <w:pPr>
        <w:pStyle w:val="Odstavecseseznamem"/>
        <w:ind w:left="567" w:hanging="567"/>
        <w:rPr>
          <w:sz w:val="24"/>
          <w:szCs w:val="24"/>
        </w:rPr>
      </w:pPr>
    </w:p>
    <w:p w14:paraId="046C811D" w14:textId="77777777" w:rsidR="0073783C" w:rsidRPr="004B036C" w:rsidRDefault="0073783C" w:rsidP="004263F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4263F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4263F8">
      <w:pPr>
        <w:pStyle w:val="Odstavecseseznamem"/>
        <w:spacing w:after="0" w:line="240" w:lineRule="auto"/>
        <w:ind w:left="567" w:hanging="567"/>
        <w:jc w:val="both"/>
        <w:rPr>
          <w:sz w:val="24"/>
        </w:rPr>
      </w:pPr>
    </w:p>
    <w:p w14:paraId="1667922D" w14:textId="77777777" w:rsidR="005D0BDB" w:rsidRPr="00637861" w:rsidRDefault="009C526C" w:rsidP="004263F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4263F8">
      <w:pPr>
        <w:pStyle w:val="Odstavecseseznamem"/>
        <w:ind w:left="567" w:hanging="567"/>
        <w:rPr>
          <w:sz w:val="24"/>
        </w:rPr>
      </w:pPr>
    </w:p>
    <w:p w14:paraId="507FDAED" w14:textId="77777777" w:rsidR="00637861" w:rsidRPr="009454C0" w:rsidRDefault="00637861" w:rsidP="004263F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4263F8">
      <w:pPr>
        <w:pStyle w:val="Odstavecseseznamem"/>
        <w:ind w:left="567" w:hanging="567"/>
        <w:rPr>
          <w:sz w:val="24"/>
          <w:szCs w:val="24"/>
        </w:rPr>
      </w:pPr>
    </w:p>
    <w:p w14:paraId="69D3259D" w14:textId="77777777" w:rsidR="009C526C" w:rsidRPr="009454C0" w:rsidRDefault="009454C0" w:rsidP="004263F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4263F8">
      <w:pPr>
        <w:pStyle w:val="Odstavecseseznamem"/>
        <w:ind w:left="567" w:hanging="567"/>
        <w:rPr>
          <w:sz w:val="24"/>
          <w:szCs w:val="24"/>
        </w:rPr>
      </w:pPr>
    </w:p>
    <w:p w14:paraId="0922151B" w14:textId="5EC2D0AA" w:rsidR="00E63070" w:rsidRPr="00381E41" w:rsidRDefault="00FD7061" w:rsidP="004263F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2C3267BA" w:rsidR="00715EC4" w:rsidRPr="003B5499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3B5499">
        <w:rPr>
          <w:sz w:val="24"/>
          <w:szCs w:val="24"/>
        </w:rPr>
        <w:t>T</w:t>
      </w:r>
      <w:r w:rsidR="007E7E77" w:rsidRPr="003B5499">
        <w:rPr>
          <w:sz w:val="24"/>
          <w:szCs w:val="24"/>
        </w:rPr>
        <w:t>ato smlouva</w:t>
      </w:r>
      <w:r w:rsidR="00872D35" w:rsidRPr="003B5499">
        <w:rPr>
          <w:sz w:val="24"/>
          <w:szCs w:val="24"/>
        </w:rPr>
        <w:t xml:space="preserve">, </w:t>
      </w:r>
      <w:r w:rsidR="007E7E77" w:rsidRPr="003B5499">
        <w:rPr>
          <w:sz w:val="24"/>
          <w:szCs w:val="24"/>
        </w:rPr>
        <w:t xml:space="preserve">ruší a zcela nahrazuje </w:t>
      </w:r>
      <w:r w:rsidRPr="003B5499">
        <w:rPr>
          <w:sz w:val="24"/>
          <w:szCs w:val="24"/>
        </w:rPr>
        <w:t>smlouv</w:t>
      </w:r>
      <w:r w:rsidR="007E7E77" w:rsidRPr="003B5499">
        <w:rPr>
          <w:sz w:val="24"/>
          <w:szCs w:val="24"/>
        </w:rPr>
        <w:t>u</w:t>
      </w:r>
      <w:r w:rsidRPr="003B5499">
        <w:rPr>
          <w:sz w:val="24"/>
          <w:szCs w:val="24"/>
        </w:rPr>
        <w:t xml:space="preserve"> č. </w:t>
      </w:r>
      <w:r w:rsidR="003C3D37" w:rsidRPr="003B5499">
        <w:rPr>
          <w:sz w:val="24"/>
          <w:szCs w:val="24"/>
        </w:rPr>
        <w:t>12/2022/TH/K</w:t>
      </w:r>
      <w:r w:rsidR="007E7E77" w:rsidRPr="003B5499">
        <w:rPr>
          <w:sz w:val="24"/>
          <w:szCs w:val="24"/>
        </w:rPr>
        <w:t xml:space="preserve"> v platném znění</w:t>
      </w:r>
      <w:r w:rsidR="00872D35" w:rsidRPr="003B5499">
        <w:rPr>
          <w:sz w:val="24"/>
          <w:szCs w:val="24"/>
        </w:rPr>
        <w:t>, včetně platných dodatků</w:t>
      </w:r>
      <w:r w:rsidRPr="003B5499">
        <w:rPr>
          <w:sz w:val="24"/>
          <w:szCs w:val="24"/>
        </w:rPr>
        <w:t>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4C033715" w14:textId="77777777" w:rsidR="003C3D37" w:rsidRPr="003C3D37" w:rsidRDefault="00DA4907" w:rsidP="003C3D37">
      <w:pPr>
        <w:pStyle w:val="Odstavecseseznamem"/>
        <w:numPr>
          <w:ilvl w:val="0"/>
          <w:numId w:val="21"/>
        </w:numPr>
        <w:spacing w:after="0" w:line="240" w:lineRule="auto"/>
        <w:ind w:left="1077" w:hanging="357"/>
        <w:contextualSpacing w:val="0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3C3D37" w:rsidRPr="003C3D37">
        <w:rPr>
          <w:sz w:val="24"/>
          <w:szCs w:val="24"/>
        </w:rPr>
        <w:t xml:space="preserve"> </w:t>
      </w:r>
    </w:p>
    <w:p w14:paraId="2CFD8157" w14:textId="1F2C362A" w:rsidR="003C3D37" w:rsidRDefault="003C3D37" w:rsidP="003C3D37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rPr>
          <w:sz w:val="24"/>
        </w:rPr>
      </w:pPr>
      <w:r w:rsidRPr="007C093C">
        <w:rPr>
          <w:sz w:val="24"/>
          <w:szCs w:val="24"/>
        </w:rPr>
        <w:t>příloha</w:t>
      </w:r>
      <w:r>
        <w:rPr>
          <w:sz w:val="24"/>
          <w:szCs w:val="24"/>
        </w:rPr>
        <w:t xml:space="preserve"> </w:t>
      </w:r>
      <w:r w:rsidRPr="007C093C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7C093C">
        <w:rPr>
          <w:sz w:val="24"/>
          <w:szCs w:val="24"/>
        </w:rPr>
        <w:t>3 – Ujednání o rozdělení nákladů mezi různé vlastníky za jedním odběrným místem</w:t>
      </w:r>
    </w:p>
    <w:p w14:paraId="3F7A9BF1" w14:textId="1457BF79" w:rsidR="00941DD0" w:rsidRPr="003C3D37" w:rsidRDefault="00941DD0" w:rsidP="003C3D37">
      <w:pPr>
        <w:spacing w:after="0" w:line="240" w:lineRule="auto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11840EFB" w:rsidR="005D0BDB" w:rsidRPr="003B5499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  <w:r w:rsidR="00862E30">
        <w:rPr>
          <w:sz w:val="24"/>
          <w:szCs w:val="24"/>
        </w:rPr>
        <w:tab/>
      </w:r>
      <w:r w:rsidR="00862E30">
        <w:rPr>
          <w:sz w:val="24"/>
          <w:szCs w:val="24"/>
        </w:rPr>
        <w:tab/>
      </w:r>
      <w:r w:rsidR="00862E30">
        <w:rPr>
          <w:sz w:val="24"/>
          <w:szCs w:val="24"/>
        </w:rPr>
        <w:tab/>
      </w:r>
      <w:r w:rsidR="00862E30">
        <w:rPr>
          <w:sz w:val="24"/>
          <w:szCs w:val="24"/>
        </w:rPr>
        <w:tab/>
      </w:r>
      <w:r w:rsidR="00862E30" w:rsidRPr="003B5499">
        <w:rPr>
          <w:sz w:val="24"/>
          <w:szCs w:val="24"/>
        </w:rPr>
        <w:t>V Pardubicích dne………………….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499304B5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2828807A" w14:textId="77777777" w:rsidR="007E7E77" w:rsidRDefault="007E7E77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290EA001" w14:textId="03D923C9" w:rsidR="007F2401" w:rsidRPr="003A011E" w:rsidRDefault="007F2401" w:rsidP="007F240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 w:rsidRPr="00770CE3"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12/2024/TH/K</w:t>
      </w:r>
    </w:p>
    <w:p w14:paraId="311D19FC" w14:textId="77777777" w:rsidR="007F2401" w:rsidRDefault="007F2401" w:rsidP="007F240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447AA74C" w14:textId="77777777" w:rsidR="007F2401" w:rsidRDefault="007F2401" w:rsidP="007F2401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083329</w:t>
      </w:r>
    </w:p>
    <w:p w14:paraId="3070E4C7" w14:textId="77777777" w:rsidR="007F2401" w:rsidRPr="00941DD0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>Odběrné místo</w:t>
      </w:r>
      <w:r>
        <w:rPr>
          <w:rFonts w:cs="TimesNewRoman,Bold"/>
          <w:bCs/>
          <w:sz w:val="24"/>
          <w:szCs w:val="24"/>
        </w:rPr>
        <w:t xml:space="preserve"> </w:t>
      </w:r>
      <w:r w:rsidRPr="00941DD0"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833, Nádražní, Žamberk</w:t>
      </w:r>
    </w:p>
    <w:p w14:paraId="76057BC8" w14:textId="77777777" w:rsidR="007F2401" w:rsidRPr="00367538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</w:t>
      </w:r>
      <w:r>
        <w:rPr>
          <w:rFonts w:cs="TimesNewRoman"/>
          <w:sz w:val="24"/>
          <w:szCs w:val="24"/>
        </w:rPr>
        <w:t xml:space="preserve"> tepelné energie</w:t>
      </w:r>
      <w:r w:rsidRPr="00367538">
        <w:rPr>
          <w:rFonts w:cs="TimesNewRoman"/>
          <w:sz w:val="24"/>
          <w:szCs w:val="24"/>
        </w:rPr>
        <w:t>:</w:t>
      </w:r>
      <w:r>
        <w:rPr>
          <w:rFonts w:cs="TimesNewRoman"/>
          <w:sz w:val="24"/>
          <w:szCs w:val="24"/>
        </w:rPr>
        <w:tab/>
        <w:t>výstup topné vody z rozdělovače do rozvodů</w:t>
      </w:r>
    </w:p>
    <w:p w14:paraId="4B6AB186" w14:textId="77777777" w:rsidR="007F2401" w:rsidRPr="00367538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</w:t>
      </w:r>
      <w:r>
        <w:rPr>
          <w:rFonts w:cs="TimesNewRoman"/>
          <w:sz w:val="24"/>
          <w:szCs w:val="24"/>
        </w:rPr>
        <w:t xml:space="preserve"> tepelné energie</w:t>
      </w:r>
      <w:r w:rsidRPr="00367538">
        <w:rPr>
          <w:rFonts w:cs="TimesNewRoman"/>
          <w:sz w:val="24"/>
          <w:szCs w:val="24"/>
        </w:rPr>
        <w:t>:</w:t>
      </w:r>
      <w:r>
        <w:rPr>
          <w:rFonts w:cs="TimesNewRoman"/>
          <w:sz w:val="24"/>
          <w:szCs w:val="24"/>
        </w:rPr>
        <w:tab/>
        <w:t>z domovní kotelny</w:t>
      </w:r>
    </w:p>
    <w:p w14:paraId="572943E9" w14:textId="77777777" w:rsidR="007F2401" w:rsidRPr="00367538" w:rsidRDefault="007F2401" w:rsidP="007F2401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plynoměr dodavatele paliva</w:t>
      </w:r>
    </w:p>
    <w:p w14:paraId="651F2080" w14:textId="77777777" w:rsidR="007F2401" w:rsidRDefault="007F2401" w:rsidP="007F2401">
      <w:pPr>
        <w:autoSpaceDE w:val="0"/>
        <w:autoSpaceDN w:val="0"/>
        <w:adjustRightInd w:val="0"/>
        <w:spacing w:after="240" w:line="240" w:lineRule="auto"/>
        <w:ind w:left="3538" w:hanging="3538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</w:r>
      <w:bookmarkStart w:id="1" w:name="_Hlk498343514"/>
      <w:r>
        <w:rPr>
          <w:rFonts w:cs="TimesNewRoman"/>
          <w:sz w:val="24"/>
          <w:szCs w:val="24"/>
        </w:rPr>
        <w:t>spotřeba tepelné energie počítána ze spotřeby ZP dle vyhlášky č. </w:t>
      </w:r>
      <w:r>
        <w:rPr>
          <w:sz w:val="24"/>
        </w:rPr>
        <w:t xml:space="preserve">262/2015 Sb., </w:t>
      </w:r>
      <w:r w:rsidRPr="00B15CC0">
        <w:rPr>
          <w:sz w:val="24"/>
        </w:rPr>
        <w:t>příloh</w:t>
      </w:r>
      <w:r>
        <w:rPr>
          <w:sz w:val="24"/>
        </w:rPr>
        <w:t>y</w:t>
      </w:r>
      <w:r w:rsidRPr="00B15CC0">
        <w:rPr>
          <w:sz w:val="24"/>
        </w:rPr>
        <w:t xml:space="preserve"> č. </w:t>
      </w:r>
      <w:r>
        <w:rPr>
          <w:sz w:val="24"/>
        </w:rPr>
        <w:t>9</w:t>
      </w:r>
      <w:bookmarkEnd w:id="1"/>
      <w:r>
        <w:rPr>
          <w:rFonts w:cs="TimesNewRoman"/>
          <w:sz w:val="24"/>
          <w:szCs w:val="24"/>
        </w:rPr>
        <w:tab/>
      </w:r>
    </w:p>
    <w:p w14:paraId="762ECD0D" w14:textId="77777777" w:rsidR="007F2401" w:rsidRPr="00367538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7C7D63E7" w14:textId="77777777" w:rsidR="007F2401" w:rsidRPr="00367538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0,18</w:t>
      </w:r>
      <w:r w:rsidRPr="00367538">
        <w:rPr>
          <w:rFonts w:cs="TimesNewRoman"/>
          <w:sz w:val="24"/>
          <w:szCs w:val="24"/>
        </w:rPr>
        <w:t xml:space="preserve"> MPa</w:t>
      </w:r>
    </w:p>
    <w:p w14:paraId="716EA29B" w14:textId="77777777" w:rsidR="007F2401" w:rsidRPr="00367538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0,288</w:t>
      </w:r>
      <w:r w:rsidRPr="00367538">
        <w:rPr>
          <w:rFonts w:cs="TimesNewRoman"/>
          <w:sz w:val="24"/>
          <w:szCs w:val="24"/>
        </w:rPr>
        <w:t xml:space="preserve"> MW</w:t>
      </w:r>
    </w:p>
    <w:p w14:paraId="3C6100BB" w14:textId="77777777" w:rsidR="007F2401" w:rsidRPr="00367538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-15</w:t>
      </w:r>
      <w:r w:rsidRPr="007A1A1B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 xml:space="preserve">˚C přívod/zpátečka: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7065D97A" w14:textId="77777777" w:rsidR="007F2401" w:rsidRPr="00367538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Odběr teplé vody: 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 xml:space="preserve">ano </w:t>
      </w:r>
    </w:p>
    <w:p w14:paraId="0E550B78" w14:textId="77777777" w:rsidR="007F2401" w:rsidRDefault="007F2401" w:rsidP="007F2401">
      <w:pPr>
        <w:autoSpaceDE w:val="0"/>
        <w:autoSpaceDN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Teplota teplé vody</w:t>
      </w:r>
      <w:r>
        <w:rPr>
          <w:rFonts w:cs="TimesNewRoman"/>
          <w:sz w:val="24"/>
          <w:szCs w:val="24"/>
        </w:rPr>
        <w:t xml:space="preserve"> </w:t>
      </w:r>
      <w:r w:rsidRPr="00553C27">
        <w:rPr>
          <w:sz w:val="24"/>
        </w:rPr>
        <w:t>(ve smyslu vyhlášky č. 194/2007 Sb</w:t>
      </w:r>
      <w:r w:rsidRPr="00367538">
        <w:rPr>
          <w:rFonts w:cs="TimesNewRoman"/>
          <w:sz w:val="24"/>
          <w:szCs w:val="24"/>
        </w:rPr>
        <w:t>.):</w:t>
      </w:r>
      <w:r>
        <w:rPr>
          <w:rFonts w:cs="TimesNewRoman"/>
          <w:sz w:val="24"/>
          <w:szCs w:val="24"/>
        </w:rPr>
        <w:tab/>
        <w:t>45 °C / 60 °C</w:t>
      </w:r>
    </w:p>
    <w:p w14:paraId="6FA5AEAB" w14:textId="77777777" w:rsidR="007F2401" w:rsidRDefault="007F2401" w:rsidP="007F2401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2024</w:t>
      </w:r>
    </w:p>
    <w:p w14:paraId="422AB92D" w14:textId="77777777" w:rsidR="007F2401" w:rsidRDefault="007F2401" w:rsidP="007F2401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F2401" w:rsidRPr="00367538" w14:paraId="20AF0386" w14:textId="77777777" w:rsidTr="00030416">
        <w:tc>
          <w:tcPr>
            <w:tcW w:w="1701" w:type="dxa"/>
          </w:tcPr>
          <w:p w14:paraId="7C0ED247" w14:textId="77777777" w:rsidR="007F2401" w:rsidRPr="00A73F6A" w:rsidRDefault="007F2401" w:rsidP="00030416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5FA5F350" w14:textId="77777777" w:rsidR="007F2401" w:rsidRPr="00A73F6A" w:rsidRDefault="007F2401" w:rsidP="00030416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7C743846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119FCB12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3A3E2BE9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7E275039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453D9EF5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6807E768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124568C9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0BD19EFF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3CD440E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74B86F07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6288443F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7F2401" w:rsidRPr="00367538" w14:paraId="216E2B99" w14:textId="77777777" w:rsidTr="00030416">
        <w:tc>
          <w:tcPr>
            <w:tcW w:w="1701" w:type="dxa"/>
          </w:tcPr>
          <w:p w14:paraId="7526EEF6" w14:textId="77777777" w:rsidR="007F2401" w:rsidRPr="00A73F6A" w:rsidRDefault="007F2401" w:rsidP="00030416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1AA57EA" w14:textId="77777777" w:rsidR="007F2401" w:rsidRPr="00A73F6A" w:rsidRDefault="007F2401" w:rsidP="00030416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2EFB9249" w14:textId="77777777" w:rsidR="007F2401" w:rsidRPr="00A73F6A" w:rsidRDefault="007F2401" w:rsidP="00030416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0427D21D" w14:textId="77777777" w:rsidR="007F2401" w:rsidRPr="00A73F6A" w:rsidRDefault="007F2401" w:rsidP="00030416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06B462FA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5145CC63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7DBEDB50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1DF074BD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2CBB470F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27A1E078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082D2327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46AA548D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F7A86B5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6A8E8D4A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79CF5148" w14:textId="77777777" w:rsidR="007F2401" w:rsidRPr="00A73F6A" w:rsidRDefault="007F2401" w:rsidP="00030416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1A8B4A8D" w14:textId="77777777" w:rsidR="007F2401" w:rsidRPr="00367538" w:rsidRDefault="007F2401" w:rsidP="007F2401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6CB7BF03" w14:textId="77777777" w:rsidR="007F2401" w:rsidRDefault="007F2401" w:rsidP="007F2401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6027D458" w14:textId="77777777" w:rsidR="007F2401" w:rsidRDefault="007F2401" w:rsidP="007F2401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730A105A" w14:textId="77777777" w:rsidR="007F2401" w:rsidRDefault="007F2401" w:rsidP="007F2401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64224B79" w14:textId="117486C8" w:rsidR="007F2401" w:rsidRPr="003A011E" w:rsidRDefault="007F2401" w:rsidP="007F240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>
        <w:rPr>
          <w:b/>
          <w:sz w:val="24"/>
          <w:szCs w:val="24"/>
        </w:rPr>
        <w:t>K</w:t>
      </w:r>
    </w:p>
    <w:p w14:paraId="12B647B0" w14:textId="77777777" w:rsidR="007F2401" w:rsidRPr="00941DD0" w:rsidRDefault="007F2401" w:rsidP="007F240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Pr="00941DD0">
        <w:rPr>
          <w:rFonts w:cs="TimesNewRoman,Bold"/>
          <w:b/>
          <w:bCs/>
          <w:sz w:val="32"/>
          <w:szCs w:val="32"/>
        </w:rPr>
        <w:t>enové ujednání</w:t>
      </w:r>
      <w:r>
        <w:rPr>
          <w:rFonts w:cs="TimesNewRoman,Bold"/>
          <w:b/>
          <w:bCs/>
          <w:sz w:val="32"/>
          <w:szCs w:val="32"/>
        </w:rPr>
        <w:t xml:space="preserve"> </w:t>
      </w:r>
    </w:p>
    <w:p w14:paraId="75E8DF89" w14:textId="77777777" w:rsidR="007F2401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1D4783E" w14:textId="77777777" w:rsidR="007F2401" w:rsidRPr="008615CF" w:rsidRDefault="007F2401" w:rsidP="007F240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4F15A489" w14:textId="77777777" w:rsidR="007F2401" w:rsidRPr="002A305F" w:rsidRDefault="007F2401" w:rsidP="007F24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0C55F697" w14:textId="77777777" w:rsidR="007F2401" w:rsidRPr="001F782E" w:rsidRDefault="007F2401" w:rsidP="007F24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Cena tepelné energie se účtuje formou jednosložkové ceny, která je dána kalkulačním vzorcem dle platného Cenového rozhodnutí ERÚ.</w:t>
      </w:r>
    </w:p>
    <w:p w14:paraId="58E1A8AA" w14:textId="77777777" w:rsidR="007F2401" w:rsidRPr="001F782E" w:rsidRDefault="007F2401" w:rsidP="007F24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Cena dle bodu 2 je včetně DPH, které je stanoveno dle platných právních předpisů v daném zúčtovacím období.</w:t>
      </w:r>
    </w:p>
    <w:p w14:paraId="6410693B" w14:textId="77777777" w:rsidR="007F2401" w:rsidRPr="001F782E" w:rsidRDefault="007F2401" w:rsidP="007F24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 odběrateli nejpozději 30 dnů, před jejím uplatněním.</w:t>
      </w:r>
    </w:p>
    <w:p w14:paraId="64A1F6B7" w14:textId="77777777" w:rsidR="007F2401" w:rsidRDefault="007F2401" w:rsidP="007F24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>
        <w:rPr>
          <w:rFonts w:cs="TimesNewRoman"/>
          <w:sz w:val="24"/>
          <w:szCs w:val="24"/>
        </w:rPr>
        <w:t>2</w:t>
      </w:r>
      <w:r w:rsidRPr="002A305F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</w:t>
      </w:r>
      <w:r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3482B51B" w14:textId="77777777" w:rsidR="007F2401" w:rsidRDefault="007F2401" w:rsidP="007F24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Pr="002A305F">
        <w:rPr>
          <w:rFonts w:cs="TimesNewRoman"/>
          <w:sz w:val="24"/>
          <w:szCs w:val="24"/>
        </w:rPr>
        <w:t>odavatel se zavazuje prov</w:t>
      </w:r>
      <w:r>
        <w:rPr>
          <w:rFonts w:cs="TimesNewRoman"/>
          <w:sz w:val="24"/>
          <w:szCs w:val="24"/>
        </w:rPr>
        <w:t>ést vy</w:t>
      </w:r>
      <w:r w:rsidRPr="002A305F">
        <w:rPr>
          <w:rFonts w:cs="TimesNewRoman"/>
          <w:sz w:val="24"/>
          <w:szCs w:val="24"/>
        </w:rPr>
        <w:t>účtování</w:t>
      </w:r>
      <w:r w:rsidRPr="000278E0">
        <w:rPr>
          <w:rFonts w:cs="TimesNewRoman"/>
          <w:sz w:val="24"/>
          <w:szCs w:val="24"/>
        </w:rPr>
        <w:t>,</w:t>
      </w:r>
      <w:r w:rsidRPr="002A305F">
        <w:rPr>
          <w:rFonts w:cs="TimesNewRoman"/>
          <w:sz w:val="24"/>
          <w:szCs w:val="24"/>
        </w:rPr>
        <w:t xml:space="preserve"> dodávky tepelné energie</w:t>
      </w:r>
      <w:r>
        <w:rPr>
          <w:rFonts w:cs="TimesNewRoman"/>
          <w:sz w:val="24"/>
          <w:szCs w:val="24"/>
        </w:rPr>
        <w:t xml:space="preserve"> a uhrazených zálohových plateb</w:t>
      </w:r>
      <w:r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Splatnost tohoto daňového dokladu bude činit 14 </w:t>
      </w:r>
      <w:r w:rsidRPr="00FE2D45">
        <w:rPr>
          <w:rFonts w:cs="TimesNewRoman"/>
          <w:sz w:val="24"/>
          <w:szCs w:val="24"/>
        </w:rPr>
        <w:t>dn</w:t>
      </w:r>
      <w:r>
        <w:rPr>
          <w:rFonts w:cs="TimesNewRoman"/>
          <w:sz w:val="24"/>
          <w:szCs w:val="24"/>
        </w:rPr>
        <w:t>í</w:t>
      </w:r>
      <w:r w:rsidRPr="000278E0">
        <w:rPr>
          <w:rFonts w:cs="TimesNewRoman"/>
          <w:sz w:val="24"/>
          <w:szCs w:val="24"/>
        </w:rPr>
        <w:t>.</w:t>
      </w:r>
      <w:r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Pr="000278E0">
        <w:rPr>
          <w:rFonts w:cs="TimesNewRoman"/>
          <w:sz w:val="24"/>
          <w:szCs w:val="24"/>
        </w:rPr>
        <w:t>, z kterého odběratel hradil zálohové platby</w:t>
      </w:r>
      <w:r>
        <w:rPr>
          <w:rFonts w:cs="TimesNewRoman"/>
          <w:sz w:val="24"/>
          <w:szCs w:val="24"/>
        </w:rPr>
        <w:t>.</w:t>
      </w:r>
    </w:p>
    <w:p w14:paraId="156A927F" w14:textId="77777777" w:rsidR="007F2401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482C2C4" w14:textId="77777777" w:rsidR="007F2401" w:rsidRPr="008615CF" w:rsidRDefault="007F2401" w:rsidP="007F240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1776AEA0" w14:textId="77777777" w:rsidR="007F2401" w:rsidRDefault="007F2401" w:rsidP="007F240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>
        <w:rPr>
          <w:rFonts w:cs="TimesNewRoman"/>
          <w:sz w:val="24"/>
          <w:szCs w:val="24"/>
        </w:rPr>
        <w:t xml:space="preserve">dodávka tepelné energie je během zúčtovacího období, tj. od 1.7. běžného roku do 30.6. následujícího roku, hrazena odběratelem formou měsíčních záloh dle zálohového kalendáře. </w:t>
      </w:r>
    </w:p>
    <w:p w14:paraId="3F15E64C" w14:textId="4775FB8A" w:rsidR="007F2401" w:rsidRPr="002A305F" w:rsidRDefault="007F2401" w:rsidP="007F240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ve výši ¹/₁₂ roční zálohové částky nejpozději k 10. dni běžného měsíce na účet vedený u Komerční banky, a.s., Žamberk, </w:t>
      </w:r>
      <w:r w:rsidRPr="008B2694">
        <w:rPr>
          <w:b/>
          <w:sz w:val="24"/>
        </w:rPr>
        <w:t xml:space="preserve">č.ú. </w:t>
      </w:r>
      <w:bookmarkStart w:id="2" w:name="_GoBack"/>
      <w:bookmarkEnd w:id="2"/>
      <w:r>
        <w:rPr>
          <w:rFonts w:cs="TimesNewRoman"/>
          <w:sz w:val="24"/>
          <w:szCs w:val="24"/>
        </w:rPr>
        <w:t xml:space="preserve">pod </w:t>
      </w:r>
      <w:r w:rsidRPr="008B2694">
        <w:rPr>
          <w:b/>
          <w:sz w:val="24"/>
        </w:rPr>
        <w:t xml:space="preserve">VS </w:t>
      </w:r>
      <w:r>
        <w:rPr>
          <w:rFonts w:cs="TimesNewRoman"/>
          <w:b/>
          <w:bCs/>
          <w:sz w:val="24"/>
          <w:szCs w:val="24"/>
        </w:rPr>
        <w:t>612.</w:t>
      </w:r>
    </w:p>
    <w:p w14:paraId="4630D7F6" w14:textId="77777777" w:rsidR="007F2401" w:rsidRDefault="007F2401" w:rsidP="007F2401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5AD9D6DA" w14:textId="77777777" w:rsidR="007F2401" w:rsidRPr="008615CF" w:rsidRDefault="007F2401" w:rsidP="007F240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721444E8" w14:textId="77777777" w:rsidR="007F2401" w:rsidRDefault="007F2401" w:rsidP="007F240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="TimesNewRoman"/>
          <w:sz w:val="24"/>
          <w:szCs w:val="24"/>
        </w:rPr>
      </w:pPr>
      <w:r w:rsidRPr="009A145F"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diagramu.</w:t>
      </w:r>
    </w:p>
    <w:p w14:paraId="0EA45EB6" w14:textId="77777777" w:rsidR="007F2401" w:rsidRPr="009A145F" w:rsidRDefault="007F2401" w:rsidP="007F240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="TimesNewRoman"/>
          <w:sz w:val="24"/>
          <w:szCs w:val="24"/>
        </w:rPr>
      </w:pPr>
      <w:r w:rsidRPr="009A145F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9A145F">
        <w:rPr>
          <w:rFonts w:cs="TimesNewRoman,Italic"/>
          <w:i/>
          <w:iCs/>
          <w:sz w:val="24"/>
          <w:szCs w:val="24"/>
        </w:rPr>
        <w:t xml:space="preserve"> </w:t>
      </w:r>
      <w:r w:rsidRPr="009A145F">
        <w:rPr>
          <w:rFonts w:cs="TimesNewRoman"/>
          <w:sz w:val="24"/>
          <w:szCs w:val="24"/>
        </w:rPr>
        <w:t>příslušného kalendářního roku.</w:t>
      </w:r>
    </w:p>
    <w:p w14:paraId="52D22B48" w14:textId="28659110" w:rsidR="007F2401" w:rsidRPr="009A145F" w:rsidRDefault="007F2401" w:rsidP="007F240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="TimesNewRoman"/>
          <w:sz w:val="24"/>
          <w:szCs w:val="24"/>
        </w:rPr>
      </w:pPr>
      <w:r w:rsidRPr="009A145F">
        <w:rPr>
          <w:rFonts w:cs="TimesNewRoman"/>
          <w:sz w:val="24"/>
          <w:szCs w:val="24"/>
        </w:rPr>
        <w:t xml:space="preserve">Odběrový diagram je stanoven pro celou budovu. Z tohoto množství je plánovaný odběr vytápěných prostor pro </w:t>
      </w:r>
      <w:r>
        <w:rPr>
          <w:rFonts w:cs="TimesNewRoman"/>
          <w:sz w:val="24"/>
          <w:szCs w:val="24"/>
        </w:rPr>
        <w:t>Úřad práce</w:t>
      </w:r>
      <w:r w:rsidRPr="009A145F">
        <w:rPr>
          <w:rFonts w:cs="TimesNewRoman"/>
          <w:sz w:val="24"/>
          <w:szCs w:val="24"/>
        </w:rPr>
        <w:t xml:space="preserve">: </w:t>
      </w:r>
      <w:r>
        <w:rPr>
          <w:rFonts w:cs="TimesNewRoman"/>
          <w:sz w:val="24"/>
          <w:szCs w:val="24"/>
        </w:rPr>
        <w:t xml:space="preserve">86 </w:t>
      </w:r>
      <w:r w:rsidRPr="009A145F">
        <w:rPr>
          <w:rFonts w:cs="TimesNewRoman"/>
          <w:sz w:val="24"/>
          <w:szCs w:val="24"/>
        </w:rPr>
        <w:t>GJ /TV/</w:t>
      </w:r>
      <w:r>
        <w:rPr>
          <w:rFonts w:cs="TimesNewRoman"/>
          <w:sz w:val="24"/>
          <w:szCs w:val="24"/>
        </w:rPr>
        <w:t>.</w:t>
      </w:r>
    </w:p>
    <w:p w14:paraId="63D347B7" w14:textId="77777777" w:rsidR="007F2401" w:rsidRDefault="007F2401" w:rsidP="007F2401">
      <w:pPr>
        <w:pStyle w:val="Odstavecseseznamem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="TimesNewRoman"/>
          <w:sz w:val="24"/>
          <w:szCs w:val="24"/>
        </w:rPr>
      </w:pPr>
    </w:p>
    <w:p w14:paraId="3B731A29" w14:textId="77777777" w:rsidR="007F2401" w:rsidRPr="00CB37EB" w:rsidRDefault="007F2401" w:rsidP="007F2401">
      <w:pPr>
        <w:pStyle w:val="Odstavecseseznamem"/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"/>
          <w:sz w:val="24"/>
          <w:szCs w:val="24"/>
        </w:rPr>
      </w:pPr>
      <w:r w:rsidRPr="00AE7CF7">
        <w:br w:type="column"/>
      </w:r>
      <w:r w:rsidRPr="00CB37EB">
        <w:rPr>
          <w:rFonts w:cs="TimesNewRoman"/>
          <w:sz w:val="24"/>
          <w:szCs w:val="24"/>
        </w:rPr>
        <w:lastRenderedPageBreak/>
        <w:t>Odběrné místo č. 083329: dům čp. 833</w:t>
      </w:r>
      <w:r w:rsidRPr="00A13E4C">
        <w:rPr>
          <w:rFonts w:cs="TimesNewRoman"/>
          <w:sz w:val="24"/>
          <w:szCs w:val="24"/>
        </w:rPr>
        <w:t>,</w:t>
      </w:r>
      <w:r w:rsidRPr="00CB37EB">
        <w:rPr>
          <w:rFonts w:cs="TimesNewRoman"/>
          <w:sz w:val="24"/>
          <w:szCs w:val="24"/>
        </w:rPr>
        <w:t xml:space="preserve"> Nádražní, Žamberk</w:t>
      </w:r>
    </w:p>
    <w:p w14:paraId="49BF7933" w14:textId="77777777" w:rsidR="007F2401" w:rsidRDefault="007F2401" w:rsidP="007F2401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7F2401" w14:paraId="1659C524" w14:textId="77777777" w:rsidTr="00030416">
        <w:trPr>
          <w:trHeight w:val="682"/>
        </w:trPr>
        <w:tc>
          <w:tcPr>
            <w:tcW w:w="0" w:type="auto"/>
            <w:vAlign w:val="center"/>
          </w:tcPr>
          <w:p w14:paraId="51997F5B" w14:textId="77777777" w:rsidR="007F2401" w:rsidRPr="0059117A" w:rsidRDefault="007F2401" w:rsidP="0003041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08B79A22" w14:textId="77777777" w:rsidR="007F2401" w:rsidRPr="0059117A" w:rsidRDefault="007F2401" w:rsidP="0003041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6A0B630" w14:textId="77777777" w:rsidR="007F2401" w:rsidRPr="0059117A" w:rsidRDefault="007F2401" w:rsidP="0003041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5E7A0CE1" w14:textId="77777777" w:rsidR="007F2401" w:rsidRPr="0059117A" w:rsidRDefault="007F2401" w:rsidP="0003041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B4CEB7C" w14:textId="77777777" w:rsidR="007F2401" w:rsidRPr="0059117A" w:rsidRDefault="007F2401" w:rsidP="0003041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0F29C10" w14:textId="77777777" w:rsidR="007F2401" w:rsidRPr="0059117A" w:rsidRDefault="007F2401" w:rsidP="0003041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7F2401" w14:paraId="40EEE2ED" w14:textId="77777777" w:rsidTr="00030416">
        <w:trPr>
          <w:trHeight w:val="392"/>
        </w:trPr>
        <w:tc>
          <w:tcPr>
            <w:tcW w:w="0" w:type="auto"/>
            <w:vAlign w:val="center"/>
          </w:tcPr>
          <w:p w14:paraId="0CECB9D1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0A14231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131 GJ</w:t>
            </w:r>
          </w:p>
        </w:tc>
        <w:tc>
          <w:tcPr>
            <w:tcW w:w="0" w:type="auto"/>
            <w:vAlign w:val="center"/>
          </w:tcPr>
          <w:p w14:paraId="757545A3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EFD7786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21 GJ</w:t>
            </w:r>
          </w:p>
        </w:tc>
        <w:tc>
          <w:tcPr>
            <w:tcW w:w="0" w:type="auto"/>
            <w:vAlign w:val="center"/>
          </w:tcPr>
          <w:p w14:paraId="4CDF2C84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28BB9FD1" w14:textId="77777777" w:rsidR="007F2401" w:rsidRDefault="007F2401" w:rsidP="00030416">
            <w:pPr>
              <w:tabs>
                <w:tab w:val="center" w:pos="792"/>
                <w:tab w:val="right" w:pos="1585"/>
              </w:tabs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ab/>
            </w:r>
            <w:r>
              <w:rPr>
                <w:rFonts w:cs="TimesNewRoman,Bold"/>
                <w:bCs/>
                <w:sz w:val="24"/>
                <w:szCs w:val="24"/>
              </w:rPr>
              <w:tab/>
              <w:t>14 GJ</w:t>
            </w:r>
          </w:p>
        </w:tc>
      </w:tr>
      <w:tr w:rsidR="007F2401" w14:paraId="5B8B85A2" w14:textId="77777777" w:rsidTr="00030416">
        <w:trPr>
          <w:trHeight w:val="392"/>
        </w:trPr>
        <w:tc>
          <w:tcPr>
            <w:tcW w:w="0" w:type="auto"/>
            <w:vAlign w:val="center"/>
          </w:tcPr>
          <w:p w14:paraId="27847B4F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207B5E0B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111 GJ</w:t>
            </w:r>
          </w:p>
        </w:tc>
        <w:tc>
          <w:tcPr>
            <w:tcW w:w="0" w:type="auto"/>
            <w:vAlign w:val="center"/>
          </w:tcPr>
          <w:p w14:paraId="37D38564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48B12C69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 GJ</w:t>
            </w:r>
          </w:p>
        </w:tc>
        <w:tc>
          <w:tcPr>
            <w:tcW w:w="0" w:type="auto"/>
            <w:vAlign w:val="center"/>
          </w:tcPr>
          <w:p w14:paraId="5001A53D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A2D00FB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60 GJ</w:t>
            </w:r>
          </w:p>
        </w:tc>
      </w:tr>
      <w:tr w:rsidR="007F2401" w14:paraId="689C368E" w14:textId="77777777" w:rsidTr="00030416">
        <w:trPr>
          <w:trHeight w:val="392"/>
        </w:trPr>
        <w:tc>
          <w:tcPr>
            <w:tcW w:w="0" w:type="auto"/>
            <w:vAlign w:val="center"/>
          </w:tcPr>
          <w:p w14:paraId="129279A3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8511744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98 GJ</w:t>
            </w:r>
          </w:p>
        </w:tc>
        <w:tc>
          <w:tcPr>
            <w:tcW w:w="0" w:type="auto"/>
            <w:vAlign w:val="center"/>
          </w:tcPr>
          <w:p w14:paraId="79F65641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7A57F18C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 GJ</w:t>
            </w:r>
          </w:p>
        </w:tc>
        <w:tc>
          <w:tcPr>
            <w:tcW w:w="0" w:type="auto"/>
            <w:vAlign w:val="center"/>
          </w:tcPr>
          <w:p w14:paraId="1ADA8478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4C18A5C4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98 GJ</w:t>
            </w:r>
          </w:p>
        </w:tc>
      </w:tr>
      <w:tr w:rsidR="007F2401" w14:paraId="5F75B369" w14:textId="77777777" w:rsidTr="00030416">
        <w:trPr>
          <w:trHeight w:val="406"/>
        </w:trPr>
        <w:tc>
          <w:tcPr>
            <w:tcW w:w="0" w:type="auto"/>
            <w:vAlign w:val="center"/>
          </w:tcPr>
          <w:p w14:paraId="4BE5C412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489FC240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66 GJ</w:t>
            </w:r>
          </w:p>
        </w:tc>
        <w:tc>
          <w:tcPr>
            <w:tcW w:w="0" w:type="auto"/>
            <w:vAlign w:val="center"/>
          </w:tcPr>
          <w:p w14:paraId="33EBF7AE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7E898D4C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 GJ</w:t>
            </w:r>
          </w:p>
        </w:tc>
        <w:tc>
          <w:tcPr>
            <w:tcW w:w="0" w:type="auto"/>
            <w:vAlign w:val="center"/>
          </w:tcPr>
          <w:p w14:paraId="7DFE9A8F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2B7C6D31" w14:textId="77777777" w:rsidR="007F2401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118 GJ</w:t>
            </w:r>
          </w:p>
        </w:tc>
      </w:tr>
      <w:tr w:rsidR="007F2401" w14:paraId="73C1EE32" w14:textId="77777777" w:rsidTr="00030416">
        <w:trPr>
          <w:trHeight w:val="377"/>
        </w:trPr>
        <w:tc>
          <w:tcPr>
            <w:tcW w:w="0" w:type="auto"/>
          </w:tcPr>
          <w:p w14:paraId="4170AF57" w14:textId="77777777" w:rsidR="007F2401" w:rsidRPr="00F8166B" w:rsidRDefault="007F2401" w:rsidP="0003041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B038189" w14:textId="77777777" w:rsidR="007F2401" w:rsidRPr="00F8166B" w:rsidRDefault="007F2401" w:rsidP="0003041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08D31F1" w14:textId="77777777" w:rsidR="007F2401" w:rsidRPr="00F8166B" w:rsidRDefault="007F2401" w:rsidP="00030416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741</w:t>
            </w:r>
            <w:r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71DBF9E9" w14:textId="77777777" w:rsidR="007F2401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F0F4254" w14:textId="29A4FF62" w:rsidR="007F2401" w:rsidRPr="003A011E" w:rsidRDefault="007F2401" w:rsidP="007F240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>
        <w:rPr>
          <w:rFonts w:cs="TimesNewRoman,Bold"/>
          <w:b/>
          <w:bCs/>
          <w:sz w:val="24"/>
          <w:szCs w:val="24"/>
        </w:rPr>
        <w:t>12/2024/TH/K</w:t>
      </w:r>
    </w:p>
    <w:p w14:paraId="27704C89" w14:textId="77777777" w:rsidR="007F2401" w:rsidRDefault="007F2401" w:rsidP="007F2401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center"/>
        <w:rPr>
          <w:b/>
          <w:sz w:val="24"/>
        </w:rPr>
      </w:pPr>
      <w:r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14:paraId="1A34EA34" w14:textId="77777777" w:rsidR="007F2401" w:rsidRDefault="007F2401" w:rsidP="007F24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Objekt čp. 833 je jeden stavební celek. Jedná se o společné technologicky propojené odběrné tepelné zařízení, které je osazeno počítadly tepla.</w:t>
      </w:r>
    </w:p>
    <w:p w14:paraId="7B099CD6" w14:textId="77777777" w:rsidR="007F2401" w:rsidRDefault="007F2401" w:rsidP="007F24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množství GJ odebraných na odběrném místě č. 083329 bude na jednotlivé vlastníky rozděleno takto:</w:t>
      </w:r>
    </w:p>
    <w:p w14:paraId="3AD2B6AD" w14:textId="77777777" w:rsidR="007F2401" w:rsidRPr="0048090D" w:rsidRDefault="007F2401" w:rsidP="007F2401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8090D">
        <w:rPr>
          <w:rFonts w:cs="TimesNewRoman"/>
          <w:sz w:val="24"/>
          <w:szCs w:val="24"/>
        </w:rPr>
        <w:t>Spotřeba tepelné energie pro celé odběrné místo se vypočte ze spotřeby ZP dle vzorce: spotřeba ZP x koeficient x směrná účinnost kotle v % dle vyhlášky č. </w:t>
      </w:r>
      <w:r w:rsidRPr="0048090D">
        <w:rPr>
          <w:sz w:val="24"/>
        </w:rPr>
        <w:t>262/2015 Sb., přílohy č. 9.</w:t>
      </w:r>
    </w:p>
    <w:p w14:paraId="40B6EB48" w14:textId="77777777" w:rsidR="007F2401" w:rsidRPr="0048090D" w:rsidRDefault="007F2401" w:rsidP="007F2401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8090D">
        <w:rPr>
          <w:rFonts w:cs="TimesNewRoman"/>
          <w:sz w:val="24"/>
          <w:szCs w:val="24"/>
        </w:rPr>
        <w:t>Při rozúčtování budou vzaty v úvahu poměry výměry vytápěných ploch v %.</w:t>
      </w:r>
    </w:p>
    <w:p w14:paraId="446CFA3B" w14:textId="77777777" w:rsidR="007F2401" w:rsidRPr="0048090D" w:rsidRDefault="007F2401" w:rsidP="007F2401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48090D">
        <w:rPr>
          <w:rFonts w:cs="TimesNewRoman"/>
          <w:sz w:val="24"/>
          <w:szCs w:val="24"/>
        </w:rPr>
        <w:t>Větev ohřevu TUV (samostatně měřeno) v GJ se na tomto počítadle naúčtuje jako spotřeba Města Žamberk.</w:t>
      </w:r>
    </w:p>
    <w:p w14:paraId="23C87171" w14:textId="77777777" w:rsidR="007F2401" w:rsidRDefault="007F2401" w:rsidP="007F2401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Větev garáží (samostatně měřeno) je v současné době trvale mimo provoz.</w:t>
      </w:r>
    </w:p>
    <w:p w14:paraId="5BB4C4E1" w14:textId="77777777" w:rsidR="007F2401" w:rsidRDefault="007F2401" w:rsidP="007F2401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Větev PP (podzemí) - množství tepla na tomto počítadle se rozdělí v poměru viz tabulka výměr </w:t>
      </w:r>
      <w:r w:rsidRPr="000278E0">
        <w:rPr>
          <w:rFonts w:cs="TimesNewRoman"/>
          <w:sz w:val="24"/>
          <w:szCs w:val="24"/>
        </w:rPr>
        <w:t>vytápěný</w:t>
      </w:r>
      <w:r>
        <w:rPr>
          <w:rFonts w:cs="TimesNewRoman"/>
          <w:sz w:val="24"/>
          <w:szCs w:val="24"/>
        </w:rPr>
        <w:t>ch ploch.</w:t>
      </w:r>
    </w:p>
    <w:p w14:paraId="40F1DADB" w14:textId="77777777" w:rsidR="007F2401" w:rsidRDefault="007F2401" w:rsidP="007F2401">
      <w:pPr>
        <w:pStyle w:val="Odstavecseseznamem"/>
        <w:numPr>
          <w:ilvl w:val="1"/>
          <w:numId w:val="47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Větev vytápění zadního traktu a trvalého i přerušovaného provozu (plocha ostatní) se vypočte z množství tepla za odběrné místo celkem mínus množství tepla větví samostatně měřených a ohřevu TUV. Z takto vypočteného množství se rozdělí v poměru viz tabulka výměr vytápěných ploch.</w:t>
      </w:r>
    </w:p>
    <w:p w14:paraId="1965EBB6" w14:textId="77777777" w:rsidR="007F2401" w:rsidRPr="00BA1C6A" w:rsidRDefault="007F2401" w:rsidP="007F2401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BA1C6A">
        <w:rPr>
          <w:rFonts w:cs="TimesNewRoman"/>
          <w:sz w:val="24"/>
          <w:szCs w:val="24"/>
        </w:rPr>
        <w:t>Tabulka výměr vytápěných ploch</w:t>
      </w:r>
    </w:p>
    <w:tbl>
      <w:tblPr>
        <w:tblW w:w="8921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8"/>
        <w:gridCol w:w="2124"/>
        <w:gridCol w:w="2112"/>
        <w:gridCol w:w="1817"/>
      </w:tblGrid>
      <w:tr w:rsidR="007F2401" w:rsidRPr="00626D66" w14:paraId="14E39F70" w14:textId="77777777" w:rsidTr="00030416">
        <w:trPr>
          <w:trHeight w:val="595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76106B06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Výměry vytápěných ploch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14:paraId="6EE6B113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Pošta</w:t>
            </w: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14:paraId="23241553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MÚ Žamberk</w:t>
            </w:r>
          </w:p>
        </w:tc>
        <w:tc>
          <w:tcPr>
            <w:tcW w:w="1817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14:paraId="3A52C886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ČR – Úřad práce v Ústí nad Orlicí</w:t>
            </w:r>
          </w:p>
        </w:tc>
      </w:tr>
      <w:tr w:rsidR="007F2401" w:rsidRPr="00626D66" w14:paraId="1189F3E0" w14:textId="77777777" w:rsidTr="00030416">
        <w:trPr>
          <w:trHeight w:val="362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84E98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1. PP /podzemí/ m</w:t>
            </w:r>
            <w:r w:rsidRPr="00626D66"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9C2549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4F5C53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45,1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95D143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</w:p>
        </w:tc>
      </w:tr>
      <w:tr w:rsidR="007F2401" w:rsidRPr="00626D66" w14:paraId="1BC76646" w14:textId="77777777" w:rsidTr="00030416">
        <w:trPr>
          <w:trHeight w:val="638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D8781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Místnost řidičů, soc. zař., archiv v PP m</w:t>
            </w:r>
            <w:r w:rsidRPr="00626D66"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24435E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19,5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394F61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25,8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A71B18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</w:tr>
      <w:tr w:rsidR="007F2401" w:rsidRPr="00626D66" w14:paraId="618791EA" w14:textId="77777777" w:rsidTr="00030416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B5D53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1. NP /přízemí/ m</w:t>
            </w:r>
            <w:r w:rsidRPr="00626D66"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282773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487,6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7E28A5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161,44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E9E875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</w:tr>
      <w:tr w:rsidR="007F2401" w:rsidRPr="00626D66" w14:paraId="36A9D4B7" w14:textId="77777777" w:rsidTr="00030416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5ADCD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2.NP /I. poschodí/ m</w:t>
            </w:r>
            <w:r w:rsidRPr="00626D66"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196B9C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22D38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624,9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CD8667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79,12</w:t>
            </w:r>
          </w:p>
        </w:tc>
      </w:tr>
      <w:tr w:rsidR="007F2401" w:rsidRPr="00626D66" w14:paraId="3B02B91C" w14:textId="77777777" w:rsidTr="00030416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24C45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3.NP /II. poschodí/ m</w:t>
            </w:r>
            <w:r w:rsidRPr="00626D66"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44BA19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A4326A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563,98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2EE48C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116,2</w:t>
            </w:r>
          </w:p>
        </w:tc>
      </w:tr>
      <w:tr w:rsidR="007F2401" w:rsidRPr="00626D66" w14:paraId="68A955BF" w14:textId="77777777" w:rsidTr="00030416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72843086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4.NP / podkroví/ m</w:t>
            </w:r>
            <w:r w:rsidRPr="00626D66"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14:paraId="54467E36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14:paraId="2F64CF6F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498,11</w:t>
            </w:r>
          </w:p>
        </w:tc>
        <w:tc>
          <w:tcPr>
            <w:tcW w:w="181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14:paraId="4976ABCB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209,65</w:t>
            </w:r>
            <w:r w:rsidRPr="00626D66">
              <w:rPr>
                <w:rFonts w:cs="TimesNewRoman"/>
                <w:sz w:val="24"/>
                <w:szCs w:val="24"/>
              </w:rPr>
              <w:t> </w:t>
            </w:r>
          </w:p>
        </w:tc>
      </w:tr>
      <w:tr w:rsidR="007F2401" w:rsidRPr="00626D66" w14:paraId="1CE87C66" w14:textId="77777777" w:rsidTr="00030416">
        <w:trPr>
          <w:trHeight w:val="362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B79C5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celkem bez PP m</w:t>
            </w:r>
            <w:r w:rsidRPr="00626D66"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8B5E4C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507,1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AD5A62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1848,43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71341A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>
              <w:rPr>
                <w:rFonts w:cs="TimesNewRoman"/>
                <w:b/>
                <w:bCs/>
                <w:sz w:val="24"/>
                <w:szCs w:val="24"/>
              </w:rPr>
              <w:t>404,97</w:t>
            </w:r>
          </w:p>
        </w:tc>
      </w:tr>
      <w:tr w:rsidR="007F2401" w:rsidRPr="00626D66" w14:paraId="35F3F717" w14:textId="77777777" w:rsidTr="00030416">
        <w:trPr>
          <w:trHeight w:val="348"/>
        </w:trPr>
        <w:tc>
          <w:tcPr>
            <w:tcW w:w="2868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DF91C50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  <w:vertAlign w:val="superscript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plocha celkem m</w:t>
            </w:r>
            <w:r w:rsidRPr="00626D66">
              <w:rPr>
                <w:rFonts w:cs="TimesNew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14:paraId="78BFF8EF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517,3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14:paraId="77BDDAC9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 w:rsidRPr="00626D66">
              <w:rPr>
                <w:rFonts w:cs="TimesNewRoman"/>
                <w:sz w:val="24"/>
                <w:szCs w:val="24"/>
              </w:rPr>
              <w:t>1919,33</w:t>
            </w:r>
          </w:p>
        </w:tc>
        <w:tc>
          <w:tcPr>
            <w:tcW w:w="181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14:paraId="497F5BDD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404,97</w:t>
            </w:r>
          </w:p>
        </w:tc>
      </w:tr>
      <w:tr w:rsidR="007F2401" w:rsidRPr="00626D66" w14:paraId="660C898A" w14:textId="77777777" w:rsidTr="00030416">
        <w:trPr>
          <w:trHeight w:val="334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B03F8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plocha PP /podzemí/ v 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B44066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12,6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1753E9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87,4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FAD6BA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F2401" w:rsidRPr="00626D66" w14:paraId="41A0DC92" w14:textId="77777777" w:rsidTr="00030416">
        <w:trPr>
          <w:trHeight w:val="319"/>
        </w:trPr>
        <w:tc>
          <w:tcPr>
            <w:tcW w:w="2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56986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sz w:val="24"/>
                <w:szCs w:val="24"/>
              </w:rPr>
              <w:t>plocha celkem bez PP v 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ADECDC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 w:rsidRPr="00626D66"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18,</w:t>
            </w: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6469B9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67,0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38A1B8" w14:textId="77777777" w:rsidR="007F2401" w:rsidRPr="00626D66" w:rsidRDefault="007F2401" w:rsidP="000304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NewRoman"/>
                <w:b/>
                <w:bCs/>
                <w:i/>
                <w:iCs/>
                <w:sz w:val="24"/>
                <w:szCs w:val="24"/>
              </w:rPr>
              <w:t>14,7</w:t>
            </w:r>
          </w:p>
        </w:tc>
      </w:tr>
    </w:tbl>
    <w:p w14:paraId="533AA6E1" w14:textId="77777777" w:rsidR="007F2401" w:rsidRPr="001F10E7" w:rsidRDefault="007F2401" w:rsidP="007F24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408225A3" w14:textId="15D50A8F" w:rsidR="00637861" w:rsidRPr="001F10E7" w:rsidRDefault="00637861" w:rsidP="007F2401">
      <w:pPr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A4BC3" w14:textId="77777777" w:rsidR="00865FE9" w:rsidRDefault="00865FE9" w:rsidP="00BB203A">
      <w:pPr>
        <w:spacing w:after="0" w:line="240" w:lineRule="auto"/>
      </w:pPr>
      <w:r>
        <w:separator/>
      </w:r>
    </w:p>
  </w:endnote>
  <w:endnote w:type="continuationSeparator" w:id="0">
    <w:p w14:paraId="71339042" w14:textId="77777777" w:rsidR="00865FE9" w:rsidRDefault="00865FE9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7A24" w14:textId="77777777" w:rsidR="00865FE9" w:rsidRDefault="00865FE9" w:rsidP="00BB203A">
      <w:pPr>
        <w:spacing w:after="0" w:line="240" w:lineRule="auto"/>
      </w:pPr>
      <w:r>
        <w:separator/>
      </w:r>
    </w:p>
  </w:footnote>
  <w:footnote w:type="continuationSeparator" w:id="0">
    <w:p w14:paraId="4A6ABF95" w14:textId="77777777" w:rsidR="00865FE9" w:rsidRDefault="00865FE9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5721A"/>
    <w:rsid w:val="0016168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047A"/>
    <w:rsid w:val="00201515"/>
    <w:rsid w:val="00203E1A"/>
    <w:rsid w:val="002053E2"/>
    <w:rsid w:val="002202E1"/>
    <w:rsid w:val="00222468"/>
    <w:rsid w:val="00223C5D"/>
    <w:rsid w:val="00226441"/>
    <w:rsid w:val="002313EA"/>
    <w:rsid w:val="002506A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F2AA7"/>
    <w:rsid w:val="002F687B"/>
    <w:rsid w:val="00305B95"/>
    <w:rsid w:val="00305F84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B5499"/>
    <w:rsid w:val="003C2835"/>
    <w:rsid w:val="003C2C0E"/>
    <w:rsid w:val="003C3D37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263F8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E4546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E7E77"/>
    <w:rsid w:val="007F2401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2E30"/>
    <w:rsid w:val="0086383F"/>
    <w:rsid w:val="00865549"/>
    <w:rsid w:val="00865FE9"/>
    <w:rsid w:val="008673FC"/>
    <w:rsid w:val="00872D35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F7A75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52F21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129F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32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CB58-C8B2-4F8A-BA6B-C2DBC9CA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1925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Mužík</dc:creator>
  <cp:lastModifiedBy>ucetni_sbz</cp:lastModifiedBy>
  <cp:revision>3</cp:revision>
  <cp:lastPrinted>2017-10-31T14:47:00Z</cp:lastPrinted>
  <dcterms:created xsi:type="dcterms:W3CDTF">2024-01-05T11:18:00Z</dcterms:created>
  <dcterms:modified xsi:type="dcterms:W3CDTF">2024-01-05T11:21:00Z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