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F16455A"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4B47BB">
              <w:rPr>
                <w:rFonts w:ascii="Arial" w:eastAsia="Times New Roman" w:hAnsi="Arial" w:cs="Arial"/>
                <w:b/>
                <w:sz w:val="20"/>
                <w:szCs w:val="20"/>
                <w:lang w:eastAsia="cs-CZ"/>
              </w:rPr>
              <w:t>a platební pravidla pro rok 2024</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00650</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Statutární město Karlovy Vary</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Moskevská 2035/21</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00254657</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CZ00254657</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630037-0800424389/0800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Statutární město Karlovy Vary pověřený správce  RECOM REALITY s.r.o.</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T.G.Masaryka 883/53</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P-0000-086</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Husovo nám.2 - Husovka</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634,00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01.01.2024</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naši datovou schránku: gvfeqtx</w:t>
            </w:r>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27.12.2023</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1D2C"/>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4736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Hajkova</cp:lastModifiedBy>
  <cp:revision>2</cp:revision>
  <dcterms:created xsi:type="dcterms:W3CDTF">2023-12-27T09:59:00Z</dcterms:created>
  <dcterms:modified xsi:type="dcterms:W3CDTF">2023-12-27T09:59:00Z</dcterms:modified>
</cp:coreProperties>
</file>