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tabs>
          <w:tab w:val="left" w:pos="426" w:leader="none"/>
        </w:tabs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  <w:t>__________________________________</w:t>
      </w:r>
    </w:p>
    <w:p>
      <w:pPr>
        <w:pStyle w:val="Normal"/>
        <w:jc w:val="center"/>
        <w:rPr>
          <w:rFonts w:ascii="Gill Sans MT" w:hAnsi="Gill Sans MT"/>
          <w:b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</w:r>
    </w:p>
    <w:p>
      <w:pPr>
        <w:pStyle w:val="Normal"/>
        <w:jc w:val="center"/>
        <w:rPr>
          <w:rFonts w:ascii="Gill Sans MT" w:hAnsi="Gill Sans MT"/>
          <w:b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 xml:space="preserve">SMLOUVA </w:t>
      </w:r>
    </w:p>
    <w:p>
      <w:pPr>
        <w:pStyle w:val="Normal"/>
        <w:jc w:val="center"/>
        <w:rPr>
          <w:rFonts w:ascii="Gill Sans MT" w:hAnsi="Gill Sans MT"/>
          <w:b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O SDRUŽENÝCH SLUŽBÁCH DODÁVKY ELEKTŘINY ZE SÍTÍ NÍZKÉHO NAPĚTÍ</w:t>
      </w:r>
    </w:p>
    <w:p>
      <w:pPr>
        <w:pStyle w:val="Nzev"/>
        <w:tabs>
          <w:tab w:val="left" w:pos="426" w:leader="none"/>
        </w:tabs>
        <w:rPr>
          <w:rFonts w:ascii="Gill Sans MT" w:hAnsi="Gill Sans MT"/>
          <w:b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(kategorie MALOODBĚRATEL / </w:t>
      </w:r>
      <w:r>
        <w:rPr>
          <w:rFonts w:cs="Calibri" w:ascii="Gill Sans MT" w:hAnsi="Gill Sans MT" w:cstheme="minorHAnsi"/>
          <w:b/>
          <w:bCs/>
          <w:sz w:val="22"/>
          <w:szCs w:val="22"/>
        </w:rPr>
        <w:t>PODNIKATEL</w:t>
      </w:r>
      <w:r>
        <w:rPr>
          <w:rFonts w:ascii="Gill Sans MT" w:hAnsi="Gill Sans MT"/>
          <w:b/>
          <w:sz w:val="22"/>
          <w:szCs w:val="22"/>
        </w:rPr>
        <w:t>)</w:t>
      </w:r>
    </w:p>
    <w:p>
      <w:pPr>
        <w:pStyle w:val="Nzev"/>
        <w:tabs>
          <w:tab w:val="left" w:pos="426" w:leader="none"/>
        </w:tabs>
        <w:jc w:val="left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  <w:t>__________________________________</w:t>
      </w:r>
    </w:p>
    <w:p>
      <w:pPr>
        <w:pStyle w:val="Normal"/>
        <w:jc w:val="center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jc w:val="center"/>
        <w:rPr>
          <w:rFonts w:ascii="Gill Sans MT" w:hAnsi="Gill Sans MT"/>
          <w:b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uzavřená mezi</w:t>
      </w:r>
    </w:p>
    <w:p>
      <w:pPr>
        <w:pStyle w:val="Normal"/>
        <w:jc w:val="center"/>
        <w:rPr>
          <w:rFonts w:ascii="Gill Sans MT" w:hAnsi="Gill Sans MT"/>
          <w:b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</w:r>
    </w:p>
    <w:p>
      <w:pPr>
        <w:pStyle w:val="Normal"/>
        <w:jc w:val="center"/>
        <w:rPr>
          <w:rFonts w:ascii="Gill Sans MT" w:hAnsi="Gill Sans MT"/>
          <w:b/>
          <w:b/>
          <w:sz w:val="24"/>
          <w:szCs w:val="24"/>
        </w:rPr>
      </w:pPr>
      <w:r>
        <w:rPr>
          <w:rFonts w:ascii="Gill Sans MT" w:hAnsi="Gill Sans MT"/>
          <w:b/>
          <w:sz w:val="32"/>
          <w:szCs w:val="32"/>
        </w:rPr>
        <w:t>Pražská plynárenská, a. s.</w:t>
      </w:r>
    </w:p>
    <w:p>
      <w:pPr>
        <w:pStyle w:val="Normal"/>
        <w:jc w:val="center"/>
        <w:rPr>
          <w:rFonts w:ascii="Gill Sans MT" w:hAnsi="Gill Sans MT"/>
          <w:b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</w:r>
    </w:p>
    <w:p>
      <w:pPr>
        <w:pStyle w:val="Normal"/>
        <w:jc w:val="center"/>
        <w:rPr>
          <w:rFonts w:ascii="Gill Sans MT" w:hAnsi="Gill Sans MT"/>
          <w:b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</w:t>
      </w:r>
    </w:p>
    <w:p>
      <w:pPr>
        <w:pStyle w:val="Normal"/>
        <w:rPr>
          <w:rFonts w:ascii="Gill Sans MT" w:hAnsi="Gill Sans MT"/>
          <w:b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</w:r>
    </w:p>
    <w:p>
      <w:pPr>
        <w:pStyle w:val="Normal"/>
        <w:jc w:val="center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32"/>
          <w:szCs w:val="32"/>
        </w:rPr>
        <w:t>1. mateřská škola, Nová Paka, Husitská 217</w:t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b/>
          <w:b/>
          <w:sz w:val="52"/>
        </w:rPr>
      </w:pPr>
      <w:r>
        <w:rPr>
          <w:rFonts w:ascii="Gill Sans MT" w:hAnsi="Gill Sans MT"/>
          <w:b/>
          <w:sz w:val="52"/>
        </w:rPr>
      </w:r>
    </w:p>
    <w:p>
      <w:pPr>
        <w:pStyle w:val="Normal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Jejíž obsah tvoří: </w:t>
        <w:tab/>
      </w:r>
    </w:p>
    <w:p>
      <w:pPr>
        <w:pStyle w:val="Normal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1. Formulářová část smlouvy a její dále uvedené nedílné přílohy</w:t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2. Příloha A – Specifikace Odběrných míst Zákazníka</w:t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3. Příloha B – Cena za dodávku elektřiny</w:t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4. Příloha C – Obchodní podmínky</w:t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5. Příloha D – Ceník nadstandardních služeb</w:t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</w:r>
    </w:p>
    <w:p>
      <w:pPr>
        <w:pStyle w:val="Nzev"/>
        <w:tabs>
          <w:tab w:val="left" w:pos="426" w:leader="none"/>
        </w:tabs>
        <w:ind w:left="-426" w:right="-426" w:hanging="0"/>
        <w:rPr>
          <w:rFonts w:ascii="Gill Sans MT" w:hAnsi="Gill Sans MT"/>
          <w:b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Smlouva o sdružených službách dodávky elektřiny</w:t>
      </w:r>
      <w:r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b/>
          <w:sz w:val="28"/>
          <w:szCs w:val="28"/>
        </w:rPr>
        <w:t>ze sítí nízkého napětí</w:t>
      </w:r>
    </w:p>
    <w:p>
      <w:pPr>
        <w:pStyle w:val="Nzev"/>
        <w:ind w:left="-426" w:right="-426" w:hanging="0"/>
        <w:jc w:val="both"/>
        <w:rPr>
          <w:rFonts w:ascii="Gill Sans MT" w:hAnsi="Gill Sans MT"/>
        </w:rPr>
      </w:pPr>
      <w:r>
        <w:rPr>
          <w:rFonts w:ascii="Gill Sans MT" w:hAnsi="Gill Sans MT"/>
        </w:rPr>
      </w:r>
    </w:p>
    <w:p>
      <w:pPr>
        <w:pStyle w:val="Nzev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Níže uvedené smluvní strany uzavírají podle ustanovení § 50 odst. 2 zákona č. 458/2000 Sb., energetického zákona, ve znění pozdějších právních předpisů (dále jen „</w:t>
      </w:r>
      <w:r>
        <w:rPr>
          <w:rFonts w:ascii="Gill Sans MT" w:hAnsi="Gill Sans MT"/>
          <w:b/>
          <w:sz w:val="22"/>
          <w:szCs w:val="22"/>
        </w:rPr>
        <w:t>energetický</w:t>
      </w:r>
      <w:r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b/>
          <w:sz w:val="22"/>
          <w:szCs w:val="22"/>
        </w:rPr>
        <w:t>zákon“</w:t>
      </w:r>
      <w:r>
        <w:rPr>
          <w:rFonts w:ascii="Gill Sans MT" w:hAnsi="Gill Sans MT"/>
          <w:sz w:val="22"/>
          <w:szCs w:val="22"/>
        </w:rPr>
        <w:t>) a podle ustanovení zákona č. 89/2012 Sb., občanského zákoníku, ve znění pozdějších právních předpisů (dále jen „</w:t>
      </w:r>
      <w:r>
        <w:rPr>
          <w:rFonts w:ascii="Gill Sans MT" w:hAnsi="Gill Sans MT"/>
          <w:b/>
          <w:sz w:val="22"/>
          <w:szCs w:val="22"/>
        </w:rPr>
        <w:t>občanský zákoník“</w:t>
      </w:r>
      <w:r>
        <w:rPr>
          <w:rFonts w:ascii="Gill Sans MT" w:hAnsi="Gill Sans MT"/>
          <w:sz w:val="22"/>
          <w:szCs w:val="22"/>
        </w:rPr>
        <w:t>), tuto smlouvu o sdružených službách dodávky elektřiny ze sítí nízkého napětí (dále jen „</w:t>
      </w:r>
      <w:r>
        <w:rPr>
          <w:rFonts w:ascii="Gill Sans MT" w:hAnsi="Gill Sans MT"/>
          <w:b/>
          <w:sz w:val="22"/>
          <w:szCs w:val="22"/>
        </w:rPr>
        <w:t>Smlouva</w:t>
      </w:r>
      <w:r>
        <w:rPr>
          <w:rFonts w:ascii="Gill Sans MT" w:hAnsi="Gill Sans MT"/>
          <w:sz w:val="22"/>
          <w:szCs w:val="22"/>
        </w:rPr>
        <w:t>“). Smlouva je uzavírána mezi:</w:t>
      </w:r>
    </w:p>
    <w:p>
      <w:pPr>
        <w:pStyle w:val="Nzev"/>
        <w:ind w:left="-426" w:right="-426" w:hanging="0"/>
        <w:jc w:val="lef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zev"/>
        <w:ind w:left="-426" w:right="-426" w:hanging="0"/>
        <w:jc w:val="left"/>
        <w:rPr>
          <w:rFonts w:ascii="Gill Sans MT" w:hAnsi="Gill Sans MT"/>
          <w:b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Pražská plynárenská, a. s.</w:t>
      </w:r>
    </w:p>
    <w:p>
      <w:pPr>
        <w:pStyle w:val="Nzev"/>
        <w:ind w:left="-426" w:right="-426" w:hanging="0"/>
        <w:jc w:val="lef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Se sídlem: Praha 1 – Nové Město, Národní 37, PSČ 110 00</w:t>
        <w:tab/>
        <w:tab/>
        <w:tab/>
        <w:tab/>
        <w:t xml:space="preserve"> </w:t>
      </w:r>
    </w:p>
    <w:p>
      <w:pPr>
        <w:pStyle w:val="Nzev"/>
        <w:ind w:left="-426" w:right="-426" w:hanging="0"/>
        <w:jc w:val="lef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IČO: 60193492, DIČ: CZ60193492</w:t>
      </w:r>
    </w:p>
    <w:p>
      <w:pPr>
        <w:pStyle w:val="Normal"/>
        <w:ind w:right="-426" w:hanging="426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Zastoupená: Pavel Dubský, na základě plné moci ze dne 1. 3. 2017</w:t>
      </w:r>
    </w:p>
    <w:p>
      <w:pPr>
        <w:pStyle w:val="Normal"/>
        <w:ind w:right="-426" w:hanging="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>
      <w:pPr>
        <w:pStyle w:val="Normal"/>
        <w:ind w:left="-426" w:right="-426" w:hanging="0"/>
        <w:rPr/>
      </w:pPr>
      <w:r>
        <w:rPr>
          <w:rFonts w:ascii="Gill Sans MT" w:hAnsi="Gill Sans MT"/>
          <w:sz w:val="22"/>
          <w:szCs w:val="22"/>
        </w:rPr>
        <w:t xml:space="preserve">Bankovní spojení:  </w:t>
      </w:r>
      <w:r>
        <w:rPr>
          <w:rFonts w:ascii="Gill Sans MT" w:hAnsi="Gill Sans MT"/>
          <w:sz w:val="22"/>
          <w:szCs w:val="22"/>
        </w:rPr>
        <w:t>xxxxxxxxxxxxxxxxxxxxxxxxxxxx</w:t>
      </w:r>
    </w:p>
    <w:p>
      <w:pPr>
        <w:pStyle w:val="Normal"/>
        <w:ind w:left="-426" w:right="-426" w:hanging="0"/>
        <w:rPr/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>
        <w:rPr>
          <w:rFonts w:ascii="Gill Sans MT" w:hAnsi="Gill Sans MT"/>
          <w:color w:val="000000"/>
          <w:sz w:val="22"/>
          <w:szCs w:val="22"/>
        </w:rPr>
        <w:t>xxxxxxxxxx</w:t>
      </w:r>
      <w:r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color w:val="000000"/>
          <w:sz w:val="22"/>
          <w:szCs w:val="22"/>
        </w:rPr>
        <w:t xml:space="preserve"> tel.: </w:t>
      </w:r>
      <w:r>
        <w:rPr>
          <w:rFonts w:ascii="Gill Sans MT" w:hAnsi="Gill Sans MT"/>
          <w:color w:val="000000"/>
          <w:sz w:val="22"/>
          <w:szCs w:val="22"/>
        </w:rPr>
        <w:t>xxxxxxxxx</w:t>
      </w:r>
      <w:r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color w:val="000000"/>
          <w:sz w:val="22"/>
          <w:szCs w:val="22"/>
        </w:rPr>
        <w:t xml:space="preserve">  email: </w:t>
      </w:r>
      <w:hyperlink r:id="rId2">
        <w:r>
          <w:rPr>
            <w:rStyle w:val="Internetovodkaz"/>
            <w:rFonts w:ascii="Gill Sans MT" w:hAnsi="Gill Sans MT"/>
            <w:color w:val="000000"/>
            <w:sz w:val="22"/>
            <w:szCs w:val="22"/>
          </w:rPr>
          <w:t>x</w:t>
        </w:r>
      </w:hyperlink>
      <w:r>
        <w:rPr>
          <w:rFonts w:ascii="Gill Sans MT" w:hAnsi="Gill Sans MT"/>
          <w:color w:val="000000"/>
          <w:sz w:val="22"/>
          <w:szCs w:val="22"/>
        </w:rPr>
        <w:t>xxxxxxxxx</w:t>
      </w:r>
      <w:r>
        <w:rPr>
          <w:rFonts w:ascii="Gill Sans MT" w:hAnsi="Gill Sans MT"/>
          <w:sz w:val="22"/>
          <w:szCs w:val="22"/>
        </w:rPr>
        <w:t xml:space="preserve"> </w:t>
      </w:r>
    </w:p>
    <w:p>
      <w:pPr>
        <w:pStyle w:val="Normal"/>
        <w:ind w:left="-426" w:right="-426" w:hanging="0"/>
        <w:rPr>
          <w:rFonts w:ascii="Gill Sans MT" w:hAnsi="Gill Sans MT"/>
          <w:b/>
          <w:b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(dále jen</w:t>
      </w:r>
      <w:r>
        <w:rPr>
          <w:rFonts w:ascii="Gill Sans MT" w:hAnsi="Gill Sans MT"/>
          <w:b/>
          <w:bCs/>
          <w:sz w:val="22"/>
          <w:szCs w:val="22"/>
        </w:rPr>
        <w:t xml:space="preserve"> „Obchodník“</w:t>
      </w:r>
      <w:r>
        <w:rPr>
          <w:rFonts w:ascii="Gill Sans MT" w:hAnsi="Gill Sans MT"/>
          <w:bCs/>
          <w:sz w:val="22"/>
          <w:szCs w:val="22"/>
        </w:rPr>
        <w:t>)</w:t>
      </w:r>
    </w:p>
    <w:p>
      <w:pPr>
        <w:pStyle w:val="Normal"/>
        <w:ind w:left="-426" w:right="-426" w:hanging="0"/>
        <w:rPr>
          <w:rFonts w:ascii="Gill Sans MT" w:hAnsi="Gill Sans MT"/>
          <w:b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</w:r>
    </w:p>
    <w:p>
      <w:pPr>
        <w:pStyle w:val="Normal"/>
        <w:ind w:left="-426" w:right="-426" w:hanging="0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</w:t>
      </w:r>
    </w:p>
    <w:p>
      <w:pPr>
        <w:pStyle w:val="Normal"/>
        <w:ind w:left="-426" w:right="-426" w:hanging="0"/>
        <w:rPr>
          <w:rFonts w:ascii="Gill Sans MT" w:hAnsi="Gill Sans MT"/>
          <w:b/>
          <w:b/>
          <w:sz w:val="22"/>
          <w:szCs w:val="22"/>
          <w:highlight w:val="yellow"/>
        </w:rPr>
      </w:pPr>
      <w:r>
        <w:rPr>
          <w:rFonts w:ascii="Gill Sans MT" w:hAnsi="Gill Sans MT"/>
          <w:b/>
          <w:sz w:val="22"/>
          <w:szCs w:val="22"/>
          <w:highlight w:val="yellow"/>
        </w:rPr>
      </w:r>
    </w:p>
    <w:p>
      <w:pPr>
        <w:pStyle w:val="Normal"/>
        <w:ind w:left="-426" w:right="-426" w:hanging="0"/>
        <w:rPr>
          <w:rFonts w:ascii="Gill Sans MT" w:hAnsi="Gill Sans MT"/>
          <w:b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1. mateřská škola, Nová Paka, Husitská 217</w:t>
      </w:r>
    </w:p>
    <w:p>
      <w:pPr>
        <w:pStyle w:val="Normal"/>
        <w:ind w:left="-426" w:right="-426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Se sídlem: Husitská 217, 509 01 Nová Paka</w:t>
      </w:r>
    </w:p>
    <w:p>
      <w:pPr>
        <w:pStyle w:val="Normal"/>
        <w:ind w:left="-426" w:right="-426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IČO: </w:t>
      </w:r>
      <w:r>
        <w:rPr>
          <w:rFonts w:ascii="Gill Sans MT" w:hAnsi="Gill Sans MT"/>
          <w:sz w:val="22"/>
          <w:szCs w:val="22"/>
        </w:rPr>
        <w:t>75017547, D</w:t>
      </w:r>
      <w:r>
        <w:rPr>
          <w:rFonts w:ascii="Gill Sans MT" w:hAnsi="Gill Sans MT"/>
          <w:color w:val="000000"/>
          <w:sz w:val="22"/>
          <w:szCs w:val="22"/>
        </w:rPr>
        <w:t>IČ: </w:t>
      </w:r>
    </w:p>
    <w:p>
      <w:pPr>
        <w:pStyle w:val="Normal"/>
        <w:ind w:left="-426" w:right="-426" w:hanging="0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Zastoupená: Michaela Pospíšilová,DiS., řditelka</w:t>
      </w:r>
    </w:p>
    <w:p>
      <w:pPr>
        <w:pStyle w:val="Normal"/>
        <w:ind w:left="-426" w:right="-426" w:hanging="0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Společnost zapsána v obchodním rejstříku, vedeném Krajským soudem v Hradci Králové, oddíl Pr, vložka 775</w:t>
      </w:r>
    </w:p>
    <w:p>
      <w:pPr>
        <w:pStyle w:val="Nzev"/>
        <w:ind w:left="-426" w:right="-426" w:hanging="0"/>
        <w:jc w:val="left"/>
        <w:rPr>
          <w:rStyle w:val="Thtx"/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Bankovní spojení:  </w:t>
      </w:r>
      <w:r>
        <w:rPr>
          <w:rStyle w:val="Thtx"/>
          <w:rFonts w:ascii="Gill Sans MT" w:hAnsi="Gill Sans MT"/>
          <w:sz w:val="22"/>
          <w:szCs w:val="22"/>
        </w:rPr>
        <w:t>1163772309/0800</w:t>
      </w:r>
    </w:p>
    <w:p>
      <w:pPr>
        <w:pStyle w:val="Nzev"/>
        <w:ind w:left="-426" w:right="-426" w:hanging="0"/>
        <w:jc w:val="left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Adresa k zasílání fakturace a veškerých sdělení určených Zákazníkovi: </w:t>
      </w:r>
      <w:r>
        <w:rPr>
          <w:rFonts w:ascii="Gill Sans MT" w:hAnsi="Gill Sans MT"/>
          <w:sz w:val="22"/>
          <w:szCs w:val="22"/>
        </w:rPr>
        <w:t>Husitská 217, 509 01 Nová Paka</w:t>
      </w:r>
    </w:p>
    <w:p>
      <w:pPr>
        <w:pStyle w:val="Normal"/>
        <w:ind w:left="-426" w:right="-426" w:hanging="0"/>
        <w:rPr/>
      </w:pPr>
      <w:r>
        <w:rPr>
          <w:rFonts w:ascii="Gill Sans MT" w:hAnsi="Gill Sans MT"/>
          <w:color w:val="000000"/>
          <w:sz w:val="22"/>
          <w:szCs w:val="22"/>
        </w:rPr>
        <w:t>Kontaktní osoba: Michaela Pospíšilová,DiS</w:t>
      </w:r>
      <w:r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color w:val="000000"/>
          <w:sz w:val="22"/>
          <w:szCs w:val="22"/>
        </w:rPr>
        <w:t xml:space="preserve"> tel.: </w:t>
      </w:r>
      <w:r>
        <w:rPr>
          <w:rFonts w:ascii="Gill Sans MT" w:hAnsi="Gill Sans MT"/>
          <w:sz w:val="22"/>
          <w:szCs w:val="22"/>
        </w:rPr>
        <w:t>493 722 808,</w:t>
      </w:r>
      <w:r>
        <w:rPr>
          <w:rFonts w:ascii="Gill Sans MT" w:hAnsi="Gill Sans MT"/>
          <w:color w:val="000000"/>
          <w:sz w:val="22"/>
          <w:szCs w:val="22"/>
        </w:rPr>
        <w:t xml:space="preserve"> email: </w:t>
      </w:r>
      <w:hyperlink r:id="rId3">
        <w:r>
          <w:rPr>
            <w:rStyle w:val="Internetovodkaz"/>
            <w:rFonts w:ascii="Gill Sans MT" w:hAnsi="Gill Sans MT"/>
            <w:sz w:val="22"/>
            <w:szCs w:val="22"/>
          </w:rPr>
          <w:t>mat.skolahusitska@seznam.cz</w:t>
        </w:r>
      </w:hyperlink>
      <w:r>
        <w:rPr>
          <w:rFonts w:ascii="Gill Sans MT" w:hAnsi="Gill Sans MT"/>
          <w:sz w:val="22"/>
          <w:szCs w:val="22"/>
        </w:rPr>
        <w:t xml:space="preserve"> </w:t>
      </w:r>
    </w:p>
    <w:p>
      <w:pPr>
        <w:pStyle w:val="Normal"/>
        <w:ind w:left="-426" w:right="-426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Číslo zákazníka: 150389649</w:t>
      </w:r>
    </w:p>
    <w:p>
      <w:pPr>
        <w:pStyle w:val="Normal"/>
        <w:ind w:left="-426" w:right="-426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(dále jen</w:t>
      </w:r>
      <w:r>
        <w:rPr>
          <w:rFonts w:ascii="Gill Sans MT" w:hAnsi="Gill Sans MT"/>
          <w:b/>
          <w:sz w:val="22"/>
          <w:szCs w:val="22"/>
        </w:rPr>
        <w:t xml:space="preserve"> „Zákazník“</w:t>
      </w:r>
      <w:r>
        <w:rPr>
          <w:rFonts w:ascii="Gill Sans MT" w:hAnsi="Gill Sans MT"/>
          <w:sz w:val="22"/>
          <w:szCs w:val="22"/>
        </w:rPr>
        <w:t>)</w:t>
      </w:r>
    </w:p>
    <w:p>
      <w:pPr>
        <w:pStyle w:val="Normal"/>
        <w:ind w:left="-426" w:right="-426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</w:t>
      </w:r>
    </w:p>
    <w:p>
      <w:pPr>
        <w:pStyle w:val="Normal"/>
        <w:ind w:left="-426" w:right="-426" w:hanging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(Obchodník a Zákazník dále společně též jen „</w:t>
      </w:r>
      <w:r>
        <w:rPr>
          <w:rFonts w:ascii="Gill Sans MT" w:hAnsi="Gill Sans MT"/>
          <w:b/>
          <w:sz w:val="22"/>
          <w:szCs w:val="22"/>
        </w:rPr>
        <w:t>Smluvní strany</w:t>
      </w:r>
      <w:r>
        <w:rPr>
          <w:rFonts w:ascii="Gill Sans MT" w:hAnsi="Gill Sans MT"/>
          <w:sz w:val="22"/>
          <w:szCs w:val="22"/>
        </w:rPr>
        <w:t>“)</w:t>
      </w:r>
    </w:p>
    <w:p>
      <w:pPr>
        <w:pStyle w:val="NoSpacing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Předmětem této Smlouvy je sdružená služba dodávky elektřiny ze sítí nízkého napětí upravená v souladu s energetickým zákonem.</w:t>
      </w:r>
    </w:p>
    <w:p>
      <w:pPr>
        <w:pStyle w:val="NoSpacing"/>
        <w:rPr/>
      </w:pPr>
      <w:r>
        <w:rPr/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Obchodník se Smlouvou zavazuje dodávat po dobu, na kterou je Smlouva uzavřena Zákazníkovi elektřinu, zajistit její přistavení k odběru v Odběrných místech Zákazníka a zajistit vlastním jménem a na vlastní účet distribuci elektřiny a Zákazník se zavazuje tuto elektřinu ve sjednaném množství, včetně souvisejících služeb odebrat a zaplatit za to Obchodníkovi dohodnutou cenu. Práva a povinnosti Smluvních stran se řídí obecně závaznými právními předpisy, zejména ustanovením § 50 odstavce 2 energetického zákona a touto Smlouvou zahrnující její formulářové znění a její nedílné přílohy – Příloha A, Příloha B, Příloha C a Příloha D. V případě rozporu Formulářové části smlouvy, její Přílohy A a Přílohy B na straně jedné a Přílohy C (Obchodní podmínky) a Přílohy D (Ceník nadstandardních služeb) na straně druhé, mají ustanovení obsažená ve Formulářové části smlouvy, Příloze A a Příloze B přednost před ustanoveními Přílohy C a Přílohy D.</w:t>
      </w:r>
    </w:p>
    <w:p>
      <w:pPr>
        <w:pStyle w:val="NoSpacing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Zákazník prohlašuje, že je srozuměn s tím, že je podstatná část obsahu této Smlouvy upravena v Obchodních podmínkách a výslovně přijímá ustanovení čl. II. (cena), čl. III. (fakturační a platební podmínky), čl. IV. (dodací podmínky), čl. V. (vznik a změna Smlouvy, doba platnosti Smlouvy), čl. VI. (omezení, přerušení nebo ukončení dodávky), čl. VII. (změna dodavatele a ukončení Smlouvy), čl. VIII. (změna ceny a změna OP), čl. IX. (sankce, včetně smluvních pokut), čl. XIII. (osobní údaje) a čl. XIV. (ostatní ujednání Obchodních podmínek a dále v Ceníku nadstandardních služeb Obchodníka, ve kterém jsou uvedeny ceny nákladů a poplatků za služby či jiná plnění, která jsou dle Smlouvy poskytována nad rámec běžných služeb a plnění, s jejichž obsahem byl před uzavřením Smlouvy dostatečně seznámen, byl mu vysvětlen a souhlasí s ním. Zákazník dále prohlašuje, že byl Obchodníkem v dostatečné míře srozuměn a vysvětlena mu všechna ustanovení Smlouvy a jejích nedílných příloh, především pak způsob stanovení celkové ceny za elektřinu a související služby jím hrazené na základě této Smlouvy.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Smluvní strany si sjednávají splatnost ceny odchylně od občanského zákoníku, která se počítá ode dne vystavení daňového dokladu ve lhůtě určené níže.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color w:val="1F497D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Nestanoví-li dohoda Smluvních stran jinak, Smlouva se uzavírá na dobu </w:t>
      </w:r>
      <w:r>
        <w:rPr>
          <w:rFonts w:ascii="Gill Sans MT" w:hAnsi="Gill Sans MT"/>
          <w:b/>
          <w:sz w:val="22"/>
          <w:szCs w:val="22"/>
        </w:rPr>
        <w:t xml:space="preserve">určitou od 1. 7. 2017 do 31. 12. 2018 </w:t>
      </w:r>
      <w:r>
        <w:rPr>
          <w:rFonts w:ascii="Gill Sans MT" w:hAnsi="Gill Sans MT"/>
          <w:sz w:val="22"/>
          <w:szCs w:val="22"/>
        </w:rPr>
        <w:t>bez možnosti automatické prolongace</w:t>
      </w:r>
      <w:r>
        <w:rPr>
          <w:rFonts w:ascii="Gill Sans MT" w:hAnsi="Gill Sans MT"/>
          <w:b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s předpokládaným termínem dodávek zahájených </w:t>
        <w:br/>
        <w:t>od 1. 7. 2017</w:t>
      </w:r>
    </w:p>
    <w:p>
      <w:pPr>
        <w:pStyle w:val="Normal"/>
        <w:ind w:lef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Nestanoví-li dohoda Smluvních stran jinak, Obchodník není povinen zahájit dodávku do Odběrného místa Zákazníka dle této Smlouvy v termínu dle předchozí věty, nebude-li </w:t>
      </w:r>
    </w:p>
    <w:p>
      <w:pPr>
        <w:pStyle w:val="ListParagraph"/>
        <w:numPr>
          <w:ilvl w:val="0"/>
          <w:numId w:val="1"/>
        </w:numPr>
        <w:ind w:left="-6" w:right="-426" w:hanging="4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Odběrné místo Zákazníka připojeno k distribuční soustavě,</w:t>
      </w:r>
    </w:p>
    <w:p>
      <w:pPr>
        <w:pStyle w:val="ListParagraph"/>
        <w:numPr>
          <w:ilvl w:val="0"/>
          <w:numId w:val="1"/>
        </w:numPr>
        <w:ind w:left="-6" w:right="-426" w:hanging="4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účinná smlouva o připojení Odběrného místa Zákazníka k distribuční soustavě s jejím provozovatelem,</w:t>
      </w:r>
    </w:p>
    <w:p>
      <w:pPr>
        <w:pStyle w:val="ListParagraph"/>
        <w:numPr>
          <w:ilvl w:val="0"/>
          <w:numId w:val="1"/>
        </w:numPr>
        <w:ind w:left="-6" w:right="-426" w:hanging="4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řádně ukončen smluvní vztah o dodávkách elektřiny do Odběrného místa Zákazníka s Obchodníkovi předcházejícím dodavatelem (v případě změny dodavatele elektřiny) nebo</w:t>
      </w:r>
    </w:p>
    <w:p>
      <w:pPr>
        <w:pStyle w:val="ListParagraph"/>
        <w:numPr>
          <w:ilvl w:val="0"/>
          <w:numId w:val="1"/>
        </w:numPr>
        <w:ind w:left="-6" w:right="-426" w:hanging="4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řádně ukončen proces změny dodavatele elektřiny do Odběrného místa Zákazníka ve smyslu obecně závazného právního předpisu, tj. v systému OTE, a.s. nebude coby dodavatel do Odběrného místa Zákazníka uveden Obchodník.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Ujednání o </w:t>
      </w:r>
      <w:r>
        <w:rPr>
          <w:rFonts w:ascii="Gill Sans MT" w:hAnsi="Gill Sans MT"/>
          <w:b/>
          <w:sz w:val="22"/>
          <w:szCs w:val="22"/>
          <w:u w:val="single"/>
        </w:rPr>
        <w:t xml:space="preserve">celkovém množství elektřiny </w:t>
      </w:r>
      <w:r>
        <w:rPr>
          <w:rFonts w:ascii="Gill Sans MT" w:hAnsi="Gill Sans MT"/>
          <w:sz w:val="22"/>
          <w:szCs w:val="22"/>
          <w:u w:val="single"/>
        </w:rPr>
        <w:t>dodávané dle této Smlouvy</w:t>
      </w:r>
      <w:r>
        <w:rPr>
          <w:rFonts w:ascii="Gill Sans MT" w:hAnsi="Gill Sans MT"/>
          <w:sz w:val="22"/>
          <w:szCs w:val="22"/>
        </w:rPr>
        <w:t>, včetně</w:t>
      </w:r>
      <w:r>
        <w:rPr>
          <w:rFonts w:ascii="Gill Sans MT" w:hAnsi="Gill Sans MT"/>
          <w:b/>
          <w:sz w:val="22"/>
          <w:szCs w:val="22"/>
          <w:u w:val="single"/>
        </w:rPr>
        <w:t xml:space="preserve"> </w:t>
      </w:r>
      <w:r>
        <w:rPr>
          <w:rFonts w:ascii="Gill Sans MT" w:hAnsi="Gill Sans MT"/>
          <w:b/>
          <w:sz w:val="22"/>
          <w:szCs w:val="22"/>
        </w:rPr>
        <w:t>specifikace Odběrných míst Zákazníka</w:t>
      </w:r>
      <w:r>
        <w:rPr>
          <w:rFonts w:ascii="Gill Sans MT" w:hAnsi="Gill Sans MT"/>
          <w:sz w:val="22"/>
          <w:szCs w:val="22"/>
        </w:rPr>
        <w:t xml:space="preserve"> je obsažena v </w:t>
      </w:r>
      <w:r>
        <w:rPr>
          <w:rFonts w:ascii="Gill Sans MT" w:hAnsi="Gill Sans MT"/>
          <w:sz w:val="22"/>
          <w:szCs w:val="22"/>
          <w:u w:val="single"/>
        </w:rPr>
        <w:t>Příloze A</w:t>
      </w:r>
      <w:r>
        <w:rPr>
          <w:rFonts w:ascii="Gill Sans MT" w:hAnsi="Gill Sans MT"/>
          <w:sz w:val="22"/>
          <w:szCs w:val="22"/>
        </w:rPr>
        <w:t xml:space="preserve"> Smlouvy.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Cena za dodávku elektřiny dle této Smlouvy </w:t>
      </w:r>
      <w:r>
        <w:rPr>
          <w:rFonts w:ascii="Gill Sans MT" w:hAnsi="Gill Sans MT"/>
          <w:sz w:val="22"/>
          <w:szCs w:val="22"/>
        </w:rPr>
        <w:t>je obsažena v </w:t>
      </w:r>
      <w:r>
        <w:rPr>
          <w:rFonts w:ascii="Gill Sans MT" w:hAnsi="Gill Sans MT"/>
          <w:sz w:val="22"/>
          <w:szCs w:val="22"/>
          <w:u w:val="single"/>
        </w:rPr>
        <w:t>Příloze B</w:t>
      </w:r>
      <w:r>
        <w:rPr>
          <w:rFonts w:ascii="Gill Sans MT" w:hAnsi="Gill Sans MT"/>
          <w:sz w:val="22"/>
          <w:szCs w:val="22"/>
        </w:rPr>
        <w:t xml:space="preserve"> této Smlouvy.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Smluvní strany sjednávají, že Zákazník je povinen hradit </w:t>
      </w:r>
      <w:r>
        <w:rPr>
          <w:rFonts w:ascii="Gill Sans MT" w:hAnsi="Gill Sans MT"/>
          <w:b/>
          <w:sz w:val="22"/>
          <w:szCs w:val="22"/>
          <w:u w:val="single"/>
        </w:rPr>
        <w:t>zálohy</w:t>
      </w:r>
      <w:r>
        <w:rPr>
          <w:rFonts w:ascii="Gill Sans MT" w:hAnsi="Gill Sans MT"/>
          <w:sz w:val="22"/>
          <w:szCs w:val="22"/>
        </w:rPr>
        <w:t xml:space="preserve"> na cenu dodávky ve výši stanovené v Oznámení o výši záloh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Splatnost záloh</w:t>
      </w:r>
      <w:r>
        <w:rPr>
          <w:rFonts w:ascii="Gill Sans MT" w:hAnsi="Gill Sans MT"/>
          <w:sz w:val="22"/>
          <w:szCs w:val="22"/>
          <w:u w:val="single"/>
        </w:rPr>
        <w:t xml:space="preserve"> </w:t>
      </w:r>
      <w:bookmarkStart w:id="0" w:name="_GoBack"/>
      <w:bookmarkEnd w:id="0"/>
      <w:r>
        <w:rPr>
          <w:rFonts w:ascii="Gill Sans MT" w:hAnsi="Gill Sans MT"/>
          <w:sz w:val="22"/>
          <w:szCs w:val="22"/>
        </w:rPr>
        <w:t>na cenu se sjednává jako měsíční tak, že každá záloha je splatná k 20. dni kalendářního měsíce.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Smluvní strany sjednávají </w:t>
      </w:r>
      <w:r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>
        <w:rPr>
          <w:rFonts w:ascii="Gill Sans MT" w:hAnsi="Gill Sans MT"/>
          <w:sz w:val="22"/>
          <w:szCs w:val="22"/>
          <w:u w:val="single"/>
        </w:rPr>
        <w:t xml:space="preserve"> </w:t>
      </w:r>
      <w:r>
        <w:rPr>
          <w:rFonts w:ascii="Gill Sans MT" w:hAnsi="Gill Sans MT"/>
          <w:sz w:val="22"/>
          <w:szCs w:val="22"/>
        </w:rPr>
        <w:t>ve lhůtě 21 dnů.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  <w:u w:val="single"/>
        </w:rPr>
      </w:pPr>
      <w:r>
        <w:rPr>
          <w:rFonts w:ascii="Gill Sans MT" w:hAnsi="Gill Sans MT"/>
          <w:sz w:val="22"/>
          <w:szCs w:val="22"/>
          <w:u w:val="single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Smluvní strany sjednávají, že veškeré </w:t>
      </w:r>
      <w:r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>
        <w:rPr>
          <w:rFonts w:ascii="Gill Sans MT" w:hAnsi="Gill Sans MT"/>
          <w:sz w:val="22"/>
          <w:szCs w:val="22"/>
        </w:rPr>
        <w:t xml:space="preserve"> Zákazníkem Obchodníkovi budou prováděny bezhotovostní formou převodu na bankovní účet.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Obchodník bude vystavovat Zákazníkovi souhrnnou fakturu i předpis zálohových plateb za všechna jeho odběrná místa s přiloženým vyúčtováním jednotlivých odběrných míst.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Zákazník může požadovat a Obchodník se pro tento případ zavazuje zasílat veškeré vyúčtování a fakturaci formou elektronických prostředků.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V případech zrušení odběrného místa, zejména z důvodu převodu vlastnických práv k odběrnému místu, odstranění odběrného místa, demolice, zničení živelnou pohromou, je Zákazník oprávněn ukončit smluvní vztah s Obchodníkem k danému odběrnému místu nejpozději do 30 dnů ode dne oznámení Obchodníkovi </w:t>
        <w:br/>
        <w:t xml:space="preserve">o zrušení odběrného místa, a to </w:t>
      </w:r>
      <w:r>
        <w:rPr>
          <w:rFonts w:ascii="Gill Sans MT" w:hAnsi="Gill Sans MT"/>
          <w:b/>
          <w:bCs/>
          <w:sz w:val="22"/>
          <w:szCs w:val="22"/>
        </w:rPr>
        <w:t>bez nároku na finanční kompenzaci ze strany Obchodníka</w:t>
      </w:r>
      <w:r>
        <w:rPr>
          <w:rFonts w:ascii="Gill Sans MT" w:hAnsi="Gill Sans MT"/>
          <w:sz w:val="22"/>
          <w:szCs w:val="22"/>
        </w:rPr>
        <w:t>.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Z důvodu provozních </w:t>
      </w:r>
      <w:r>
        <w:rPr>
          <w:rFonts w:ascii="Gill Sans MT" w:hAnsi="Gill Sans MT"/>
          <w:b/>
          <w:bCs/>
          <w:sz w:val="22"/>
          <w:szCs w:val="22"/>
        </w:rPr>
        <w:t>potřeb se může v průběhu smluvního období počet měřících nebo odběrných míst Zákazníka změnit</w:t>
      </w:r>
      <w:r>
        <w:rPr>
          <w:rFonts w:ascii="Gill Sans MT" w:hAnsi="Gill Sans MT"/>
          <w:sz w:val="22"/>
          <w:szCs w:val="22"/>
        </w:rPr>
        <w:t>, a to jak zrušením stávajících, tak zřízením nových odběrných míst. Obchodník bude i pro tyto případy garantovat nabídnuté jednotkové ceny a neprodleně po oznámení o zřízení nového odběrného místa zahájí dodávku sdružených služeb za podmínek sjednaných v rámci předmětné veřejné zakázky.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Obchodník poskytne po skončení období plnění této veřejné zakázky Zákazníkovi na základě jeho požadavku soubor dat v elektronické podobě, obsahující kompletní údaje o realizované dodávce elektřiny v rozsahu fakturačních dokladů za celé období dodávky. 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Zákazník </w:t>
      </w:r>
      <w:r>
        <w:rPr>
          <w:rFonts w:ascii="Gill Sans MT" w:hAnsi="Gill Sans MT"/>
          <w:b/>
          <w:bCs/>
          <w:sz w:val="22"/>
          <w:szCs w:val="22"/>
        </w:rPr>
        <w:t xml:space="preserve">nepřipouští hradit </w:t>
      </w:r>
      <w:r>
        <w:rPr>
          <w:rFonts w:ascii="Gill Sans MT" w:hAnsi="Gill Sans MT"/>
          <w:sz w:val="22"/>
          <w:szCs w:val="22"/>
        </w:rPr>
        <w:t xml:space="preserve">žádné zvláštní poplatky ani jiné platby v souvislosti s uzavřením smlouvy s vítězným Obchodníkem, vyjma poplatků a daní stanovených právním předpisem. Nejsou přípustné žádné aktivační a další poplatky související s dodávkami a správou OM Zákazníka. </w:t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Obchodník si </w:t>
      </w:r>
      <w:r>
        <w:rPr>
          <w:rFonts w:ascii="Gill Sans MT" w:hAnsi="Gill Sans MT"/>
          <w:b/>
          <w:bCs/>
          <w:sz w:val="22"/>
          <w:szCs w:val="22"/>
        </w:rPr>
        <w:t xml:space="preserve">nebude nárokovat jakékoli sankce </w:t>
      </w:r>
      <w:r>
        <w:rPr>
          <w:rFonts w:ascii="Gill Sans MT" w:hAnsi="Gill Sans MT"/>
          <w:sz w:val="22"/>
          <w:szCs w:val="22"/>
        </w:rPr>
        <w:t xml:space="preserve">za překročení či neodebrání předpokládaného množství odběru silové elektřiny. Sankcí se rozumí rovněž navýšení smluvní ceny sjednané ve smlouvě na základě výsledku elektronické aukce. </w:t>
      </w:r>
    </w:p>
    <w:p>
      <w:pPr>
        <w:pStyle w:val="Normal"/>
        <w:ind w:left="-426" w:right="-426" w:hanging="0"/>
        <w:jc w:val="both"/>
        <w:rPr>
          <w:rFonts w:ascii="Gill Sans MT" w:hAnsi="Gill Sans MT"/>
          <w:color w:val="000000"/>
          <w:sz w:val="22"/>
          <w:szCs w:val="22"/>
        </w:rPr>
      </w:pPr>
      <w:bookmarkStart w:id="1" w:name="PRODUCT"/>
      <w:bookmarkEnd w:id="1"/>
      <w:r>
        <w:rPr>
          <w:rFonts w:cs="Calibri" w:ascii="Gill Sans MT" w:hAnsi="Gill Sans MT" w:cstheme="minorHAnsi"/>
          <w:sz w:val="22"/>
          <w:szCs w:val="22"/>
        </w:rPr>
        <w:t>Smlouva je vyhotovena ve dvou stejnopisech, z nichž každá ze Smluvních stran obdrží jedno vyhotovení.</w:t>
      </w:r>
    </w:p>
    <w:p>
      <w:pPr>
        <w:pStyle w:val="Normal"/>
        <w:ind w:left="-426" w:right="-426" w:hanging="0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</w:r>
    </w:p>
    <w:p>
      <w:pPr>
        <w:pStyle w:val="Normal"/>
        <w:ind w:left="-426" w:right="-426" w:hanging="0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-426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ascii="Gill Sans MT" w:hAnsi="Gill Sans MT" w:cstheme="minorHAnsi"/>
          <w:sz w:val="22"/>
          <w:szCs w:val="22"/>
        </w:rPr>
        <w:t xml:space="preserve">V ……………………. dne…………..                                 V Praze dne </w:t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-426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cstheme="minorHAnsi" w:ascii="Gill Sans MT" w:hAnsi="Gill Sans MT"/>
          <w:sz w:val="22"/>
          <w:szCs w:val="22"/>
        </w:rPr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-426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cstheme="minorHAnsi" w:ascii="Gill Sans MT" w:hAnsi="Gill Sans MT"/>
          <w:sz w:val="22"/>
          <w:szCs w:val="22"/>
        </w:rPr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-426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cstheme="minorHAnsi" w:ascii="Gill Sans MT" w:hAnsi="Gill Sans MT"/>
          <w:sz w:val="22"/>
          <w:szCs w:val="22"/>
        </w:rPr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-426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cstheme="minorHAnsi" w:ascii="Gill Sans MT" w:hAnsi="Gill Sans MT"/>
          <w:sz w:val="22"/>
          <w:szCs w:val="22"/>
        </w:rPr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-426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cstheme="minorHAnsi" w:ascii="Gill Sans MT" w:hAnsi="Gill Sans MT"/>
          <w:sz w:val="22"/>
          <w:szCs w:val="22"/>
        </w:rPr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ind w:left="-426" w:hanging="0"/>
        <w:jc w:val="both"/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ascii="Gill Sans MT" w:hAnsi="Gill Sans MT" w:cstheme="minorHAnsi"/>
          <w:sz w:val="22"/>
          <w:szCs w:val="22"/>
        </w:rPr>
        <w:t>………………………………………</w:t>
      </w:r>
      <w:r>
        <w:rPr>
          <w:rFonts w:cs="Calibri" w:ascii="Gill Sans MT" w:hAnsi="Gill Sans MT" w:cstheme="minorHAnsi"/>
          <w:sz w:val="22"/>
          <w:szCs w:val="22"/>
        </w:rPr>
        <w:t>.                                   ……………………………………………</w:t>
      </w:r>
    </w:p>
    <w:p>
      <w:pPr>
        <w:pStyle w:val="Normal"/>
        <w:tabs>
          <w:tab w:val="left" w:pos="4820" w:leader="dot"/>
          <w:tab w:val="left" w:pos="5387" w:leader="none"/>
          <w:tab w:val="left" w:pos="10065" w:leader="dot"/>
        </w:tabs>
        <w:rPr>
          <w:rFonts w:ascii="Gill Sans MT" w:hAnsi="Gill Sans MT" w:cs="Calibri" w:cstheme="minorHAnsi"/>
          <w:sz w:val="22"/>
          <w:szCs w:val="22"/>
        </w:rPr>
      </w:pPr>
      <w:r>
        <w:rPr>
          <w:rFonts w:cs="Calibri" w:cstheme="minorHAnsi" w:ascii="Gill Sans MT" w:hAnsi="Gill Sans MT"/>
          <w:sz w:val="22"/>
          <w:szCs w:val="22"/>
        </w:rPr>
      </w:r>
    </w:p>
    <w:p>
      <w:pPr>
        <w:pStyle w:val="Normal"/>
        <w:pBdr/>
        <w:tabs>
          <w:tab w:val="left" w:pos="5103" w:leader="none"/>
        </w:tabs>
        <w:ind w:hanging="426"/>
        <w:jc w:val="center"/>
        <w:rPr/>
      </w:pPr>
      <w:r>
        <w:rPr>
          <w:rFonts w:cs="Calibri" w:ascii="Gill Sans MT" w:hAnsi="Gill Sans MT" w:cstheme="minorHAnsi"/>
          <w:sz w:val="22"/>
          <w:szCs w:val="22"/>
        </w:rPr>
        <w:t>Zákazník</w:t>
        <w:tab/>
        <w:t>Obchodník</w:t>
      </w:r>
    </w:p>
    <w:sectPr>
      <w:footerReference w:type="default" r:id="rId4"/>
      <w:type w:val="nextPage"/>
      <w:pgSz w:w="11906" w:h="16838"/>
      <w:pgMar w:left="1417" w:right="1417" w:header="0" w:top="851" w:footer="585" w:bottom="642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ill Sans M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255905</wp:posOffset>
              </wp:positionV>
              <wp:extent cx="64135" cy="340360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3403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pat"/>
                            <w:pBdr/>
                            <w:rPr/>
                          </w:pPr>
                          <w:r>
                            <w:rPr>
                              <w:rStyle w:val="Pagenumber"/>
                              <w:rFonts w:ascii="Gill Sans MT" w:hAnsi="Gill Sans MT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26.8pt;mso-wrap-distance-left:0pt;mso-wrap-distance-right:0pt;mso-wrap-distance-top:0pt;mso-wrap-distance-bottom:0pt;margin-top:20.15pt;mso-position-vertical-relative:text;margin-left:448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Zpat"/>
                      <w:pBdr/>
                      <w:rPr/>
                    </w:pPr>
                    <w:r>
                      <w:rPr>
                        <w:rStyle w:val="Pagenumber"/>
                        <w:rFonts w:ascii="Gill Sans MT" w:hAnsi="Gill Sans MT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-6" w:hanging="42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ody Text 2" w:locked="1" w:semiHidden="0" w:unhideWhenUsed="0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b19"/>
    <w:pPr>
      <w:widowControl/>
      <w:bidi w:val="0"/>
      <w:jc w:val="left"/>
    </w:pPr>
    <w:rPr>
      <w:rFonts w:ascii="Times New Roman" w:hAnsi="Times New Roman" w:eastAsia="Calibri" w:cs="Times New Roman"/>
      <w:color w:val="auto"/>
      <w:sz w:val="20"/>
      <w:szCs w:val="20"/>
      <w:lang w:val="cs-CZ" w:eastAsia="cs-CZ" w:bidi="ar-SA"/>
    </w:rPr>
  </w:style>
  <w:style w:type="paragraph" w:styleId="Nadpis1">
    <w:name w:val="Heading 1"/>
    <w:basedOn w:val="Normal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al"/>
    <w:link w:val="Nadpis2Char"/>
    <w:uiPriority w:val="99"/>
    <w:qFormat/>
    <w:rsid w:val="00610b19"/>
    <w:pPr>
      <w:keepNext/>
      <w:jc w:val="center"/>
      <w:outlineLvl w:val="1"/>
    </w:pPr>
    <w:rPr/>
  </w:style>
  <w:style w:type="paragraph" w:styleId="Nadpis3">
    <w:name w:val="Heading 3"/>
    <w:basedOn w:val="Normal"/>
    <w:link w:val="Nadpis3Char"/>
    <w:semiHidden/>
    <w:unhideWhenUsed/>
    <w:qFormat/>
    <w:locked/>
    <w:rsid w:val="00c55e8e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locked/>
    <w:rsid w:val="00610b19"/>
    <w:rPr>
      <w:rFonts w:ascii="Arial" w:hAnsi="Arial" w:cs="Times New Roman"/>
      <w:b/>
      <w:sz w:val="32"/>
      <w:lang w:eastAsia="cs-CZ"/>
    </w:rPr>
  </w:style>
  <w:style w:type="character" w:styleId="Nadpis2Char" w:customStyle="1">
    <w:name w:val="Nadpis 2 Char"/>
    <w:basedOn w:val="DefaultParagraphFont"/>
    <w:link w:val="Nadpis2"/>
    <w:uiPriority w:val="99"/>
    <w:qFormat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NzevChar" w:customStyle="1">
    <w:name w:val="Název Char"/>
    <w:basedOn w:val="DefaultParagraphFont"/>
    <w:link w:val="Nzev"/>
    <w:qFormat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Zkladntext2Char" w:customStyle="1">
    <w:name w:val="Základní text 2 Char"/>
    <w:basedOn w:val="DefaultParagraphFont"/>
    <w:link w:val="Zkladntext2"/>
    <w:uiPriority w:val="99"/>
    <w:qFormat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Internetovodkaz">
    <w:name w:val="Internetový odkaz"/>
    <w:basedOn w:val="DefaultParagraphFont"/>
    <w:uiPriority w:val="99"/>
    <w:rsid w:val="00610b19"/>
    <w:rPr>
      <w:rFonts w:cs="Times New Roman"/>
      <w:color w:val="0000FF"/>
      <w:u w:val="single"/>
    </w:rPr>
  </w:style>
  <w:style w:type="character" w:styleId="ZpatChar" w:customStyle="1">
    <w:name w:val="Zápatí Char"/>
    <w:basedOn w:val="DefaultParagraphFont"/>
    <w:link w:val="Zpat"/>
    <w:uiPriority w:val="99"/>
    <w:qFormat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Pagenumber">
    <w:name w:val="page number"/>
    <w:basedOn w:val="DefaultParagraphFont"/>
    <w:uiPriority w:val="99"/>
    <w:qFormat/>
    <w:rsid w:val="00610b19"/>
    <w:rPr>
      <w:rFonts w:cs="Times New Roman"/>
    </w:rPr>
  </w:style>
  <w:style w:type="character" w:styleId="Heading1Text" w:customStyle="1">
    <w:name w:val="Heading 1 Text"/>
    <w:uiPriority w:val="99"/>
    <w:qFormat/>
    <w:rsid w:val="00610b19"/>
    <w:rPr>
      <w:b/>
      <w:smallCaps/>
      <w:sz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fe4d71"/>
    <w:rPr>
      <w:rFonts w:ascii="Tahoma" w:hAnsi="Tahoma" w:cs="Times New Roman"/>
      <w:sz w:val="16"/>
    </w:rPr>
  </w:style>
  <w:style w:type="character" w:styleId="Annotationreference">
    <w:name w:val="annotation reference"/>
    <w:basedOn w:val="DefaultParagraphFont"/>
    <w:uiPriority w:val="99"/>
    <w:semiHidden/>
    <w:qFormat/>
    <w:rsid w:val="00213828"/>
    <w:rPr>
      <w:rFonts w:cs="Times New Roman"/>
      <w:sz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locked/>
    <w:rsid w:val="00213828"/>
    <w:rPr>
      <w:rFonts w:ascii="Times New Roman" w:hAnsi="Times New Roman" w:cs="Times New Roman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locked/>
    <w:rsid w:val="00213828"/>
    <w:rPr>
      <w:rFonts w:ascii="Times New Roman" w:hAnsi="Times New Roman" w:cs="Times New Roman"/>
      <w:b/>
    </w:rPr>
  </w:style>
  <w:style w:type="character" w:styleId="Linenumber">
    <w:name w:val="line number"/>
    <w:basedOn w:val="DefaultParagraphFont"/>
    <w:uiPriority w:val="99"/>
    <w:semiHidden/>
    <w:qFormat/>
    <w:rsid w:val="000872e7"/>
    <w:rPr>
      <w:rFonts w:cs="Times New Roman"/>
    </w:rPr>
  </w:style>
  <w:style w:type="character" w:styleId="ZhlavChar" w:customStyle="1">
    <w:name w:val="Záhlaví Char"/>
    <w:basedOn w:val="DefaultParagraphFont"/>
    <w:link w:val="Zhlav"/>
    <w:uiPriority w:val="99"/>
    <w:qFormat/>
    <w:locked/>
    <w:rsid w:val="0028224e"/>
    <w:rPr>
      <w:rFonts w:ascii="Times New Roman" w:hAnsi="Times New Roman" w:cs="Times New Roman"/>
    </w:rPr>
  </w:style>
  <w:style w:type="character" w:styleId="Zkladntext3Char" w:customStyle="1">
    <w:name w:val="Základní text 3 Char"/>
    <w:basedOn w:val="DefaultParagraphFont"/>
    <w:link w:val="Zkladntext3"/>
    <w:uiPriority w:val="99"/>
    <w:qFormat/>
    <w:locked/>
    <w:rsid w:val="00e36453"/>
    <w:rPr>
      <w:rFonts w:ascii="Times New Roman" w:hAnsi="Times New Roman" w:cs="Times New Roman"/>
      <w:sz w:val="16"/>
    </w:rPr>
  </w:style>
  <w:style w:type="character" w:styleId="ZkladntextChar" w:customStyle="1">
    <w:name w:val="Základní text Char"/>
    <w:basedOn w:val="DefaultParagraphFont"/>
    <w:link w:val="Zkladntext"/>
    <w:uiPriority w:val="99"/>
    <w:qFormat/>
    <w:locked/>
    <w:rsid w:val="00b21ae4"/>
    <w:rPr>
      <w:rFonts w:ascii="Times New Roman" w:hAnsi="Times New Roman" w:cs="Times New Roman"/>
    </w:rPr>
  </w:style>
  <w:style w:type="character" w:styleId="BodyText2Char" w:customStyle="1">
    <w:name w:val="Body Text 2 Char"/>
    <w:basedOn w:val="DefaultParagraphFont"/>
    <w:uiPriority w:val="99"/>
    <w:qFormat/>
    <w:locked/>
    <w:rsid w:val="00e52adc"/>
    <w:rPr>
      <w:rFonts w:ascii="Times New Roman" w:hAnsi="Times New Roman" w:cs="Times New Roman"/>
      <w:sz w:val="20"/>
      <w:lang w:eastAsia="cs-CZ"/>
    </w:rPr>
  </w:style>
  <w:style w:type="character" w:styleId="Nadpis3Char" w:customStyle="1">
    <w:name w:val="Nadpis 3 Char"/>
    <w:basedOn w:val="DefaultParagraphFont"/>
    <w:link w:val="Nadpis3"/>
    <w:semiHidden/>
    <w:qFormat/>
    <w:rsid w:val="00c55e8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</w:rPr>
  </w:style>
  <w:style w:type="character" w:styleId="Thtx" w:customStyle="1">
    <w:name w:val="th-tx"/>
    <w:basedOn w:val="DefaultParagraphFont"/>
    <w:qFormat/>
    <w:rsid w:val="005b21ed"/>
    <w:rPr/>
  </w:style>
  <w:style w:type="character" w:styleId="ListLabel1">
    <w:name w:val="ListLabel 1"/>
    <w:qFormat/>
    <w:rPr>
      <w:rFonts w:eastAsia="PMingLiU" w:cs="Times New Roman"/>
      <w:b/>
    </w:rPr>
  </w:style>
  <w:style w:type="character" w:styleId="ListLabel2">
    <w:name w:val="ListLabel 2"/>
    <w:qFormat/>
    <w:rPr>
      <w:rFonts w:cs="Times New Roman"/>
      <w:b w:val="false"/>
      <w:color w:val="00000A"/>
      <w:sz w:val="18"/>
      <w:szCs w:val="18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b w:val="fals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b21ae4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qFormat/>
    <w:rsid w:val="00610b19"/>
    <w:pPr>
      <w:jc w:val="center"/>
    </w:pPr>
    <w:rPr/>
  </w:style>
  <w:style w:type="paragraph" w:styleId="BodyText2">
    <w:name w:val="Body Text 2"/>
    <w:basedOn w:val="Normal"/>
    <w:link w:val="Zkladntext2Char"/>
    <w:uiPriority w:val="99"/>
    <w:qFormat/>
    <w:rsid w:val="00610b19"/>
    <w:pPr/>
    <w:rPr/>
  </w:style>
  <w:style w:type="paragraph" w:styleId="Zpat">
    <w:name w:val="Footer"/>
    <w:basedOn w:val="Normal"/>
    <w:link w:val="ZpatChar"/>
    <w:uiPriority w:val="99"/>
    <w:rsid w:val="00610b19"/>
    <w:pPr>
      <w:tabs>
        <w:tab w:val="center" w:pos="4536" w:leader="none"/>
        <w:tab w:val="right" w:pos="9072" w:leader="none"/>
      </w:tabs>
    </w:pPr>
    <w:rPr/>
  </w:style>
  <w:style w:type="paragraph" w:styleId="Body" w:customStyle="1">
    <w:name w:val="Body"/>
    <w:basedOn w:val="Normal"/>
    <w:uiPriority w:val="99"/>
    <w:qFormat/>
    <w:rsid w:val="00610b19"/>
    <w:pPr>
      <w:widowControl w:val="false"/>
      <w:spacing w:lineRule="auto" w:line="264" w:before="0" w:after="210"/>
      <w:jc w:val="both"/>
    </w:pPr>
    <w:rPr>
      <w:rFonts w:ascii="Arial" w:hAnsi="Arial"/>
      <w:sz w:val="21"/>
      <w:lang w:val="en-GB" w:eastAsia="en-US"/>
    </w:rPr>
  </w:style>
  <w:style w:type="paragraph" w:styleId="BalloonText">
    <w:name w:val="Balloon Text"/>
    <w:basedOn w:val="Normal"/>
    <w:link w:val="TextbublinyChar"/>
    <w:uiPriority w:val="99"/>
    <w:semiHidden/>
    <w:qFormat/>
    <w:rsid w:val="00fe4d71"/>
    <w:pPr/>
    <w:rPr>
      <w:rFonts w:ascii="Tahoma" w:hAnsi="Tahoma"/>
      <w:sz w:val="16"/>
      <w:szCs w:val="16"/>
    </w:rPr>
  </w:style>
  <w:style w:type="paragraph" w:styleId="Zkladntext21" w:customStyle="1">
    <w:name w:val="Základní text 21"/>
    <w:basedOn w:val="Normal"/>
    <w:uiPriority w:val="99"/>
    <w:qFormat/>
    <w:rsid w:val="000634db"/>
    <w:pPr>
      <w:suppressAutoHyphens w:val="true"/>
      <w:jc w:val="both"/>
    </w:pPr>
    <w:rPr>
      <w:sz w:val="24"/>
      <w:lang w:eastAsia="ar-SA"/>
    </w:rPr>
  </w:style>
  <w:style w:type="paragraph" w:styleId="Odstavecseseznamem1" w:customStyle="1">
    <w:name w:val="Odstavec se seznamem1"/>
    <w:basedOn w:val="Normal"/>
    <w:uiPriority w:val="99"/>
    <w:qFormat/>
    <w:rsid w:val="000634db"/>
    <w:pPr>
      <w:spacing w:lineRule="auto" w:line="276" w:before="0" w:after="200"/>
      <w:ind w:left="720" w:hanging="0"/>
      <w:contextualSpacing/>
    </w:pPr>
    <w:rPr>
      <w:rFonts w:ascii="Calibri" w:hAnsi="Calibri" w:eastAsia="Times New Roman"/>
      <w:sz w:val="22"/>
      <w:szCs w:val="22"/>
      <w:lang w:eastAsia="en-US"/>
    </w:rPr>
  </w:style>
  <w:style w:type="paragraph" w:styleId="Annotationtext">
    <w:name w:val="annotation text"/>
    <w:basedOn w:val="Normal"/>
    <w:link w:val="TextkomenteChar"/>
    <w:uiPriority w:val="99"/>
    <w:semiHidden/>
    <w:qFormat/>
    <w:rsid w:val="00213828"/>
    <w:pPr/>
    <w:rPr/>
  </w:style>
  <w:style w:type="paragraph" w:styleId="Annotationsubject">
    <w:name w:val="annotation subject"/>
    <w:basedOn w:val="Annotationtext"/>
    <w:link w:val="PedmtkomenteChar"/>
    <w:uiPriority w:val="99"/>
    <w:semiHidden/>
    <w:qFormat/>
    <w:rsid w:val="00213828"/>
    <w:pPr/>
    <w:rPr>
      <w:b/>
      <w:bCs/>
    </w:rPr>
  </w:style>
  <w:style w:type="paragraph" w:styleId="Revize1" w:customStyle="1">
    <w:name w:val="Revize1"/>
    <w:uiPriority w:val="99"/>
    <w:semiHidden/>
    <w:qFormat/>
    <w:rsid w:val="004951e3"/>
    <w:pPr>
      <w:widowControl/>
      <w:bidi w:val="0"/>
      <w:jc w:val="left"/>
    </w:pPr>
    <w:rPr>
      <w:rFonts w:ascii="Times New Roman" w:hAnsi="Times New Roman" w:eastAsia="Calibri" w:cs="Times New Roman"/>
      <w:color w:val="auto"/>
      <w:sz w:val="20"/>
      <w:szCs w:val="20"/>
      <w:lang w:val="cs-CZ" w:eastAsia="cs-CZ" w:bidi="ar-SA"/>
    </w:rPr>
  </w:style>
  <w:style w:type="paragraph" w:styleId="Zhlav">
    <w:name w:val="Header"/>
    <w:basedOn w:val="Normal"/>
    <w:link w:val="ZhlavChar"/>
    <w:uiPriority w:val="99"/>
    <w:rsid w:val="0028224e"/>
    <w:pPr>
      <w:tabs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Zkladntext3Char"/>
    <w:uiPriority w:val="99"/>
    <w:qFormat/>
    <w:rsid w:val="00e36453"/>
    <w:pPr>
      <w:spacing w:before="0" w:after="120"/>
    </w:pPr>
    <w:rPr>
      <w:rFonts w:eastAsia="Times New Roman"/>
      <w:sz w:val="16"/>
      <w:szCs w:val="16"/>
    </w:rPr>
  </w:style>
  <w:style w:type="paragraph" w:styleId="Default" w:customStyle="1">
    <w:name w:val="Default"/>
    <w:qFormat/>
    <w:rsid w:val="006a685f"/>
    <w:pPr>
      <w:widowControl/>
      <w:bidi w:val="0"/>
      <w:jc w:val="left"/>
    </w:pPr>
    <w:rPr>
      <w:rFonts w:cs="Calibri" w:ascii="Calibri" w:hAnsi="Calibri" w:eastAsia="Calibri"/>
      <w:color w:val="000000"/>
      <w:sz w:val="24"/>
      <w:szCs w:val="24"/>
      <w:lang w:eastAsia="en-US" w:val="cs-CZ" w:bidi="ar-SA"/>
    </w:rPr>
  </w:style>
  <w:style w:type="paragraph" w:styleId="NoSpacing">
    <w:name w:val="No Spacing"/>
    <w:uiPriority w:val="1"/>
    <w:qFormat/>
    <w:rsid w:val="00332a90"/>
    <w:pPr>
      <w:widowControl/>
      <w:bidi w:val="0"/>
      <w:jc w:val="left"/>
    </w:pPr>
    <w:rPr>
      <w:rFonts w:ascii="Times New Roman" w:hAnsi="Times New Roman" w:eastAsia="Calibri" w:cs="Times New Roman"/>
      <w:color w:val="auto"/>
      <w:sz w:val="20"/>
      <w:szCs w:val="20"/>
      <w:lang w:val="cs-CZ" w:eastAsia="cs-CZ" w:bidi="ar-SA"/>
    </w:rPr>
  </w:style>
  <w:style w:type="paragraph" w:styleId="ListParagraph">
    <w:name w:val="List Paragraph"/>
    <w:basedOn w:val="Normal"/>
    <w:uiPriority w:val="34"/>
    <w:qFormat/>
    <w:rsid w:val="0081498b"/>
    <w:pPr>
      <w:spacing w:before="0" w:after="0"/>
      <w:ind w:left="720" w:hanging="0"/>
      <w:contextualSpacing/>
    </w:pPr>
    <w:rPr/>
  </w:style>
  <w:style w:type="paragraph" w:styleId="Normln" w:customStyle="1">
    <w:name w:val="Norm‡ln’"/>
    <w:basedOn w:val="Normal"/>
    <w:qFormat/>
    <w:rsid w:val="00297a80"/>
    <w:pPr/>
    <w:rPr>
      <w:rFonts w:eastAsia="Calibri" w:eastAsiaTheme="minorHAnsi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vel.dubsky@ppas.cz" TargetMode="External"/><Relationship Id="rId3" Type="http://schemas.openxmlformats.org/officeDocument/2006/relationships/hyperlink" Target="mailto:mat.skolahusitska@seznam.cz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51AF-B935-4E53-A888-82400FF8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LibreOffice/5.2.5.1$Windows_x86 LibreOffice_project/0312e1a284a7d50ca85a365c316c7abbf20a4d22</Application>
  <Pages>4</Pages>
  <Words>1139</Words>
  <Characters>6863</Characters>
  <CharactersWithSpaces>8027</CharactersWithSpaces>
  <Paragraphs>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2017-06-08T10:55:00Z</dcterms:created>
  <dc:creator>lkrec;Petr.Dvorak@ppas.cz</dc:creator>
  <dc:description/>
  <dc:language>cs-CZ</dc:language>
  <cp:lastModifiedBy/>
  <cp:lastPrinted>2017-06-08T12:57:00Z</cp:lastPrinted>
  <dcterms:modified xsi:type="dcterms:W3CDTF">2017-06-27T14:30:36Z</dcterms:modified>
  <cp:revision>5</cp:revision>
  <dc:subject/>
  <dc:title>__________________________________________________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